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30A0CF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3F7">
              <w:rPr>
                <w:rFonts w:eastAsia="Arial Unicode MS"/>
                <w:noProof/>
                <w:sz w:val="22"/>
                <w:szCs w:val="22"/>
              </w:rPr>
              <w:t>+372 5164882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55F45A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7C33F7" w:rsidRPr="00E137C6">
                <w:rPr>
                  <w:rStyle w:val="Hperlink"/>
                  <w:rFonts w:eastAsia="Arial Unicode MS"/>
                </w:rPr>
                <w:t>siimsisask</w:t>
              </w:r>
              <w:r w:rsidR="007C33F7" w:rsidRPr="00E137C6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D550735" w:rsidR="005B59EA" w:rsidRDefault="008E526B" w:rsidP="007C33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0CB8F9D" w:rsidR="005B59EA" w:rsidRPr="008E526B" w:rsidRDefault="007C33F7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Vana-Antsla – Kobela survekanalisatsioonitorustik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7804E5" w:rsidR="005B59EA" w:rsidRDefault="00E765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7C33F7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/202</w:t>
            </w:r>
            <w:r w:rsidR="007C33F7">
              <w:rPr>
                <w:noProof/>
                <w:sz w:val="22"/>
                <w:szCs w:val="20"/>
              </w:rPr>
              <w:t>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663CDF7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F5D8DD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7C33F7">
              <w:rPr>
                <w:noProof/>
                <w:sz w:val="18"/>
                <w:szCs w:val="18"/>
              </w:rPr>
              <w:t>Antsla</w:t>
            </w:r>
            <w:r w:rsidR="00E76506">
              <w:rPr>
                <w:noProof/>
                <w:sz w:val="18"/>
                <w:szCs w:val="18"/>
              </w:rPr>
              <w:t xml:space="preserve"> vald, </w:t>
            </w:r>
            <w:r w:rsidR="007C33F7">
              <w:rPr>
                <w:noProof/>
                <w:sz w:val="18"/>
                <w:szCs w:val="18"/>
              </w:rPr>
              <w:t>Kobela alevik ; Võrumaa, Antsla vald, Antsu küla; Võrumaa, Antsla vald, Taberlaane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304DD89" w:rsidR="00317FEC" w:rsidRPr="007C33F7" w:rsidRDefault="00317FEC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C33F7">
              <w:rPr>
                <w:noProof/>
                <w:sz w:val="18"/>
                <w:szCs w:val="18"/>
              </w:rPr>
              <w:t xml:space="preserve"> 25252 Kobela-Antsu tee: km 0,17-0,19, km 0,38-0,74, km 0,78-0,84.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672D36" w:rsidR="00E76506" w:rsidRPr="008E526B" w:rsidRDefault="00317FEC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7C33F7">
              <w:rPr>
                <w:noProof/>
                <w:sz w:val="18"/>
                <w:szCs w:val="18"/>
              </w:rPr>
              <w:t>23129 Laatre-Antsla tee, km 13,06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1E4079D" w:rsidR="00FC5638" w:rsidRPr="00FC5638" w:rsidRDefault="007C33F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fi-FI"/>
              </w:rPr>
              <w:t>S</w:t>
            </w:r>
            <w:r w:rsidR="008E526B">
              <w:rPr>
                <w:noProof/>
                <w:sz w:val="22"/>
                <w:szCs w:val="22"/>
                <w:lang w:val="fi-FI"/>
              </w:rPr>
              <w:t>urve</w:t>
            </w:r>
            <w:r w:rsidR="00E91F23" w:rsidRPr="00FC5638">
              <w:rPr>
                <w:noProof/>
                <w:sz w:val="22"/>
                <w:szCs w:val="22"/>
                <w:lang w:val="fi-FI"/>
              </w:rPr>
              <w:t>kanalisatsiooni</w:t>
            </w:r>
            <w:r w:rsidR="00050E24" w:rsidRPr="00FC5638">
              <w:rPr>
                <w:noProof/>
                <w:sz w:val="22"/>
                <w:szCs w:val="22"/>
              </w:rPr>
              <w:t xml:space="preserve">torustiku rajamine risti </w:t>
            </w:r>
            <w:r>
              <w:rPr>
                <w:noProof/>
                <w:sz w:val="22"/>
                <w:szCs w:val="22"/>
              </w:rPr>
              <w:t xml:space="preserve">teega 23129 Laatre-Antsla ning paralleelselt </w:t>
            </w:r>
            <w:r>
              <w:rPr>
                <w:noProof/>
                <w:sz w:val="22"/>
                <w:szCs w:val="22"/>
              </w:rPr>
              <w:t>25252 Kobela-Antsu</w:t>
            </w:r>
            <w:r>
              <w:rPr>
                <w:noProof/>
                <w:sz w:val="22"/>
                <w:szCs w:val="22"/>
              </w:rPr>
              <w:t xml:space="preserve"> teega ühele poole haljasalale</w:t>
            </w:r>
            <w:r w:rsidR="001C442C">
              <w:rPr>
                <w:noProof/>
                <w:sz w:val="22"/>
                <w:szCs w:val="22"/>
              </w:rPr>
              <w:t>. Torustik rajatakse kinnisel meetodil suundpuurimisega.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22BDF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7C33F7">
              <w:rPr>
                <w:noProof/>
                <w:sz w:val="20"/>
                <w:szCs w:val="20"/>
              </w:rPr>
              <w:t>4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21ADE4" w14:textId="76ADB066" w:rsidR="008E526B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 xml:space="preserve">Torustik </w:t>
            </w:r>
            <w:r w:rsidR="001C442C">
              <w:rPr>
                <w:noProof/>
                <w:sz w:val="20"/>
                <w:szCs w:val="20"/>
                <w:lang w:val="en-GB" w:eastAsia="en-US"/>
              </w:rPr>
              <w:t xml:space="preserve">on projekteeritud </w:t>
            </w:r>
            <w:r>
              <w:rPr>
                <w:noProof/>
                <w:sz w:val="20"/>
                <w:szCs w:val="20"/>
                <w:lang w:val="en-GB" w:eastAsia="en-US"/>
              </w:rPr>
              <w:t>ristu</w:t>
            </w:r>
            <w:r w:rsidR="001C442C">
              <w:rPr>
                <w:noProof/>
                <w:sz w:val="20"/>
                <w:szCs w:val="20"/>
                <w:lang w:val="en-GB" w:eastAsia="en-US"/>
              </w:rPr>
              <w:t>ma</w:t>
            </w:r>
            <w:r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 rajamiseks ei ole.</w:t>
            </w:r>
            <w:r w:rsidR="001C442C">
              <w:rPr>
                <w:noProof/>
                <w:sz w:val="20"/>
                <w:szCs w:val="20"/>
                <w:lang w:val="en-GB" w:eastAsia="en-US"/>
              </w:rPr>
              <w:t xml:space="preserve"> Torustik on projekteeritud kulgema paralleelselt riigiteega tee kõrval paikneval haljasala ribal, sest puudub tehniliselt ja majanduslikult otstarbekam võimalus torustiku rajamiseks.</w:t>
            </w: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B168D5D" w:rsidR="00056AC8" w:rsidRDefault="001C44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Nõuded kanalisatsiooniprojekti koostamiseks riigiteede nr 25252 ja 23129 teemaal ja kaitsevööndis. (7.1-2/24/26264-2)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65A3A38" w:rsidR="00056AC8" w:rsidRDefault="001C44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Sisask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156019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1C442C">
              <w:rPr>
                <w:noProof/>
                <w:sz w:val="22"/>
                <w:szCs w:val="20"/>
              </w:rPr>
              <w:t>Kuupäev digiallkirjast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C442C"/>
    <w:rsid w:val="001D52B1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507D5C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C33F7"/>
    <w:rsid w:val="007E1CA1"/>
    <w:rsid w:val="00832B3F"/>
    <w:rsid w:val="00887C0D"/>
    <w:rsid w:val="008B0BF9"/>
    <w:rsid w:val="008B16DC"/>
    <w:rsid w:val="008E526B"/>
    <w:rsid w:val="00912F5F"/>
    <w:rsid w:val="00983C6E"/>
    <w:rsid w:val="00A22B1A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imsisask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326</Words>
  <Characters>2625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Laptop</cp:lastModifiedBy>
  <cp:revision>20</cp:revision>
  <cp:lastPrinted>2007-05-24T06:29:00Z</cp:lastPrinted>
  <dcterms:created xsi:type="dcterms:W3CDTF">2022-07-07T12:09:00Z</dcterms:created>
  <dcterms:modified xsi:type="dcterms:W3CDTF">2024-05-13T12:10:00Z</dcterms:modified>
</cp:coreProperties>
</file>