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8B35D" w14:textId="7615D00F" w:rsidR="00A252B8" w:rsidRPr="00EE3824" w:rsidRDefault="004F05CF" w:rsidP="00EE3824">
      <w:pPr>
        <w:outlineLvl w:val="0"/>
        <w:rPr>
          <w:rFonts w:cs="Arial"/>
          <w:noProof/>
        </w:rPr>
      </w:pPr>
      <w:r w:rsidRPr="0064692B"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3DDBB4D4" wp14:editId="40142924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20" name="Graphic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0A9D78D5" wp14:editId="0B70811C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493" w:type="dxa"/>
        <w:tblInd w:w="2835" w:type="dxa"/>
        <w:tblLook w:val="0000" w:firstRow="0" w:lastRow="0" w:firstColumn="0" w:lastColumn="0" w:noHBand="0" w:noVBand="0"/>
      </w:tblPr>
      <w:tblGrid>
        <w:gridCol w:w="1560"/>
        <w:gridCol w:w="1842"/>
        <w:gridCol w:w="715"/>
        <w:gridCol w:w="1412"/>
        <w:gridCol w:w="964"/>
      </w:tblGrid>
      <w:tr w:rsidR="00F44F2E" w:rsidRPr="00C74E7C" w14:paraId="1F04F5F4" w14:textId="5106D2EB" w:rsidTr="009127F1">
        <w:trPr>
          <w:trHeight w:val="338"/>
        </w:trPr>
        <w:tc>
          <w:tcPr>
            <w:tcW w:w="1560" w:type="dxa"/>
            <w:vAlign w:val="center"/>
          </w:tcPr>
          <w:p w14:paraId="1808A740" w14:textId="090E2B1A" w:rsidR="00F44F2E" w:rsidRPr="00C74E7C" w:rsidRDefault="00F44F2E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proofErr w:type="spellStart"/>
            <w:r w:rsidRPr="00C74E7C">
              <w:rPr>
                <w:rFonts w:cs="Arial"/>
                <w:szCs w:val="20"/>
              </w:rPr>
              <w:t>Teie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489D85BE" w:rsidR="00F44F2E" w:rsidRPr="00C74E7C" w:rsidRDefault="00F44F2E">
            <w:pPr>
              <w:rPr>
                <w:rFonts w:cs="Arial"/>
                <w:szCs w:val="20"/>
              </w:rPr>
            </w:pPr>
          </w:p>
        </w:tc>
        <w:tc>
          <w:tcPr>
            <w:tcW w:w="715" w:type="dxa"/>
            <w:tcBorders>
              <w:left w:val="nil"/>
            </w:tcBorders>
            <w:shd w:val="clear" w:color="auto" w:fill="auto"/>
            <w:vAlign w:val="center"/>
          </w:tcPr>
          <w:p w14:paraId="501FCE74" w14:textId="6290B71D" w:rsidR="00F44F2E" w:rsidRPr="00C74E7C" w:rsidRDefault="00F44F2E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a nr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14A37765" w14:textId="6385832E" w:rsidR="00F44F2E" w:rsidRPr="00C74E7C" w:rsidRDefault="00F44F2E">
            <w:pPr>
              <w:rPr>
                <w:rFonts w:cs="Arial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0DD667E0" w14:textId="5BD850E0" w:rsidR="00F44F2E" w:rsidRPr="00C74E7C" w:rsidRDefault="00F44F2E">
            <w:pPr>
              <w:rPr>
                <w:rFonts w:cs="Arial"/>
                <w:szCs w:val="20"/>
              </w:rPr>
            </w:pPr>
          </w:p>
        </w:tc>
      </w:tr>
      <w:tr w:rsidR="00F44F2E" w:rsidRPr="00C74E7C" w14:paraId="7C00190A" w14:textId="50AF100B" w:rsidTr="009127F1">
        <w:trPr>
          <w:trHeight w:val="277"/>
        </w:trPr>
        <w:tc>
          <w:tcPr>
            <w:tcW w:w="1560" w:type="dxa"/>
            <w:vAlign w:val="center"/>
          </w:tcPr>
          <w:p w14:paraId="49FFF8FF" w14:textId="6190633E" w:rsidR="00F44F2E" w:rsidRPr="00C74E7C" w:rsidRDefault="00F44F2E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proofErr w:type="spellStart"/>
            <w:r w:rsidRPr="00C74E7C">
              <w:rPr>
                <w:rFonts w:cs="Arial"/>
                <w:szCs w:val="20"/>
              </w:rPr>
              <w:t>Meie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6FC43198" w:rsidR="00F44F2E" w:rsidRPr="00C74E7C" w:rsidRDefault="009A0A7C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30.04</w:t>
            </w:r>
            <w:r w:rsidR="003313C8">
              <w:rPr>
                <w:rFonts w:cs="Arial"/>
                <w:szCs w:val="20"/>
              </w:rPr>
              <w:t>.</w:t>
            </w:r>
            <w:r w:rsidR="00FB724F">
              <w:rPr>
                <w:rFonts w:cs="Arial"/>
                <w:szCs w:val="20"/>
              </w:rPr>
              <w:t>2024</w:t>
            </w:r>
          </w:p>
        </w:tc>
        <w:tc>
          <w:tcPr>
            <w:tcW w:w="715" w:type="dxa"/>
            <w:tcBorders>
              <w:left w:val="nil"/>
            </w:tcBorders>
            <w:shd w:val="clear" w:color="auto" w:fill="auto"/>
            <w:vAlign w:val="center"/>
          </w:tcPr>
          <w:p w14:paraId="2B4969C5" w14:textId="33A6B117" w:rsidR="00F44F2E" w:rsidRPr="00C74E7C" w:rsidRDefault="00F44F2E" w:rsidP="008260A6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a nr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9CDA2" w14:textId="3C13724C" w:rsidR="00F44F2E" w:rsidRPr="00C74E7C" w:rsidRDefault="009127F1" w:rsidP="008260A6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2-23-</w:t>
            </w:r>
            <w:r w:rsidR="009A0A7C">
              <w:rPr>
                <w:rFonts w:cs="Arial"/>
                <w:szCs w:val="20"/>
              </w:rPr>
              <w:t>17791</w:t>
            </w:r>
          </w:p>
        </w:tc>
        <w:tc>
          <w:tcPr>
            <w:tcW w:w="964" w:type="dxa"/>
            <w:shd w:val="clear" w:color="auto" w:fill="auto"/>
          </w:tcPr>
          <w:p w14:paraId="670759E0" w14:textId="5E28253F" w:rsidR="00F44F2E" w:rsidRPr="00C74E7C" w:rsidRDefault="00F44F2E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780A15B9" w14:textId="77777777" w:rsidR="00FA4C85" w:rsidRDefault="00FA4C85" w:rsidP="00FA4C8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36A6010A" w14:textId="55756A78" w:rsidR="00871265" w:rsidRDefault="00FB724F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  <w:r w:rsidRPr="00FB724F">
        <w:rPr>
          <w:rFonts w:ascii="Times New Roman" w:hAnsi="Times New Roman" w:cs="Times New Roman"/>
          <w:b/>
          <w:bCs/>
          <w:sz w:val="24"/>
          <w:lang w:val="et-EE"/>
        </w:rPr>
        <w:t>Maksejõuetuse teenistus</w:t>
      </w:r>
    </w:p>
    <w:p w14:paraId="6AF8E59C" w14:textId="39CAC21C" w:rsidR="00FB724F" w:rsidRPr="00FB724F" w:rsidRDefault="00FB724F" w:rsidP="00871265">
      <w:pPr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e-post: </w:t>
      </w:r>
      <w:hyperlink r:id="rId12" w:history="1">
        <w:r w:rsidRPr="005647C7">
          <w:rPr>
            <w:rStyle w:val="Hperlink"/>
            <w:rFonts w:ascii="Times New Roman" w:hAnsi="Times New Roman" w:cs="Times New Roman"/>
            <w:sz w:val="24"/>
            <w:lang w:val="et-EE"/>
          </w:rPr>
          <w:t>info@konkurentsiamet.ee</w:t>
        </w:r>
      </w:hyperlink>
      <w:r w:rsidRPr="00FB724F"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608AB77A" w14:textId="77777777" w:rsidR="00FB724F" w:rsidRDefault="00FB724F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28CB50AD" w14:textId="77777777" w:rsidR="009028AB" w:rsidRPr="00871265" w:rsidRDefault="009028AB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7D3CC472" w14:textId="11E69D5E" w:rsidR="005C64F3" w:rsidRPr="00871265" w:rsidRDefault="00FB724F" w:rsidP="004C54DE">
      <w:pPr>
        <w:spacing w:after="120"/>
        <w:rPr>
          <w:rFonts w:ascii="Times New Roman" w:hAnsi="Times New Roman" w:cs="Times New Roman"/>
          <w:b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 xml:space="preserve">Ettepanek esitada avaldus </w:t>
      </w:r>
      <w:r w:rsidRPr="00FB724F">
        <w:rPr>
          <w:rFonts w:ascii="Times New Roman" w:hAnsi="Times New Roman" w:cs="Times New Roman"/>
          <w:b/>
          <w:sz w:val="24"/>
          <w:lang w:val="et-EE"/>
        </w:rPr>
        <w:t>pankrotimenetluse läbiviimiseks avaliku uurimisena</w:t>
      </w:r>
    </w:p>
    <w:p w14:paraId="7CBDC551" w14:textId="07AB6654" w:rsidR="00FB724F" w:rsidRDefault="00FB724F" w:rsidP="0057554C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FB724F">
        <w:rPr>
          <w:rFonts w:ascii="Times New Roman" w:hAnsi="Times New Roman" w:cs="Times New Roman"/>
          <w:sz w:val="24"/>
          <w:lang w:val="et-EE"/>
        </w:rPr>
        <w:t>Tartu Maakohtu</w:t>
      </w:r>
      <w:r>
        <w:rPr>
          <w:rFonts w:ascii="Times New Roman" w:hAnsi="Times New Roman" w:cs="Times New Roman"/>
          <w:sz w:val="24"/>
          <w:lang w:val="et-EE"/>
        </w:rPr>
        <w:t xml:space="preserve"> menetluses tsiviilasjas nr 2-23-</w:t>
      </w:r>
      <w:r w:rsidR="009A0A7C">
        <w:rPr>
          <w:rFonts w:ascii="Times New Roman" w:hAnsi="Times New Roman" w:cs="Times New Roman"/>
          <w:sz w:val="24"/>
          <w:lang w:val="et-EE"/>
        </w:rPr>
        <w:t>17791</w:t>
      </w:r>
      <w:r>
        <w:rPr>
          <w:rFonts w:ascii="Times New Roman" w:hAnsi="Times New Roman" w:cs="Times New Roman"/>
          <w:sz w:val="24"/>
          <w:lang w:val="et-EE"/>
        </w:rPr>
        <w:t xml:space="preserve"> on </w:t>
      </w:r>
      <w:proofErr w:type="spellStart"/>
      <w:r w:rsidR="009A0A7C" w:rsidRPr="009A0A7C">
        <w:rPr>
          <w:rFonts w:ascii="Times New Roman" w:hAnsi="Times New Roman" w:cs="Times New Roman"/>
          <w:sz w:val="24"/>
          <w:lang w:val="et-EE"/>
        </w:rPr>
        <w:t>Saxxos</w:t>
      </w:r>
      <w:proofErr w:type="spellEnd"/>
      <w:r w:rsidR="009A0A7C" w:rsidRPr="009A0A7C">
        <w:rPr>
          <w:rFonts w:ascii="Times New Roman" w:hAnsi="Times New Roman" w:cs="Times New Roman"/>
          <w:sz w:val="24"/>
          <w:lang w:val="et-EE"/>
        </w:rPr>
        <w:t xml:space="preserve"> OÜ</w:t>
      </w:r>
      <w:r w:rsidR="009A0A7C" w:rsidRPr="009A0A7C">
        <w:rPr>
          <w:rFonts w:ascii="Times New Roman" w:hAnsi="Times New Roman" w:cs="Times New Roman"/>
          <w:sz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lang w:val="et-EE"/>
        </w:rPr>
        <w:t>(võlgnik</w:t>
      </w:r>
      <w:r w:rsidR="004547D8">
        <w:rPr>
          <w:rFonts w:ascii="Times New Roman" w:hAnsi="Times New Roman" w:cs="Times New Roman"/>
          <w:sz w:val="24"/>
          <w:lang w:val="et-EE"/>
        </w:rPr>
        <w:t>; registrikood</w:t>
      </w:r>
      <w:r w:rsidR="004547D8" w:rsidRPr="004547D8">
        <w:t xml:space="preserve"> </w:t>
      </w:r>
      <w:r w:rsidR="009A0A7C" w:rsidRPr="009A0A7C">
        <w:rPr>
          <w:rFonts w:ascii="Times New Roman" w:hAnsi="Times New Roman" w:cs="Times New Roman"/>
          <w:sz w:val="24"/>
          <w:lang w:val="et-EE"/>
        </w:rPr>
        <w:t>16691070</w:t>
      </w:r>
      <w:r>
        <w:rPr>
          <w:rFonts w:ascii="Times New Roman" w:hAnsi="Times New Roman" w:cs="Times New Roman"/>
          <w:sz w:val="24"/>
          <w:lang w:val="et-EE"/>
        </w:rPr>
        <w:t>) avaldus pankroti väljakulutamiseks.</w:t>
      </w:r>
    </w:p>
    <w:p w14:paraId="236EB609" w14:textId="500D2A2D" w:rsidR="009A0A7C" w:rsidRDefault="00FB724F" w:rsidP="0057554C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sz w:val="24"/>
          <w:lang w:val="et-EE"/>
        </w:rPr>
        <w:t xml:space="preserve">Ajutine haldur </w:t>
      </w:r>
      <w:r w:rsidR="009A0A7C">
        <w:rPr>
          <w:rFonts w:ascii="Times New Roman" w:hAnsi="Times New Roman" w:cs="Times New Roman"/>
          <w:sz w:val="24"/>
          <w:lang w:val="et-EE"/>
        </w:rPr>
        <w:t xml:space="preserve">Hillar </w:t>
      </w:r>
      <w:proofErr w:type="spellStart"/>
      <w:r w:rsidR="009A0A7C">
        <w:rPr>
          <w:rFonts w:ascii="Times New Roman" w:hAnsi="Times New Roman" w:cs="Times New Roman"/>
          <w:sz w:val="24"/>
          <w:lang w:val="et-EE"/>
        </w:rPr>
        <w:t>Villers</w:t>
      </w:r>
      <w:proofErr w:type="spellEnd"/>
      <w:r w:rsidRPr="007B59F6">
        <w:rPr>
          <w:rFonts w:ascii="Times New Roman" w:hAnsi="Times New Roman" w:cs="Times New Roman"/>
          <w:sz w:val="24"/>
          <w:lang w:val="et-EE"/>
        </w:rPr>
        <w:t xml:space="preserve"> esitas </w:t>
      </w:r>
      <w:r w:rsidR="009A0A7C">
        <w:rPr>
          <w:rFonts w:ascii="Times New Roman" w:hAnsi="Times New Roman" w:cs="Times New Roman"/>
          <w:sz w:val="24"/>
          <w:lang w:val="et-EE"/>
        </w:rPr>
        <w:t>18. märtsil 2024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 kohtule aruande, mille kohaselt on võlgnik püsivalt maksejõuetu (võlgnikul </w:t>
      </w:r>
      <w:r w:rsidR="009A0A7C">
        <w:rPr>
          <w:rFonts w:ascii="Times New Roman" w:hAnsi="Times New Roman" w:cs="Times New Roman"/>
          <w:sz w:val="24"/>
          <w:lang w:val="et-EE"/>
        </w:rPr>
        <w:t>on kassaraha 76 senti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, kohustused on </w:t>
      </w:r>
      <w:r w:rsidR="0069618F">
        <w:rPr>
          <w:rFonts w:ascii="Times New Roman" w:hAnsi="Times New Roman" w:cs="Times New Roman"/>
          <w:sz w:val="24"/>
          <w:lang w:val="et-EE"/>
        </w:rPr>
        <w:t xml:space="preserve">kokku </w:t>
      </w:r>
      <w:r w:rsidR="0057554C">
        <w:rPr>
          <w:rFonts w:ascii="Times New Roman" w:hAnsi="Times New Roman" w:cs="Times New Roman"/>
          <w:sz w:val="24"/>
          <w:lang w:val="et-EE"/>
        </w:rPr>
        <w:t xml:space="preserve">                                        </w:t>
      </w:r>
      <w:r w:rsidR="009A0A7C">
        <w:rPr>
          <w:rFonts w:ascii="Times New Roman" w:hAnsi="Times New Roman" w:cs="Times New Roman"/>
          <w:sz w:val="24"/>
          <w:lang w:val="et-EE"/>
        </w:rPr>
        <w:t>43 442</w:t>
      </w:r>
      <w:r w:rsidR="0069618F">
        <w:rPr>
          <w:rFonts w:ascii="Times New Roman" w:hAnsi="Times New Roman" w:cs="Times New Roman"/>
          <w:sz w:val="24"/>
          <w:lang w:val="et-EE"/>
        </w:rPr>
        <w:t xml:space="preserve"> euro </w:t>
      </w:r>
      <w:r w:rsidR="009A0A7C">
        <w:rPr>
          <w:rFonts w:ascii="Times New Roman" w:hAnsi="Times New Roman" w:cs="Times New Roman"/>
          <w:sz w:val="24"/>
          <w:lang w:val="et-EE"/>
        </w:rPr>
        <w:t>65</w:t>
      </w:r>
      <w:r w:rsidR="0069618F">
        <w:rPr>
          <w:rFonts w:ascii="Times New Roman" w:hAnsi="Times New Roman" w:cs="Times New Roman"/>
          <w:sz w:val="24"/>
          <w:lang w:val="et-EE"/>
        </w:rPr>
        <w:t xml:space="preserve"> sendi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 ulatuses)</w:t>
      </w:r>
      <w:r w:rsidR="0057554C">
        <w:rPr>
          <w:rFonts w:ascii="Times New Roman" w:hAnsi="Times New Roman" w:cs="Times New Roman"/>
          <w:sz w:val="24"/>
          <w:lang w:val="et-EE"/>
        </w:rPr>
        <w:t>. Ajuti</w:t>
      </w:r>
      <w:r w:rsidR="00242C95">
        <w:rPr>
          <w:rFonts w:ascii="Times New Roman" w:hAnsi="Times New Roman" w:cs="Times New Roman"/>
          <w:sz w:val="24"/>
          <w:lang w:val="et-EE"/>
        </w:rPr>
        <w:t>s</w:t>
      </w:r>
      <w:r w:rsidR="0057554C">
        <w:rPr>
          <w:rFonts w:ascii="Times New Roman" w:hAnsi="Times New Roman" w:cs="Times New Roman"/>
          <w:sz w:val="24"/>
          <w:lang w:val="et-EE"/>
        </w:rPr>
        <w:t>e haldur</w:t>
      </w:r>
      <w:r w:rsidR="00242C95">
        <w:rPr>
          <w:rFonts w:ascii="Times New Roman" w:hAnsi="Times New Roman" w:cs="Times New Roman"/>
          <w:sz w:val="24"/>
          <w:lang w:val="et-EE"/>
        </w:rPr>
        <w:t>i arvates võib juhatuse liige olla toime pannud raske juhtimisvea, tuginedes mh alljärgnevale:</w:t>
      </w:r>
    </w:p>
    <w:p w14:paraId="322ED0EB" w14:textId="7991F999" w:rsidR="0069618F" w:rsidRDefault="009A0A7C" w:rsidP="009A0A7C">
      <w:pPr>
        <w:pStyle w:val="Loendilik"/>
        <w:numPr>
          <w:ilvl w:val="0"/>
          <w:numId w:val="5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võlgniku juhatuse liige võib olla rikkunud hoolsuskohustust, kuna a</w:t>
      </w:r>
      <w:r w:rsidRPr="009A0A7C">
        <w:rPr>
          <w:rFonts w:ascii="Times New Roman" w:hAnsi="Times New Roman" w:cs="Times New Roman"/>
          <w:sz w:val="24"/>
          <w:lang w:val="et-EE"/>
        </w:rPr>
        <w:t xml:space="preserve">rvestades üürilepingu järgsete maksekohustuste järjepidavat mittetäitmist ja </w:t>
      </w:r>
      <w:r>
        <w:rPr>
          <w:rFonts w:ascii="Times New Roman" w:hAnsi="Times New Roman" w:cs="Times New Roman"/>
          <w:sz w:val="24"/>
          <w:lang w:val="et-EE"/>
        </w:rPr>
        <w:t>võla</w:t>
      </w:r>
      <w:r w:rsidRPr="009A0A7C">
        <w:rPr>
          <w:rFonts w:ascii="Times New Roman" w:hAnsi="Times New Roman" w:cs="Times New Roman"/>
          <w:sz w:val="24"/>
          <w:lang w:val="et-EE"/>
        </w:rPr>
        <w:t xml:space="preserve"> suurenemist</w:t>
      </w:r>
      <w:r>
        <w:rPr>
          <w:rFonts w:ascii="Times New Roman" w:hAnsi="Times New Roman" w:cs="Times New Roman"/>
          <w:sz w:val="24"/>
          <w:lang w:val="et-EE"/>
        </w:rPr>
        <w:t xml:space="preserve">, </w:t>
      </w:r>
      <w:r w:rsidRPr="009A0A7C">
        <w:rPr>
          <w:rFonts w:ascii="Times New Roman" w:hAnsi="Times New Roman" w:cs="Times New Roman"/>
          <w:sz w:val="24"/>
          <w:lang w:val="et-EE"/>
        </w:rPr>
        <w:t xml:space="preserve">oleks võlgnik pidanud lepingu muutmisega, maksete ajatamisega, lepingu lõpetamisega tegelema </w:t>
      </w:r>
      <w:r>
        <w:rPr>
          <w:rFonts w:ascii="Times New Roman" w:hAnsi="Times New Roman" w:cs="Times New Roman"/>
          <w:sz w:val="24"/>
          <w:lang w:val="et-EE"/>
        </w:rPr>
        <w:t xml:space="preserve">varem </w:t>
      </w:r>
      <w:r w:rsidRPr="009A0A7C">
        <w:rPr>
          <w:rFonts w:ascii="Times New Roman" w:hAnsi="Times New Roman" w:cs="Times New Roman"/>
          <w:sz w:val="24"/>
          <w:lang w:val="et-EE"/>
        </w:rPr>
        <w:t>kui 2023</w:t>
      </w:r>
      <w:r>
        <w:rPr>
          <w:rFonts w:ascii="Times New Roman" w:hAnsi="Times New Roman" w:cs="Times New Roman"/>
          <w:sz w:val="24"/>
          <w:lang w:val="et-EE"/>
        </w:rPr>
        <w:t xml:space="preserve">. a </w:t>
      </w:r>
      <w:r w:rsidRPr="009A0A7C">
        <w:rPr>
          <w:rFonts w:ascii="Times New Roman" w:hAnsi="Times New Roman" w:cs="Times New Roman"/>
          <w:sz w:val="24"/>
          <w:lang w:val="et-EE"/>
        </w:rPr>
        <w:t>oktoobri alguses</w:t>
      </w:r>
      <w:r>
        <w:rPr>
          <w:rFonts w:ascii="Times New Roman" w:hAnsi="Times New Roman" w:cs="Times New Roman"/>
          <w:sz w:val="24"/>
          <w:lang w:val="et-EE"/>
        </w:rPr>
        <w:t>);</w:t>
      </w:r>
    </w:p>
    <w:p w14:paraId="66169F05" w14:textId="3F6EF222" w:rsidR="009A0A7C" w:rsidRPr="00242C95" w:rsidRDefault="009A0A7C" w:rsidP="009A0A7C">
      <w:pPr>
        <w:pStyle w:val="Loendilik"/>
        <w:numPr>
          <w:ilvl w:val="0"/>
          <w:numId w:val="5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võlgniku juhatuse liige o</w:t>
      </w:r>
      <w:r w:rsidRPr="009A0A7C">
        <w:rPr>
          <w:rFonts w:ascii="Times New Roman" w:hAnsi="Times New Roman" w:cs="Times New Roman"/>
          <w:sz w:val="24"/>
          <w:lang w:val="et-EE"/>
        </w:rPr>
        <w:t xml:space="preserve">n võlgniku kontolt </w:t>
      </w:r>
      <w:r>
        <w:rPr>
          <w:rFonts w:ascii="Times New Roman" w:hAnsi="Times New Roman" w:cs="Times New Roman"/>
          <w:sz w:val="24"/>
          <w:lang w:val="et-EE"/>
        </w:rPr>
        <w:t>teinud</w:t>
      </w:r>
      <w:r w:rsidRPr="009A0A7C">
        <w:rPr>
          <w:rFonts w:ascii="Times New Roman" w:hAnsi="Times New Roman" w:cs="Times New Roman"/>
          <w:sz w:val="24"/>
          <w:lang w:val="et-EE"/>
        </w:rPr>
        <w:t xml:space="preserve"> endale väljamakseid (üle 180 korra) selgitusega „</w:t>
      </w:r>
      <w:proofErr w:type="spellStart"/>
      <w:r w:rsidRPr="009A0A7C">
        <w:rPr>
          <w:rFonts w:ascii="Times New Roman" w:hAnsi="Times New Roman" w:cs="Times New Roman"/>
          <w:sz w:val="24"/>
          <w:lang w:val="et-EE"/>
        </w:rPr>
        <w:t>maj.kulu</w:t>
      </w:r>
      <w:proofErr w:type="spellEnd"/>
      <w:r w:rsidRPr="009A0A7C">
        <w:rPr>
          <w:rFonts w:ascii="Times New Roman" w:hAnsi="Times New Roman" w:cs="Times New Roman"/>
          <w:sz w:val="24"/>
          <w:lang w:val="et-EE"/>
        </w:rPr>
        <w:t>“ 45 625 eurot (konto väljavõtte  andmetel on väljaminekuid üldse 57</w:t>
      </w:r>
      <w:r>
        <w:rPr>
          <w:rFonts w:ascii="Times New Roman" w:hAnsi="Times New Roman" w:cs="Times New Roman"/>
          <w:sz w:val="24"/>
          <w:lang w:val="et-EE"/>
        </w:rPr>
        <w:t> </w:t>
      </w:r>
      <w:r w:rsidRPr="009A0A7C">
        <w:rPr>
          <w:rFonts w:ascii="Times New Roman" w:hAnsi="Times New Roman" w:cs="Times New Roman"/>
          <w:sz w:val="24"/>
          <w:lang w:val="et-EE"/>
        </w:rPr>
        <w:t>742</w:t>
      </w:r>
      <w:r>
        <w:rPr>
          <w:rFonts w:ascii="Times New Roman" w:hAnsi="Times New Roman" w:cs="Times New Roman"/>
          <w:sz w:val="24"/>
          <w:lang w:val="et-EE"/>
        </w:rPr>
        <w:t xml:space="preserve"> eurot </w:t>
      </w:r>
      <w:r w:rsidRPr="009A0A7C">
        <w:rPr>
          <w:rFonts w:ascii="Times New Roman" w:hAnsi="Times New Roman" w:cs="Times New Roman"/>
          <w:sz w:val="24"/>
          <w:lang w:val="et-EE"/>
        </w:rPr>
        <w:t xml:space="preserve">99 </w:t>
      </w:r>
      <w:r>
        <w:rPr>
          <w:rFonts w:ascii="Times New Roman" w:hAnsi="Times New Roman" w:cs="Times New Roman"/>
          <w:sz w:val="24"/>
          <w:lang w:val="et-EE"/>
        </w:rPr>
        <w:t>senti</w:t>
      </w:r>
      <w:r w:rsidRPr="009A0A7C">
        <w:rPr>
          <w:rFonts w:ascii="Times New Roman" w:hAnsi="Times New Roman" w:cs="Times New Roman"/>
          <w:sz w:val="24"/>
          <w:lang w:val="et-EE"/>
        </w:rPr>
        <w:t>)</w:t>
      </w:r>
      <w:r>
        <w:rPr>
          <w:rFonts w:ascii="Times New Roman" w:hAnsi="Times New Roman" w:cs="Times New Roman"/>
          <w:sz w:val="24"/>
          <w:lang w:val="et-EE"/>
        </w:rPr>
        <w:t xml:space="preserve"> ning </w:t>
      </w:r>
      <w:r w:rsidRPr="009A0A7C">
        <w:rPr>
          <w:rFonts w:ascii="Times New Roman" w:hAnsi="Times New Roman" w:cs="Times New Roman"/>
          <w:sz w:val="24"/>
          <w:lang w:val="et-EE"/>
        </w:rPr>
        <w:t>endale väljamakseid (3) selgitusega „</w:t>
      </w:r>
      <w:proofErr w:type="spellStart"/>
      <w:r w:rsidRPr="009A0A7C">
        <w:rPr>
          <w:rFonts w:ascii="Times New Roman" w:hAnsi="Times New Roman" w:cs="Times New Roman"/>
          <w:sz w:val="24"/>
          <w:lang w:val="et-EE"/>
        </w:rPr>
        <w:t>yl</w:t>
      </w:r>
      <w:proofErr w:type="spellEnd"/>
      <w:r w:rsidRPr="009A0A7C">
        <w:rPr>
          <w:rFonts w:ascii="Times New Roman" w:hAnsi="Times New Roman" w:cs="Times New Roman"/>
          <w:sz w:val="24"/>
          <w:lang w:val="et-EE"/>
        </w:rPr>
        <w:t>“ 560 eurot</w:t>
      </w:r>
      <w:r>
        <w:rPr>
          <w:rFonts w:ascii="Times New Roman" w:hAnsi="Times New Roman" w:cs="Times New Roman"/>
          <w:sz w:val="24"/>
          <w:lang w:val="et-EE"/>
        </w:rPr>
        <w:t>, kassaraamatuandmetel on juhatuse liikmele välja makstud 8027 eurot 93 senti. P</w:t>
      </w:r>
      <w:r w:rsidRPr="009A0A7C">
        <w:rPr>
          <w:rFonts w:ascii="Times New Roman" w:hAnsi="Times New Roman" w:cs="Times New Roman"/>
          <w:sz w:val="24"/>
          <w:lang w:val="et-EE"/>
        </w:rPr>
        <w:t>angakontolt on enamuses juhtudel</w:t>
      </w:r>
      <w:r w:rsidR="00793B23">
        <w:rPr>
          <w:rFonts w:ascii="Times New Roman" w:hAnsi="Times New Roman" w:cs="Times New Roman"/>
          <w:sz w:val="24"/>
          <w:lang w:val="et-EE"/>
        </w:rPr>
        <w:t xml:space="preserve"> </w:t>
      </w:r>
      <w:r w:rsidRPr="009A0A7C">
        <w:rPr>
          <w:rFonts w:ascii="Times New Roman" w:hAnsi="Times New Roman" w:cs="Times New Roman"/>
          <w:sz w:val="24"/>
          <w:lang w:val="et-EE"/>
        </w:rPr>
        <w:t xml:space="preserve">väljamaksed </w:t>
      </w:r>
      <w:r w:rsidR="00793B23">
        <w:rPr>
          <w:rFonts w:ascii="Times New Roman" w:hAnsi="Times New Roman" w:cs="Times New Roman"/>
          <w:sz w:val="24"/>
          <w:lang w:val="et-EE"/>
        </w:rPr>
        <w:t>tehtud</w:t>
      </w:r>
      <w:r w:rsidRPr="009A0A7C">
        <w:rPr>
          <w:rFonts w:ascii="Times New Roman" w:hAnsi="Times New Roman" w:cs="Times New Roman"/>
          <w:sz w:val="24"/>
          <w:lang w:val="et-EE"/>
        </w:rPr>
        <w:t xml:space="preserve"> pärast tulu laekumist ehk raha võlgniku kohustuste täitmiseks kontole ei jäetud ja kassast võlausaldajatele  väljamakseid ei teostatud.</w:t>
      </w:r>
      <w:r w:rsidR="00242C95">
        <w:rPr>
          <w:rFonts w:ascii="Times New Roman" w:hAnsi="Times New Roman" w:cs="Times New Roman"/>
          <w:sz w:val="24"/>
          <w:lang w:val="et-EE"/>
        </w:rPr>
        <w:t xml:space="preserve"> V</w:t>
      </w:r>
      <w:r w:rsidR="00242C95" w:rsidRPr="00242C95">
        <w:rPr>
          <w:rFonts w:ascii="Times New Roman" w:hAnsi="Times New Roman" w:cs="Times New Roman"/>
          <w:sz w:val="24"/>
          <w:lang w:val="et-EE"/>
        </w:rPr>
        <w:t xml:space="preserve">ähemalt 45 625 euro kasutamine </w:t>
      </w:r>
      <w:r w:rsidR="00793B23">
        <w:rPr>
          <w:rFonts w:ascii="Times New Roman" w:hAnsi="Times New Roman" w:cs="Times New Roman"/>
          <w:sz w:val="24"/>
          <w:lang w:val="et-EE"/>
        </w:rPr>
        <w:t xml:space="preserve">on </w:t>
      </w:r>
      <w:r w:rsidR="00242C95" w:rsidRPr="00242C95">
        <w:rPr>
          <w:rFonts w:ascii="Times New Roman" w:hAnsi="Times New Roman" w:cs="Times New Roman"/>
          <w:sz w:val="24"/>
          <w:lang w:val="et-EE"/>
        </w:rPr>
        <w:t>võlgniku huvides/majandustegevuses on kontokirjete põhjal tõendamata</w:t>
      </w:r>
      <w:r w:rsidR="00242C95">
        <w:rPr>
          <w:rFonts w:ascii="Times New Roman" w:hAnsi="Times New Roman" w:cs="Times New Roman"/>
          <w:sz w:val="24"/>
          <w:lang w:val="et-EE"/>
        </w:rPr>
        <w:t xml:space="preserve">. </w:t>
      </w:r>
      <w:r w:rsidR="00242C95" w:rsidRPr="00242C95">
        <w:rPr>
          <w:rFonts w:ascii="Times New Roman" w:hAnsi="Times New Roman" w:cs="Times New Roman"/>
          <w:sz w:val="24"/>
          <w:lang w:val="et-EE"/>
        </w:rPr>
        <w:t>Võlgnik on edastanud</w:t>
      </w:r>
      <w:r w:rsidR="00242C95">
        <w:rPr>
          <w:rFonts w:ascii="Times New Roman" w:hAnsi="Times New Roman" w:cs="Times New Roman"/>
          <w:sz w:val="24"/>
          <w:lang w:val="et-EE"/>
        </w:rPr>
        <w:t xml:space="preserve"> väljavõtted pearaamatust kulutuste tegemise kohta</w:t>
      </w:r>
      <w:r w:rsidR="00793B23">
        <w:rPr>
          <w:rFonts w:ascii="Times New Roman" w:hAnsi="Times New Roman" w:cs="Times New Roman"/>
          <w:sz w:val="24"/>
          <w:lang w:val="et-EE"/>
        </w:rPr>
        <w:t>;</w:t>
      </w:r>
    </w:p>
    <w:p w14:paraId="22D03054" w14:textId="63BFE7E3" w:rsidR="00242C95" w:rsidRDefault="00242C95" w:rsidP="009A0A7C">
      <w:pPr>
        <w:pStyle w:val="Loendilik"/>
        <w:numPr>
          <w:ilvl w:val="0"/>
          <w:numId w:val="5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v</w:t>
      </w:r>
      <w:r w:rsidRPr="00242C95">
        <w:rPr>
          <w:rFonts w:ascii="Times New Roman" w:hAnsi="Times New Roman" w:cs="Times New Roman"/>
          <w:sz w:val="24"/>
          <w:lang w:val="et-EE"/>
        </w:rPr>
        <w:t>õlgniku kassa sissetulekute kirjed/pangakonto maksete selgitused ei kajasta tehtud  tehingud ja neist ei ole võimalik aru saada nende sisu ja seotust võlgniku  majandustegevusega</w:t>
      </w:r>
      <w:r>
        <w:rPr>
          <w:rFonts w:ascii="Times New Roman" w:hAnsi="Times New Roman" w:cs="Times New Roman"/>
          <w:sz w:val="24"/>
          <w:lang w:val="et-EE"/>
        </w:rPr>
        <w:t>;</w:t>
      </w:r>
    </w:p>
    <w:p w14:paraId="4A726E2D" w14:textId="157D750C" w:rsidR="00242C95" w:rsidRDefault="00242C95" w:rsidP="009A0A7C">
      <w:pPr>
        <w:pStyle w:val="Loendilik"/>
        <w:numPr>
          <w:ilvl w:val="0"/>
          <w:numId w:val="5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võlgniku juhatuse liige võib olla rikkunud pankrotiavalduse esitamise kohustust.</w:t>
      </w:r>
    </w:p>
    <w:p w14:paraId="08F724A3" w14:textId="52A39EF4" w:rsidR="007B59F6" w:rsidRDefault="00FB724F" w:rsidP="0069618F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sz w:val="24"/>
          <w:lang w:val="et-EE"/>
        </w:rPr>
        <w:t xml:space="preserve">Võlgnikul vara puudumise tõttu määras kohus 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menetluse raugemise vältimiseks pankrotimenetluse kulude katteks kohtu deposiiti makstava summa suuruseks </w:t>
      </w:r>
      <w:r w:rsidR="003628F4">
        <w:rPr>
          <w:rFonts w:ascii="Times New Roman" w:hAnsi="Times New Roman" w:cs="Times New Roman"/>
          <w:sz w:val="24"/>
          <w:lang w:val="et-EE"/>
        </w:rPr>
        <w:t>2</w:t>
      </w:r>
      <w:r w:rsidR="00103BD2">
        <w:rPr>
          <w:rFonts w:ascii="Times New Roman" w:hAnsi="Times New Roman" w:cs="Times New Roman"/>
          <w:sz w:val="24"/>
          <w:lang w:val="et-EE"/>
        </w:rPr>
        <w:t>500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eurot. Ükski isik ei ole deposii</w:t>
      </w:r>
      <w:r w:rsidR="00103BD2">
        <w:rPr>
          <w:rFonts w:ascii="Times New Roman" w:hAnsi="Times New Roman" w:cs="Times New Roman"/>
          <w:sz w:val="24"/>
          <w:lang w:val="et-EE"/>
        </w:rPr>
        <w:t>ti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maksnud. Seega on tekkinud </w:t>
      </w:r>
      <w:r w:rsidR="00962DBC"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 w:rsidR="007B59F6" w:rsidRPr="007B59F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62DBC">
        <w:rPr>
          <w:rFonts w:ascii="Times New Roman" w:hAnsi="Times New Roman" w:cs="Times New Roman"/>
          <w:sz w:val="24"/>
          <w:lang w:val="et-EE"/>
        </w:rPr>
        <w:t>)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§ 29 </w:t>
      </w:r>
      <w:proofErr w:type="spellStart"/>
      <w:r w:rsidR="007B59F6" w:rsidRPr="007B59F6">
        <w:rPr>
          <w:rFonts w:ascii="Times New Roman" w:hAnsi="Times New Roman" w:cs="Times New Roman"/>
          <w:sz w:val="24"/>
          <w:lang w:val="et-EE"/>
        </w:rPr>
        <w:t>lg-s</w:t>
      </w:r>
      <w:proofErr w:type="spellEnd"/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1 sätestatud raugemise olukord. </w:t>
      </w:r>
      <w:proofErr w:type="spellStart"/>
      <w:r w:rsidR="007B59F6" w:rsidRPr="007B59F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§ 30 lg 5 kohaselt kui sama sätte lõikes 1 nimetatud deposiiti ei maksta, teeb kohus juriidilisest isikust võlgniku puhul maksejõuetuse teenistusele ettepaneku esitada avaldus pankrotimenetluse läbiviimiseks avaliku uurimisena ja annab avalduse esitamiseks mõistliku tähtaja.</w:t>
      </w:r>
    </w:p>
    <w:p w14:paraId="47D3FD4A" w14:textId="442DEEC9" w:rsidR="007B59F6" w:rsidRPr="007B59F6" w:rsidRDefault="007B59F6" w:rsidP="0057554C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b/>
          <w:bCs/>
          <w:sz w:val="24"/>
          <w:lang w:val="et-EE"/>
        </w:rPr>
        <w:lastRenderedPageBreak/>
        <w:t xml:space="preserve">Eelnevat arvestades teeb kohus maksejõuetuse teenistusele ettepaneku esitada avaldus pankrotimenetluse läbiviimiseks avaliku uurimisena hiljemalt </w:t>
      </w:r>
      <w:r w:rsidR="003628F4">
        <w:rPr>
          <w:rFonts w:ascii="Times New Roman" w:hAnsi="Times New Roman" w:cs="Times New Roman"/>
          <w:b/>
          <w:bCs/>
          <w:sz w:val="24"/>
          <w:u w:val="single"/>
          <w:lang w:val="et-EE"/>
        </w:rPr>
        <w:t>28. maiks</w:t>
      </w:r>
      <w:r w:rsidRPr="00103BD2">
        <w:rPr>
          <w:rFonts w:ascii="Times New Roman" w:hAnsi="Times New Roman" w:cs="Times New Roman"/>
          <w:b/>
          <w:bCs/>
          <w:sz w:val="24"/>
          <w:u w:val="single"/>
          <w:lang w:val="et-EE"/>
        </w:rPr>
        <w:t xml:space="preserve"> 2024</w:t>
      </w:r>
      <w:r w:rsidRPr="007B59F6">
        <w:rPr>
          <w:rFonts w:ascii="Times New Roman" w:hAnsi="Times New Roman" w:cs="Times New Roman"/>
          <w:b/>
          <w:bCs/>
          <w:sz w:val="24"/>
          <w:lang w:val="et-EE"/>
        </w:rPr>
        <w:t>.</w:t>
      </w:r>
      <w:r w:rsidR="00D07B1C">
        <w:rPr>
          <w:rFonts w:ascii="Times New Roman" w:hAnsi="Times New Roman" w:cs="Times New Roman"/>
          <w:b/>
          <w:bCs/>
          <w:sz w:val="24"/>
          <w:lang w:val="et-EE"/>
        </w:rPr>
        <w:t xml:space="preserve"> </w:t>
      </w:r>
    </w:p>
    <w:p w14:paraId="4E34A188" w14:textId="77777777" w:rsidR="00FB724F" w:rsidRDefault="00FB724F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4E0F7C7" w14:textId="77777777" w:rsidR="00FB724F" w:rsidRDefault="00FB724F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3A2086D" w14:textId="35540F6F" w:rsidR="005C64F3" w:rsidRDefault="005C64F3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Lugupidamisega</w:t>
      </w:r>
    </w:p>
    <w:p w14:paraId="776F50CD" w14:textId="77777777" w:rsidR="001115CA" w:rsidRPr="00871265" w:rsidRDefault="001115CA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F640C4F" w14:textId="3784ADD4" w:rsidR="005C64F3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(</w:t>
      </w:r>
      <w:r w:rsidR="005C64F3" w:rsidRPr="00871265">
        <w:rPr>
          <w:rFonts w:ascii="Times New Roman" w:hAnsi="Times New Roman" w:cs="Times New Roman"/>
          <w:sz w:val="24"/>
          <w:lang w:val="et-EE"/>
        </w:rPr>
        <w:t>allkirjastatud digitaalselt</w:t>
      </w:r>
      <w:r w:rsidRPr="00871265">
        <w:rPr>
          <w:rFonts w:ascii="Times New Roman" w:hAnsi="Times New Roman" w:cs="Times New Roman"/>
          <w:sz w:val="24"/>
          <w:lang w:val="et-EE"/>
        </w:rPr>
        <w:t>)</w:t>
      </w:r>
    </w:p>
    <w:p w14:paraId="4AC7F22A" w14:textId="2A7342C0" w:rsidR="005C64F3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Mari S</w:t>
      </w:r>
      <w:r w:rsidR="00894EA1" w:rsidRPr="00871265">
        <w:rPr>
          <w:rFonts w:ascii="Times New Roman" w:hAnsi="Times New Roman" w:cs="Times New Roman"/>
          <w:sz w:val="24"/>
          <w:lang w:val="et-EE"/>
        </w:rPr>
        <w:t>c</w:t>
      </w:r>
      <w:r w:rsidRPr="00871265">
        <w:rPr>
          <w:rFonts w:ascii="Times New Roman" w:hAnsi="Times New Roman" w:cs="Times New Roman"/>
          <w:sz w:val="24"/>
          <w:lang w:val="et-EE"/>
        </w:rPr>
        <w:t>hihalejev</w:t>
      </w:r>
    </w:p>
    <w:p w14:paraId="5187505F" w14:textId="5FFF6522" w:rsidR="004C54DE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kohtunik</w:t>
      </w:r>
    </w:p>
    <w:sectPr w:rsidR="004C54DE" w:rsidRPr="00871265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FA740" w14:textId="77777777" w:rsidR="00B90985" w:rsidRDefault="00B90985" w:rsidP="00DA1915">
      <w:r>
        <w:separator/>
      </w:r>
    </w:p>
  </w:endnote>
  <w:endnote w:type="continuationSeparator" w:id="0">
    <w:p w14:paraId="40B28AFC" w14:textId="77777777" w:rsidR="00B90985" w:rsidRDefault="00B9098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6716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F72349" w14:textId="3F8D84B5" w:rsidR="004F05CF" w:rsidRPr="0064692B" w:rsidRDefault="004F05CF" w:rsidP="004F05C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proofErr w:type="spellStart"/>
                          <w:r w:rsidRPr="0064692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Aadress</w:t>
                          </w:r>
                          <w:proofErr w:type="spellEnd"/>
                          <w:r w:rsidRPr="0064692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: </w:t>
                          </w:r>
                          <w:proofErr w:type="spellStart"/>
                          <w:r w:rsidRPr="0064692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Vabaduse</w:t>
                          </w:r>
                          <w:proofErr w:type="spellEnd"/>
                          <w:r w:rsidRPr="0064692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13, Võru, </w:t>
                          </w:r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65620; </w:t>
                          </w:r>
                          <w:proofErr w:type="spellStart"/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regis</w:t>
                          </w:r>
                          <w:r w:rsidR="00E36FA4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trikood</w:t>
                          </w:r>
                          <w:proofErr w:type="spellEnd"/>
                          <w:r w:rsidR="00E36FA4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74001966; </w:t>
                          </w:r>
                          <w:proofErr w:type="spellStart"/>
                          <w:r w:rsidR="00E36FA4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telefon</w:t>
                          </w:r>
                          <w:proofErr w:type="spellEnd"/>
                          <w:r w:rsidR="00E36FA4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: 620 0100</w:t>
                          </w:r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</w:t>
                          </w:r>
                          <w:proofErr w:type="spellStart"/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faks</w:t>
                          </w:r>
                          <w:proofErr w:type="spellEnd"/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782 1562; e-post: </w:t>
                          </w:r>
                          <w:hyperlink r:id="rId1" w:history="1">
                            <w:r w:rsidR="005F76F2" w:rsidRPr="005F76F2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tmkvoru.menetlus@kohus.ee</w:t>
                            </w:r>
                          </w:hyperlink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0E39EBE8" w14:textId="6D67A821" w:rsidR="00FC186C" w:rsidRPr="004F05CF" w:rsidRDefault="004F05CF" w:rsidP="004F05C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64692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Lisainfo</w:t>
                          </w:r>
                          <w:proofErr w:type="spellEnd"/>
                          <w:r w:rsidRPr="0064692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hyperlink r:id="rId2" w:history="1">
                            <w:r w:rsidRPr="0064692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DF72349" w14:textId="3F8D84B5" w:rsidR="004F05CF" w:rsidRPr="0064692B" w:rsidRDefault="004F05CF" w:rsidP="004F05C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64692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Aadress: Vabaduse 13, Võru, </w:t>
                    </w:r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65620; regis</w:t>
                    </w:r>
                    <w:r w:rsidR="00E36FA4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trikood: 74001966; telefon: 620 0100</w:t>
                    </w:r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faks: 782 1562; e-post: </w:t>
                    </w:r>
                    <w:hyperlink r:id="rId3" w:history="1">
                      <w:r w:rsidR="005F76F2" w:rsidRPr="005F76F2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tmkvoru.menetlus@kohus.ee</w:t>
                      </w:r>
                    </w:hyperlink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0E39EBE8" w14:textId="6D67A821" w:rsidR="00FC186C" w:rsidRPr="004F05CF" w:rsidRDefault="004F05CF" w:rsidP="004F05C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64692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64692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2D0CE" w14:textId="77777777" w:rsidR="00B90985" w:rsidRDefault="00B90985" w:rsidP="00DA1915">
      <w:r>
        <w:separator/>
      </w:r>
    </w:p>
  </w:footnote>
  <w:footnote w:type="continuationSeparator" w:id="0">
    <w:p w14:paraId="7BCD491B" w14:textId="77777777" w:rsidR="00B90985" w:rsidRDefault="00B9098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33BD8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7CA3"/>
    <w:multiLevelType w:val="hybridMultilevel"/>
    <w:tmpl w:val="CDDACA38"/>
    <w:lvl w:ilvl="0" w:tplc="5132536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161B9"/>
    <w:multiLevelType w:val="multilevel"/>
    <w:tmpl w:val="96C6D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0185647"/>
    <w:multiLevelType w:val="hybridMultilevel"/>
    <w:tmpl w:val="30B63206"/>
    <w:lvl w:ilvl="0" w:tplc="81C615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D3E82"/>
    <w:multiLevelType w:val="hybridMultilevel"/>
    <w:tmpl w:val="3E6660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7009F"/>
    <w:multiLevelType w:val="multilevel"/>
    <w:tmpl w:val="9A0C6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0176320">
    <w:abstractNumId w:val="0"/>
  </w:num>
  <w:num w:numId="2" w16cid:durableId="953828197">
    <w:abstractNumId w:val="1"/>
  </w:num>
  <w:num w:numId="3" w16cid:durableId="1961566857">
    <w:abstractNumId w:val="2"/>
  </w:num>
  <w:num w:numId="4" w16cid:durableId="595360137">
    <w:abstractNumId w:val="4"/>
  </w:num>
  <w:num w:numId="5" w16cid:durableId="399327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4544D"/>
    <w:rsid w:val="000725C3"/>
    <w:rsid w:val="0008009A"/>
    <w:rsid w:val="000D6D1A"/>
    <w:rsid w:val="000E40C3"/>
    <w:rsid w:val="000E74C5"/>
    <w:rsid w:val="00103BD2"/>
    <w:rsid w:val="001115CA"/>
    <w:rsid w:val="0014488E"/>
    <w:rsid w:val="001500A1"/>
    <w:rsid w:val="001D04D1"/>
    <w:rsid w:val="001D5882"/>
    <w:rsid w:val="0020326E"/>
    <w:rsid w:val="002204B9"/>
    <w:rsid w:val="00227514"/>
    <w:rsid w:val="00241D58"/>
    <w:rsid w:val="00242C95"/>
    <w:rsid w:val="002719AB"/>
    <w:rsid w:val="002829F7"/>
    <w:rsid w:val="00286663"/>
    <w:rsid w:val="002A7545"/>
    <w:rsid w:val="002C6342"/>
    <w:rsid w:val="002E20DD"/>
    <w:rsid w:val="002E2756"/>
    <w:rsid w:val="00314EAD"/>
    <w:rsid w:val="00324953"/>
    <w:rsid w:val="003313C8"/>
    <w:rsid w:val="00334036"/>
    <w:rsid w:val="003611A3"/>
    <w:rsid w:val="003628F4"/>
    <w:rsid w:val="00363DA3"/>
    <w:rsid w:val="00394E05"/>
    <w:rsid w:val="003D56C4"/>
    <w:rsid w:val="003E4679"/>
    <w:rsid w:val="003F0460"/>
    <w:rsid w:val="003F41E1"/>
    <w:rsid w:val="003F6F57"/>
    <w:rsid w:val="004052AA"/>
    <w:rsid w:val="004309DD"/>
    <w:rsid w:val="00432A25"/>
    <w:rsid w:val="00433DF8"/>
    <w:rsid w:val="004365BC"/>
    <w:rsid w:val="00447A57"/>
    <w:rsid w:val="004547D8"/>
    <w:rsid w:val="004658CD"/>
    <w:rsid w:val="0048514C"/>
    <w:rsid w:val="004900A5"/>
    <w:rsid w:val="00494C7C"/>
    <w:rsid w:val="004A1192"/>
    <w:rsid w:val="004B3BBB"/>
    <w:rsid w:val="004C54DE"/>
    <w:rsid w:val="004C66D8"/>
    <w:rsid w:val="004F05CF"/>
    <w:rsid w:val="004F62CB"/>
    <w:rsid w:val="0051481A"/>
    <w:rsid w:val="00537743"/>
    <w:rsid w:val="00562726"/>
    <w:rsid w:val="00570C18"/>
    <w:rsid w:val="0057554C"/>
    <w:rsid w:val="005A5618"/>
    <w:rsid w:val="005C64F3"/>
    <w:rsid w:val="005D199D"/>
    <w:rsid w:val="005F76F2"/>
    <w:rsid w:val="0062638A"/>
    <w:rsid w:val="00663A0A"/>
    <w:rsid w:val="0066649D"/>
    <w:rsid w:val="00671491"/>
    <w:rsid w:val="0069618F"/>
    <w:rsid w:val="006B6A9C"/>
    <w:rsid w:val="006C4ACF"/>
    <w:rsid w:val="006D28A8"/>
    <w:rsid w:val="006E2A1E"/>
    <w:rsid w:val="006F63AC"/>
    <w:rsid w:val="00707A91"/>
    <w:rsid w:val="00725D88"/>
    <w:rsid w:val="00727D05"/>
    <w:rsid w:val="00743A0F"/>
    <w:rsid w:val="00755552"/>
    <w:rsid w:val="00785ED8"/>
    <w:rsid w:val="00791DB2"/>
    <w:rsid w:val="00793B23"/>
    <w:rsid w:val="007B0701"/>
    <w:rsid w:val="007B59F6"/>
    <w:rsid w:val="007C4458"/>
    <w:rsid w:val="007C5C9D"/>
    <w:rsid w:val="007D5A8A"/>
    <w:rsid w:val="007D6466"/>
    <w:rsid w:val="007E7949"/>
    <w:rsid w:val="00802F77"/>
    <w:rsid w:val="008111D5"/>
    <w:rsid w:val="0081754F"/>
    <w:rsid w:val="00821502"/>
    <w:rsid w:val="008256C3"/>
    <w:rsid w:val="008260A6"/>
    <w:rsid w:val="008529D4"/>
    <w:rsid w:val="00865059"/>
    <w:rsid w:val="00871265"/>
    <w:rsid w:val="00873A81"/>
    <w:rsid w:val="00894EA1"/>
    <w:rsid w:val="008B1AB4"/>
    <w:rsid w:val="008C2D72"/>
    <w:rsid w:val="008C340E"/>
    <w:rsid w:val="008F0FC9"/>
    <w:rsid w:val="008F5DEF"/>
    <w:rsid w:val="009028AB"/>
    <w:rsid w:val="009127F1"/>
    <w:rsid w:val="00940CFB"/>
    <w:rsid w:val="009436D8"/>
    <w:rsid w:val="00962DBC"/>
    <w:rsid w:val="009A0A7C"/>
    <w:rsid w:val="009B4DD2"/>
    <w:rsid w:val="009C20A4"/>
    <w:rsid w:val="009E3E23"/>
    <w:rsid w:val="00A252B8"/>
    <w:rsid w:val="00A6465E"/>
    <w:rsid w:val="00A64ACE"/>
    <w:rsid w:val="00A76E30"/>
    <w:rsid w:val="00AA3F1E"/>
    <w:rsid w:val="00AB1690"/>
    <w:rsid w:val="00AC7633"/>
    <w:rsid w:val="00AE753C"/>
    <w:rsid w:val="00AF3125"/>
    <w:rsid w:val="00B1243C"/>
    <w:rsid w:val="00B16574"/>
    <w:rsid w:val="00B24D06"/>
    <w:rsid w:val="00B310B5"/>
    <w:rsid w:val="00B5095F"/>
    <w:rsid w:val="00B57933"/>
    <w:rsid w:val="00B722FB"/>
    <w:rsid w:val="00B90985"/>
    <w:rsid w:val="00BA5542"/>
    <w:rsid w:val="00BA6108"/>
    <w:rsid w:val="00BB2D44"/>
    <w:rsid w:val="00BD5E29"/>
    <w:rsid w:val="00C0402D"/>
    <w:rsid w:val="00C42387"/>
    <w:rsid w:val="00C558B5"/>
    <w:rsid w:val="00C63C51"/>
    <w:rsid w:val="00C676B3"/>
    <w:rsid w:val="00C730FF"/>
    <w:rsid w:val="00C74E7C"/>
    <w:rsid w:val="00C802CE"/>
    <w:rsid w:val="00C8651B"/>
    <w:rsid w:val="00CA57E5"/>
    <w:rsid w:val="00CC138E"/>
    <w:rsid w:val="00CD3E78"/>
    <w:rsid w:val="00CD6D1F"/>
    <w:rsid w:val="00CE278A"/>
    <w:rsid w:val="00CF536A"/>
    <w:rsid w:val="00D07B1C"/>
    <w:rsid w:val="00D255B7"/>
    <w:rsid w:val="00D32D7F"/>
    <w:rsid w:val="00D50037"/>
    <w:rsid w:val="00D67E7F"/>
    <w:rsid w:val="00D70B7F"/>
    <w:rsid w:val="00DA1915"/>
    <w:rsid w:val="00E116D0"/>
    <w:rsid w:val="00E349D5"/>
    <w:rsid w:val="00E35F1C"/>
    <w:rsid w:val="00E36FA4"/>
    <w:rsid w:val="00E64EA2"/>
    <w:rsid w:val="00E7252F"/>
    <w:rsid w:val="00EA101F"/>
    <w:rsid w:val="00EB0DA6"/>
    <w:rsid w:val="00ED24E6"/>
    <w:rsid w:val="00EE3824"/>
    <w:rsid w:val="00EE667C"/>
    <w:rsid w:val="00EF5F43"/>
    <w:rsid w:val="00F14807"/>
    <w:rsid w:val="00F44F2E"/>
    <w:rsid w:val="00F50AFA"/>
    <w:rsid w:val="00F557D5"/>
    <w:rsid w:val="00F61A64"/>
    <w:rsid w:val="00F759EE"/>
    <w:rsid w:val="00FA4C85"/>
    <w:rsid w:val="00FB724F"/>
    <w:rsid w:val="00FC186C"/>
    <w:rsid w:val="00FD2773"/>
    <w:rsid w:val="00FD3949"/>
    <w:rsid w:val="00F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paragraph" w:styleId="Loendilik">
    <w:name w:val="List Paragraph"/>
    <w:basedOn w:val="Normaallaad"/>
    <w:uiPriority w:val="34"/>
    <w:rsid w:val="00C42387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FB7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mkvoru.menetlus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tmkvoru.menetlus@kohus.ee" TargetMode="External"/><Relationship Id="rId4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AF4FE9-3AC0-4AE5-8643-87B92C12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408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Mari Schihalejev</cp:lastModifiedBy>
  <cp:revision>7</cp:revision>
  <dcterms:created xsi:type="dcterms:W3CDTF">2024-04-29T19:31:00Z</dcterms:created>
  <dcterms:modified xsi:type="dcterms:W3CDTF">2024-04-29T19:49:00Z</dcterms:modified>
</cp:coreProperties>
</file>