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3"/>
        <w:tblW w:w="0" w:type="auto"/>
        <w:tblLook w:val="0000" w:firstRow="0" w:lastRow="0" w:firstColumn="0" w:lastColumn="0" w:noHBand="0" w:noVBand="0"/>
      </w:tblPr>
      <w:tblGrid>
        <w:gridCol w:w="1877"/>
        <w:gridCol w:w="709"/>
        <w:gridCol w:w="2693"/>
      </w:tblGrid>
      <w:tr w:rsidRPr="001B0F2A" w:rsidR="001B0F2A" w:rsidTr="0084199A" w14:paraId="2CBBDFB5" w14:textId="77777777">
        <w:tc>
          <w:tcPr>
            <w:tcW w:w="1877" w:type="dxa"/>
            <w:tcBorders>
              <w:top w:val="nil"/>
              <w:left w:val="nil"/>
              <w:bottom w:val="single" w:color="auto" w:sz="4" w:space="0"/>
              <w:right w:val="nil"/>
            </w:tcBorders>
          </w:tcPr>
          <w:p w:rsidRPr="001B0F2A" w:rsidR="002F6A69" w:rsidP="00B55A9B" w:rsidRDefault="002F6A69" w14:paraId="135805C7" w14:textId="77777777">
            <w:pPr>
              <w:tabs>
                <w:tab w:val="left" w:pos="3960"/>
              </w:tabs>
              <w:autoSpaceDE w:val="0"/>
              <w:autoSpaceDN w:val="0"/>
              <w:adjustRightInd w:val="0"/>
              <w:ind w:firstLine="0"/>
              <w:jc w:val="left"/>
              <w:rPr>
                <w:rFonts w:eastAsia="Times New Roman" w:cs="Times New Roman"/>
                <w:iCs/>
                <w:szCs w:val="24"/>
              </w:rPr>
            </w:pPr>
            <w:r w:rsidRPr="001B0F2A">
              <w:rPr>
                <w:rFonts w:eastAsia="Times New Roman" w:cs="Times New Roman"/>
                <w:iCs/>
                <w:szCs w:val="24"/>
              </w:rPr>
              <w:fldChar w:fldCharType="begin">
                <w:ffData>
                  <w:name w:val="reg_dat"/>
                  <w:enabled/>
                  <w:calcOnExit w:val="0"/>
                  <w:textInput>
                    <w:default w:val="                      "/>
                  </w:textInput>
                </w:ffData>
              </w:fldChar>
            </w:r>
            <w:bookmarkStart w:name="reg_dat" w:id="0"/>
            <w:r>
              <w:rPr>
                <w:rFonts w:eastAsia="Times New Roman" w:cs="Times New Roman"/>
                <w:iCs/>
                <w:szCs w:val="24"/>
              </w:rPr>
              <w:t>16.09.2024.</w:t>
            </w:r>
            <w:bookmarkEnd w:id="0"/>
          </w:p>
        </w:tc>
        <w:tc>
          <w:tcPr>
            <w:tcW w:w="709" w:type="dxa"/>
            <w:tcBorders>
              <w:top w:val="nil"/>
              <w:left w:val="nil"/>
              <w:bottom w:val="nil"/>
              <w:right w:val="nil"/>
            </w:tcBorders>
          </w:tcPr>
          <w:p w:rsidRPr="001B0F2A" w:rsidR="002F6A69" w:rsidP="00B55A9B" w:rsidRDefault="002F6A69" w14:paraId="32E258B8" w14:textId="77777777">
            <w:pPr>
              <w:tabs>
                <w:tab w:val="left" w:pos="360"/>
                <w:tab w:val="left" w:pos="3960"/>
              </w:tabs>
              <w:autoSpaceDE w:val="0"/>
              <w:autoSpaceDN w:val="0"/>
              <w:adjustRightInd w:val="0"/>
              <w:ind w:firstLine="0"/>
              <w:jc w:val="right"/>
              <w:rPr>
                <w:rFonts w:eastAsia="Times New Roman" w:cs="Times New Roman"/>
                <w:iCs/>
                <w:szCs w:val="24"/>
              </w:rPr>
            </w:pPr>
            <w:r w:rsidRPr="001B0F2A">
              <w:rPr>
                <w:rFonts w:eastAsia="Times New Roman" w:cs="Times New Roman"/>
                <w:iCs/>
                <w:szCs w:val="24"/>
              </w:rPr>
              <w:t>Nr.</w:t>
            </w:r>
          </w:p>
        </w:tc>
        <w:tc>
          <w:tcPr>
            <w:tcW w:w="2693" w:type="dxa"/>
            <w:tcBorders>
              <w:top w:val="nil"/>
              <w:left w:val="nil"/>
              <w:bottom w:val="single" w:color="auto" w:sz="4" w:space="0"/>
              <w:right w:val="nil"/>
            </w:tcBorders>
          </w:tcPr>
          <w:p w:rsidRPr="001B0F2A" w:rsidR="002F6A69" w:rsidP="00B55A9B" w:rsidRDefault="002F6A69" w14:paraId="307251E1" w14:textId="77777777">
            <w:pPr>
              <w:tabs>
                <w:tab w:val="left" w:pos="360"/>
                <w:tab w:val="left" w:pos="3960"/>
              </w:tabs>
              <w:autoSpaceDE w:val="0"/>
              <w:autoSpaceDN w:val="0"/>
              <w:adjustRightInd w:val="0"/>
              <w:ind w:right="37" w:firstLine="0"/>
              <w:jc w:val="left"/>
              <w:rPr>
                <w:rFonts w:eastAsia="Times New Roman" w:cs="Times New Roman"/>
                <w:iCs/>
                <w:szCs w:val="24"/>
              </w:rPr>
            </w:pPr>
            <w:r w:rsidRPr="001B0F2A">
              <w:rPr>
                <w:rFonts w:eastAsia="Times New Roman" w:cs="Times New Roman"/>
                <w:iCs/>
                <w:szCs w:val="24"/>
              </w:rPr>
              <w:t xml:space="preserve">4.5 / </w:t>
            </w:r>
            <w:r w:rsidRPr="001B0F2A">
              <w:rPr>
                <w:rFonts w:eastAsia="Times New Roman" w:cs="Times New Roman"/>
                <w:iCs/>
                <w:szCs w:val="24"/>
              </w:rPr>
              <w:fldChar w:fldCharType="begin">
                <w:ffData>
                  <w:name w:val="reg_num"/>
                  <w:enabled/>
                  <w:calcOnExit w:val="0"/>
                  <w:textInput>
                    <w:default w:val="            "/>
                  </w:textInput>
                </w:ffData>
              </w:fldChar>
            </w:r>
            <w:bookmarkStart w:name="reg_num" w:id="1"/>
            <w:r>
              <w:rPr>
                <w:rFonts w:eastAsia="Times New Roman" w:cs="Times New Roman"/>
                <w:iCs/>
                <w:szCs w:val="24"/>
              </w:rPr>
              <w:t>17079</w:t>
            </w:r>
            <w:bookmarkEnd w:id="1"/>
          </w:p>
        </w:tc>
      </w:tr>
    </w:tbl>
    <w:p w:rsidRPr="001B0F2A" w:rsidR="00803B30" w:rsidP="00BE46DB" w:rsidRDefault="00803B30" w14:paraId="3E81FAB8" w14:textId="77777777">
      <w:pPr>
        <w:widowControl w:val="0"/>
        <w:tabs>
          <w:tab w:val="left" w:leader="underscore" w:pos="3326"/>
        </w:tabs>
        <w:autoSpaceDE w:val="0"/>
        <w:autoSpaceDN w:val="0"/>
        <w:adjustRightInd w:val="0"/>
        <w:spacing w:before="120" w:after="240"/>
        <w:ind w:left="1620" w:firstLine="540"/>
        <w:jc w:val="left"/>
        <w:rPr>
          <w:rFonts w:eastAsia="Times New Roman" w:cs="Times New Roman"/>
          <w:szCs w:val="20"/>
        </w:rPr>
      </w:pPr>
    </w:p>
    <w:p w:rsidRPr="001B0F2A" w:rsidR="00803B30" w:rsidP="0047259B" w:rsidRDefault="00803B30" w14:paraId="1B7C4820" w14:textId="2E5D3581">
      <w:pPr>
        <w:widowControl w:val="0"/>
        <w:autoSpaceDE w:val="0"/>
        <w:autoSpaceDN w:val="0"/>
        <w:adjustRightInd w:val="0"/>
        <w:ind w:firstLine="0"/>
        <w:rPr>
          <w:rFonts w:eastAsia="Times New Roman" w:cs="Times New Roman"/>
          <w:iCs/>
          <w:szCs w:val="24"/>
        </w:rPr>
      </w:pPr>
    </w:p>
    <w:p w:rsidRPr="001B0F2A" w:rsidR="008254A5" w:rsidP="008254A5" w:rsidRDefault="008254A5" w14:paraId="2CBA94EB" w14:textId="77777777">
      <w:pPr>
        <w:widowControl w:val="0"/>
        <w:autoSpaceDE w:val="0"/>
        <w:autoSpaceDN w:val="0"/>
        <w:adjustRightInd w:val="0"/>
        <w:ind w:firstLine="0"/>
        <w:rPr>
          <w:rFonts w:eastAsia="Times New Roman" w:cs="Times New Roman"/>
          <w:iCs/>
          <w:szCs w:val="24"/>
        </w:rPr>
      </w:pPr>
      <w:bookmarkStart w:name="sagatave" w:id="2"/>
    </w:p>
    <w:p w:rsidRPr="001B0F2A" w:rsidR="005777CD" w:rsidP="00F13399" w:rsidRDefault="00C97ABA" w14:paraId="2884BDB1" w14:textId="77777777">
      <w:pPr>
        <w:ind w:firstLine="0"/>
        <w:jc w:val="center"/>
        <w:rPr>
          <w:b/>
          <w:caps/>
          <w:szCs w:val="24"/>
        </w:rPr>
      </w:pPr>
      <w:r w:rsidRPr="001B0F2A">
        <w:rPr>
          <w:b/>
          <w:caps/>
          <w:szCs w:val="24"/>
        </w:rPr>
        <w:t>ATĻAUJA</w:t>
      </w:r>
    </w:p>
    <w:p w:rsidRPr="001B0F2A" w:rsidR="005777CD" w:rsidP="00F13399" w:rsidRDefault="00C97ABA" w14:paraId="076DFAE8" w14:textId="15E1069A">
      <w:pPr>
        <w:ind w:firstLine="0"/>
        <w:jc w:val="center"/>
        <w:rPr>
          <w:b/>
          <w:szCs w:val="24"/>
        </w:rPr>
      </w:pPr>
      <w:r w:rsidRPr="001B0F2A">
        <w:rPr>
          <w:b/>
          <w:szCs w:val="24"/>
        </w:rPr>
        <w:t>informācijas objekta uzstādīšanai</w:t>
      </w:r>
    </w:p>
    <w:p w:rsidRPr="001B0F2A" w:rsidR="005777CD" w:rsidP="002D5250" w:rsidRDefault="005777CD" w14:paraId="213F5453" w14:textId="77777777">
      <w:pPr>
        <w:ind w:firstLine="0"/>
        <w:rPr>
          <w:b/>
        </w:rPr>
      </w:pPr>
    </w:p>
    <w:p w:rsidRPr="001B0F2A" w:rsidR="005777CD" w:rsidP="002D5250" w:rsidRDefault="005777CD" w14:paraId="1592B6EB" w14:textId="77777777">
      <w:pPr>
        <w:ind w:firstLine="0"/>
        <w:rPr>
          <w:b/>
        </w:rPr>
      </w:pPr>
    </w:p>
    <w:p w:rsidRPr="001B0F2A" w:rsidR="005777CD" w:rsidP="00BF070C" w:rsidRDefault="00C97ABA" w14:paraId="2C8CDFB5" w14:textId="32CDE315">
      <w:pPr>
        <w:ind w:firstLine="0"/>
      </w:pPr>
      <w:r w:rsidRPr="001B0F2A">
        <w:rPr>
          <w:b/>
        </w:rPr>
        <w:t xml:space="preserve">Atļauja izdota: </w:t>
      </w:r>
      <w:r w:rsidRPr="001B0F2A" w:rsidR="001B0F2A">
        <w:rPr>
          <w:bCs/>
        </w:rPr>
        <w:t>Estonian Transport Administration, reģ. nr.</w:t>
      </w:r>
      <w:r w:rsidRPr="001B0F2A" w:rsidR="001B0F2A">
        <w:rPr>
          <w:b/>
        </w:rPr>
        <w:t xml:space="preserve"> </w:t>
      </w:r>
      <w:r w:rsidRPr="001B0F2A" w:rsidR="001B0F2A">
        <w:t xml:space="preserve">70001490, Valge tn, Tallin, Estonia, 11413, tālruņa nr. +371 6201200, e-pasts: info@transpordiamet.ee. </w:t>
      </w:r>
    </w:p>
    <w:p w:rsidRPr="001B0F2A" w:rsidR="005777CD" w:rsidP="00FC185F" w:rsidRDefault="005777CD" w14:paraId="21F768FB" w14:textId="77777777">
      <w:pPr>
        <w:tabs>
          <w:tab w:val="left" w:pos="426"/>
        </w:tabs>
        <w:ind w:left="426"/>
      </w:pPr>
    </w:p>
    <w:p w:rsidRPr="001B0F2A" w:rsidR="005777CD" w:rsidP="00FC185F" w:rsidRDefault="00C97ABA" w14:paraId="2B83331C" w14:textId="4843BD59">
      <w:pPr>
        <w:tabs>
          <w:tab w:val="left" w:pos="426"/>
        </w:tabs>
        <w:ind w:firstLine="0"/>
      </w:pPr>
      <w:r w:rsidRPr="001B0F2A">
        <w:rPr>
          <w:b/>
          <w:szCs w:val="24"/>
        </w:rPr>
        <w:t>Atļauja derīga līdz:</w:t>
      </w:r>
      <w:r w:rsidRPr="001B0F2A">
        <w:rPr>
          <w:szCs w:val="24"/>
        </w:rPr>
        <w:t xml:space="preserve"> </w:t>
      </w:r>
      <w:r w:rsidRPr="001B0F2A">
        <w:t>202</w:t>
      </w:r>
      <w:r w:rsidRPr="001B0F2A" w:rsidR="001B0F2A">
        <w:t>9</w:t>
      </w:r>
      <w:r w:rsidRPr="001B0F2A">
        <w:t>.</w:t>
      </w:r>
      <w:r w:rsidRPr="001B0F2A" w:rsidR="001B0F2A">
        <w:t xml:space="preserve"> </w:t>
      </w:r>
      <w:r w:rsidRPr="001B0F2A">
        <w:t xml:space="preserve">gada </w:t>
      </w:r>
      <w:r w:rsidRPr="001B0F2A" w:rsidR="001B0F2A">
        <w:t>13. septembrim</w:t>
      </w:r>
      <w:r w:rsidRPr="001B0F2A">
        <w:t>.</w:t>
      </w:r>
    </w:p>
    <w:p w:rsidRPr="001B0F2A" w:rsidR="005777CD" w:rsidP="00FC185F" w:rsidRDefault="005777CD" w14:paraId="634C8F6A" w14:textId="77777777">
      <w:pPr>
        <w:tabs>
          <w:tab w:val="left" w:pos="426"/>
        </w:tabs>
        <w:ind w:left="426"/>
      </w:pPr>
    </w:p>
    <w:p w:rsidRPr="001B0F2A" w:rsidR="005777CD" w:rsidP="00FC185F" w:rsidRDefault="00C97ABA" w14:paraId="0B26B1F9" w14:textId="12212D8A">
      <w:pPr>
        <w:tabs>
          <w:tab w:val="left" w:pos="426"/>
        </w:tabs>
        <w:ind w:firstLine="0"/>
      </w:pPr>
      <w:r w:rsidRPr="001B0F2A">
        <w:rPr>
          <w:b/>
        </w:rPr>
        <w:t>Objekta atrašanās vieta:</w:t>
      </w:r>
      <w:r w:rsidRPr="001B0F2A">
        <w:t xml:space="preserve"> Valsts galvenais autoceļš A</w:t>
      </w:r>
      <w:r w:rsidRPr="001B0F2A" w:rsidR="001B0F2A">
        <w:t>2</w:t>
      </w:r>
      <w:r w:rsidRPr="001B0F2A">
        <w:t xml:space="preserve"> </w:t>
      </w:r>
      <w:r w:rsidRPr="001B0F2A" w:rsidR="001B0F2A">
        <w:t>Rīga–Sigulda–Igaunijas robeža (Veclaicene) 195,050 km</w:t>
      </w:r>
      <w:r w:rsidRPr="001B0F2A">
        <w:t xml:space="preserve"> (ceļa </w:t>
      </w:r>
      <w:r w:rsidRPr="001B0F2A" w:rsidR="001B0F2A">
        <w:t>lab</w:t>
      </w:r>
      <w:r w:rsidRPr="001B0F2A">
        <w:t xml:space="preserve">ajā pusē), </w:t>
      </w:r>
      <w:r w:rsidRPr="001B0F2A" w:rsidR="001B0F2A">
        <w:t>Alūksnes novads</w:t>
      </w:r>
      <w:r w:rsidRPr="001B0F2A">
        <w:t xml:space="preserve">. </w:t>
      </w:r>
    </w:p>
    <w:p w:rsidRPr="001B0F2A" w:rsidR="005777CD" w:rsidP="00FC185F" w:rsidRDefault="005777CD" w14:paraId="6686567A" w14:textId="77777777">
      <w:pPr>
        <w:rPr>
          <w:szCs w:val="24"/>
        </w:rPr>
      </w:pPr>
    </w:p>
    <w:p w:rsidRPr="001B0F2A" w:rsidR="005777CD" w:rsidP="00FC185F" w:rsidRDefault="00C97ABA" w14:paraId="4AB068ED" w14:textId="77777777">
      <w:pPr>
        <w:tabs>
          <w:tab w:val="left" w:pos="426"/>
        </w:tabs>
        <w:ind w:firstLine="0"/>
        <w:rPr>
          <w:b/>
        </w:rPr>
      </w:pPr>
      <w:r w:rsidRPr="001B0F2A">
        <w:rPr>
          <w:b/>
          <w:szCs w:val="24"/>
        </w:rPr>
        <w:t>Atļaujas sevišķie noteikumi</w:t>
      </w:r>
      <w:r w:rsidRPr="001B0F2A">
        <w:rPr>
          <w:b/>
          <w:sz w:val="28"/>
        </w:rPr>
        <w:t>:</w:t>
      </w:r>
    </w:p>
    <w:p w:rsidRPr="001B0F2A" w:rsidR="005777CD" w:rsidP="00931CDB" w:rsidRDefault="001B0F2A" w14:paraId="097ED167" w14:textId="0E8CCC9A">
      <w:pPr>
        <w:numPr>
          <w:ilvl w:val="0"/>
          <w:numId w:val="1"/>
        </w:numPr>
        <w:tabs>
          <w:tab w:val="left" w:pos="540"/>
        </w:tabs>
        <w:ind w:left="540" w:hanging="540"/>
      </w:pPr>
      <w:r w:rsidRPr="001B0F2A">
        <w:t>Informācijas objektu uzstādīt atbilstoši Ministru kabineta 2005.gada 7.jūnija noteikumiem Nr.402 „Noteikumi par reklāmas objektu vai informācijas objektu izvietošanu gar ceļiem, kā arī kārtību, kādā saskaņojama reklāmas objektu vai informācijas objektu izvietošana”.</w:t>
      </w:r>
    </w:p>
    <w:p w:rsidRPr="001B0F2A" w:rsidR="005777CD" w:rsidP="00931CDB" w:rsidRDefault="00C97ABA" w14:paraId="7B402C3C" w14:textId="500097F0">
      <w:pPr>
        <w:numPr>
          <w:ilvl w:val="0"/>
          <w:numId w:val="1"/>
        </w:numPr>
        <w:tabs>
          <w:tab w:val="left" w:pos="540"/>
        </w:tabs>
        <w:ind w:left="540" w:hanging="540"/>
      </w:pPr>
      <w:r w:rsidRPr="001B0F2A">
        <w:t xml:space="preserve">Atļauts izvietot informācijas objektu  perpendikulāri valsts galvenajam autoceļam ne tuvāk par </w:t>
      </w:r>
      <w:r w:rsidRPr="001B0F2A" w:rsidR="001B0F2A">
        <w:t>5</w:t>
      </w:r>
      <w:r w:rsidRPr="001B0F2A">
        <w:t xml:space="preserve"> metriem no autoceļa klātnes šķautnes</w:t>
      </w:r>
      <w:r w:rsidRPr="001B0F2A" w:rsidR="001B0F2A">
        <w:t xml:space="preserve"> un ne tuvāk par 2 metriem no nobrauktuves klātnes šķautnes, bet ne tālāk par 20 metriem no nobrauktuves</w:t>
      </w:r>
      <w:r w:rsidRPr="001B0F2A">
        <w:t>. Attālumu mēra no klātnes šķautnes līdz informācijas objekta tuvākajai malai.</w:t>
      </w:r>
    </w:p>
    <w:p w:rsidRPr="001B0F2A" w:rsidR="005777CD" w:rsidP="00931CDB" w:rsidRDefault="001B0F2A" w14:paraId="3668E66D" w14:textId="55032EA0">
      <w:pPr>
        <w:numPr>
          <w:ilvl w:val="0"/>
          <w:numId w:val="1"/>
        </w:numPr>
        <w:tabs>
          <w:tab w:val="left" w:pos="540"/>
        </w:tabs>
        <w:ind w:left="540" w:hanging="540"/>
      </w:pPr>
      <w:r w:rsidRPr="001B0F2A">
        <w:t>Informācijas objekta bojājuma gadījumā tā remontu vai nomaiņu veic informācijas objekta īpašnieks uz sava rēķina 7 darbdienu laikā pēc VSIA „Latvijas Valsts ceļi” Vidzemes reģionālās nodaļas pieprasījuma.</w:t>
      </w:r>
    </w:p>
    <w:p w:rsidRPr="001B0F2A" w:rsidR="005777CD" w:rsidP="00931CDB" w:rsidRDefault="001B0F2A" w14:paraId="3F5E35A6" w14:textId="35A6A546">
      <w:pPr>
        <w:numPr>
          <w:ilvl w:val="0"/>
          <w:numId w:val="1"/>
        </w:numPr>
        <w:tabs>
          <w:tab w:val="left" w:pos="540"/>
        </w:tabs>
        <w:ind w:left="540" w:hanging="540"/>
      </w:pPr>
      <w:r w:rsidRPr="001B0F2A">
        <w:t>Informācijas objekta demontāžas vai tās īpašnieka maiņas gadījumā 7 darbdienu laikā paziņot VSIA „Latvijas Valsts ceļi” Vidzemes reģionālajai nodaļai.</w:t>
      </w:r>
    </w:p>
    <w:p w:rsidRPr="001B0F2A" w:rsidR="005777CD" w:rsidP="00931CDB" w:rsidRDefault="00C97ABA" w14:paraId="1FA3AF51" w14:textId="4440D043">
      <w:pPr>
        <w:numPr>
          <w:ilvl w:val="0"/>
          <w:numId w:val="1"/>
        </w:numPr>
        <w:tabs>
          <w:tab w:val="left" w:pos="540"/>
        </w:tabs>
        <w:ind w:left="540" w:hanging="540"/>
      </w:pPr>
      <w:r w:rsidRPr="001B0F2A">
        <w:t xml:space="preserve">Vienu mēnesi pirms atļaujas termiņa beigām vērsties ar iesniegumu VSIA „Latvijas Valsts ceļi” </w:t>
      </w:r>
      <w:r w:rsidRPr="001B0F2A" w:rsidR="001B0F2A">
        <w:t>Vidzemes</w:t>
      </w:r>
      <w:r w:rsidRPr="001B0F2A">
        <w:t xml:space="preserve"> reģionālajā nodaļā, </w:t>
      </w:r>
      <w:r w:rsidRPr="001B0F2A" w:rsidR="001B0F2A">
        <w:t xml:space="preserve">Rīgas iela 65A, Valmiera, Valmieras novads, LV-4201 </w:t>
      </w:r>
      <w:r w:rsidRPr="001B0F2A">
        <w:t xml:space="preserve">vai to elektroniski nosūtīt uz e-pastu: </w:t>
      </w:r>
      <w:r w:rsidRPr="001B0F2A" w:rsidR="001B0F2A">
        <w:t>vidzeme</w:t>
      </w:r>
      <w:r w:rsidRPr="001B0F2A">
        <w:t>@lvceli.lv</w:t>
      </w:r>
      <w:r w:rsidRPr="001B0F2A">
        <w:rPr>
          <w:rStyle w:val="Hipersaite"/>
          <w:color w:val="auto"/>
          <w:u w:val="none"/>
        </w:rPr>
        <w:t>,</w:t>
      </w:r>
      <w:r w:rsidRPr="001B0F2A">
        <w:t xml:space="preserve"> lai saņemtu jaunu atļauju informācijas objekta izvietošanai, ja tāda nepieciešama.</w:t>
      </w:r>
    </w:p>
    <w:p w:rsidRPr="001B0F2A" w:rsidR="005777CD" w:rsidP="00931CDB" w:rsidRDefault="00C97ABA" w14:paraId="27530162" w14:textId="1745AB4B">
      <w:pPr>
        <w:numPr>
          <w:ilvl w:val="0"/>
          <w:numId w:val="1"/>
        </w:numPr>
        <w:tabs>
          <w:tab w:val="left" w:pos="540"/>
        </w:tabs>
        <w:ind w:left="540" w:hanging="540"/>
      </w:pPr>
      <w:r w:rsidRPr="001B0F2A">
        <w:t xml:space="preserve">Autoceļa vai tā elementu būvniecības, pārbūves, atjaunošanas, ceļu satiksmes negadījumu novēršanas vai satiksmes drošības uzlabošanas gadījumos, VSIA „Latvijas Valsts ceļi” var pieprasīt pārvietot vai demontēt informācijas objektu. </w:t>
      </w:r>
      <w:r w:rsidRPr="001B0F2A" w:rsidR="001B0F2A">
        <w:t>I</w:t>
      </w:r>
      <w:r w:rsidRPr="001B0F2A">
        <w:t>nformācijas objekta pārvietošanu un demontāžu veic informācijas</w:t>
      </w:r>
      <w:r w:rsidRPr="001B0F2A" w:rsidR="001B0F2A">
        <w:t xml:space="preserve"> objekta</w:t>
      </w:r>
      <w:r w:rsidRPr="001B0F2A">
        <w:t xml:space="preserve"> īpašnieks par saviem līdzekļiem.</w:t>
      </w:r>
    </w:p>
    <w:p w:rsidRPr="001B0F2A" w:rsidR="005777CD" w:rsidP="00931CDB" w:rsidRDefault="00C97ABA" w14:paraId="3AB8BF6F" w14:textId="540B924E">
      <w:pPr>
        <w:numPr>
          <w:ilvl w:val="0"/>
          <w:numId w:val="1"/>
        </w:numPr>
        <w:tabs>
          <w:tab w:val="left" w:pos="540"/>
        </w:tabs>
        <w:ind w:left="540" w:hanging="540"/>
      </w:pPr>
      <w:r w:rsidRPr="001B0F2A">
        <w:t>Šo noteikumu 2. punkta neievērošanas gadījumā atļauja informācijas objektu uzstādīšanai tiek atcelta.</w:t>
      </w:r>
    </w:p>
    <w:p w:rsidRPr="001B0F2A" w:rsidR="005777CD" w:rsidP="00EA553C" w:rsidRDefault="005777CD" w14:paraId="21C7337B" w14:textId="77777777">
      <w:pPr>
        <w:ind w:left="567" w:hanging="567"/>
      </w:pPr>
    </w:p>
    <w:p w:rsidRPr="001B0F2A" w:rsidR="005777CD" w:rsidP="0046115D" w:rsidRDefault="00C97ABA" w14:paraId="458AC362" w14:textId="65C8A19B">
      <w:pPr>
        <w:ind w:firstLine="567"/>
      </w:pPr>
      <w:r w:rsidRPr="001B0F2A">
        <w:t>Papildus informējam, ka informācijas objekts jāsaskaņo ar inženiertīklu īpašniekiem.</w:t>
      </w:r>
    </w:p>
    <w:p w:rsidRPr="001B0F2A" w:rsidR="005777CD" w:rsidP="00FC185F" w:rsidRDefault="005777CD" w14:paraId="1A7694A1" w14:textId="1F1B4C03">
      <w:pPr>
        <w:ind w:left="567" w:hanging="567"/>
      </w:pPr>
    </w:p>
    <w:p w:rsidRPr="001B0F2A" w:rsidR="005777CD" w:rsidP="00FC185F" w:rsidRDefault="00C97ABA" w14:paraId="309869FE" w14:textId="738B8600">
      <w:pPr>
        <w:ind w:firstLine="0"/>
        <w:rPr>
          <w:b/>
        </w:rPr>
      </w:pPr>
      <w:r w:rsidRPr="001B0F2A">
        <w:rPr>
          <w:b/>
        </w:rPr>
        <w:t xml:space="preserve">Atļauja izdota pamatojoties uz: </w:t>
      </w:r>
    </w:p>
    <w:p w:rsidRPr="001B0F2A" w:rsidR="005777CD" w:rsidP="00FC185F" w:rsidRDefault="00C97ABA" w14:paraId="62271255" w14:textId="403050C9">
      <w:pPr>
        <w:ind w:left="567" w:hanging="567"/>
      </w:pPr>
      <w:r w:rsidRPr="001B0F2A">
        <w:t xml:space="preserve">1. </w:t>
      </w:r>
      <w:r w:rsidRPr="001B0F2A">
        <w:tab/>
      </w:r>
      <w:r w:rsidRPr="001B0F2A" w:rsidR="001B0F2A">
        <w:t>Estonian Transport Administration</w:t>
      </w:r>
      <w:r w:rsidRPr="001B0F2A">
        <w:t xml:space="preserve"> 202</w:t>
      </w:r>
      <w:r w:rsidRPr="001B0F2A" w:rsidR="001B0F2A">
        <w:t>4</w:t>
      </w:r>
      <w:r w:rsidRPr="001B0F2A">
        <w:t>.</w:t>
      </w:r>
      <w:r w:rsidRPr="001B0F2A" w:rsidR="001B0F2A">
        <w:t xml:space="preserve"> </w:t>
      </w:r>
      <w:r w:rsidRPr="001B0F2A">
        <w:t xml:space="preserve">gada </w:t>
      </w:r>
      <w:r w:rsidRPr="001B0F2A" w:rsidR="001B0F2A">
        <w:t>29. augusta</w:t>
      </w:r>
      <w:r w:rsidRPr="001B0F2A">
        <w:t xml:space="preserve"> iesniegumu;</w:t>
      </w:r>
    </w:p>
    <w:p w:rsidRPr="001B0F2A" w:rsidR="005777CD" w:rsidP="00FC185F" w:rsidRDefault="00C97ABA" w14:paraId="1A1E9CF2" w14:textId="702F1E17">
      <w:pPr>
        <w:ind w:left="567" w:hanging="567"/>
      </w:pPr>
      <w:r w:rsidRPr="001B0F2A">
        <w:t xml:space="preserve">2. </w:t>
      </w:r>
      <w:r w:rsidRPr="001B0F2A">
        <w:tab/>
      </w:r>
      <w:r w:rsidRPr="001B0F2A">
        <w:t>Administratīvā procesa likumu;</w:t>
      </w:r>
    </w:p>
    <w:p w:rsidRPr="001B0F2A" w:rsidR="005777CD" w:rsidP="00FC185F" w:rsidRDefault="001B0F2A" w14:paraId="2377A7E3" w14:textId="1E2F9A19">
      <w:pPr>
        <w:ind w:left="567" w:hanging="567"/>
      </w:pPr>
      <w:r w:rsidRPr="001B0F2A">
        <w:lastRenderedPageBreak/>
        <w:t xml:space="preserve">3. </w:t>
      </w:r>
      <w:r w:rsidRPr="001B0F2A">
        <w:tab/>
        <w:t>Ministru kabineta 07.06.2005. noteikumu Nr.402 „Noteikumi par reklāmas objektu vai informācijas objektu izvietošanu gar ceļiem, kā arī kārtību, kādā saskaņojama reklāmas objektu vai informācijas objektu izvietošana” 20.1. apakšpunktu.</w:t>
      </w:r>
    </w:p>
    <w:p w:rsidRPr="001B0F2A" w:rsidR="005777CD" w:rsidP="00FC185F" w:rsidRDefault="005777CD" w14:paraId="5D750E25" w14:textId="6EAC83BF">
      <w:pPr>
        <w:ind w:left="567" w:hanging="567"/>
      </w:pPr>
    </w:p>
    <w:p w:rsidRPr="001B0F2A" w:rsidR="005777CD" w:rsidP="007E601D" w:rsidRDefault="00C97ABA" w14:paraId="05CAF5A3" w14:textId="77777777">
      <w:pPr>
        <w:ind w:firstLine="630"/>
      </w:pPr>
      <w:r w:rsidRPr="001B0F2A">
        <w:rPr>
          <w:u w:val="single"/>
        </w:rPr>
        <w:t>Pielikumā:</w:t>
      </w:r>
      <w:r w:rsidRPr="001B0F2A">
        <w:t xml:space="preserve"> Uzstādīšanas vietas situācijas plāns uz 1 lapas.</w:t>
      </w:r>
    </w:p>
    <w:p w:rsidRPr="001B0F2A" w:rsidR="005777CD" w:rsidP="00FC185F" w:rsidRDefault="005777CD" w14:paraId="40707D3E" w14:textId="7D34C1E5">
      <w:pPr>
        <w:pStyle w:val="Bezatstarpm"/>
        <w:rPr>
          <w:rFonts w:ascii="Times New Roman" w:hAnsi="Times New Roman"/>
          <w:szCs w:val="24"/>
        </w:rPr>
      </w:pPr>
    </w:p>
    <w:p w:rsidRPr="001B0F2A" w:rsidR="005777CD" w:rsidP="00796FEA" w:rsidRDefault="00C97ABA" w14:paraId="2F1BA53D" w14:textId="472CE25B">
      <w:pPr>
        <w:pStyle w:val="Bezatstarpm"/>
        <w:ind w:firstLine="0"/>
        <w:rPr>
          <w:rFonts w:eastAsia="Times New Roman" w:cs="Times New Roman"/>
          <w:iCs/>
          <w:szCs w:val="24"/>
        </w:rPr>
      </w:pPr>
      <w:r w:rsidRPr="001B0F2A">
        <w:rPr>
          <w:rFonts w:ascii="Times New Roman" w:hAnsi="Times New Roman" w:cs="Times New Roman"/>
          <w:szCs w:val="24"/>
        </w:rPr>
        <w:t>Šo administratīvo aktu viena mēneša laikā no tā spēkā stāšanās dienas var apstrīdēt Administratīvā procesa likuma noteiktajā kārtībā, apstrīdēšanas iesniegumu iesniedzot valsts sabiedrībā ar ierobežotu atbildību „Latvijas Valsts ceļi”, Emīlijas Benjamiņas ielā 3, Rīgā, LV-1050.</w:t>
      </w:r>
    </w:p>
    <w:bookmarkEnd w:id="2"/>
    <w:p w:rsidRPr="001B0F2A" w:rsidR="008254A5" w:rsidP="0047259B" w:rsidRDefault="008254A5" w14:paraId="48DA73F9" w14:textId="77777777">
      <w:pPr>
        <w:widowControl w:val="0"/>
        <w:autoSpaceDE w:val="0"/>
        <w:autoSpaceDN w:val="0"/>
        <w:adjustRightInd w:val="0"/>
        <w:ind w:firstLine="0"/>
        <w:rPr>
          <w:rFonts w:eastAsia="Times New Roman" w:cs="Times New Roman"/>
          <w:iCs/>
          <w:szCs w:val="24"/>
        </w:rPr>
      </w:pPr>
    </w:p>
    <w:p w:rsidRPr="001B0F2A" w:rsidR="006F42D4" w:rsidP="0047259B" w:rsidRDefault="006F42D4" w14:paraId="3B88F6FA" w14:textId="1077B75B">
      <w:pPr>
        <w:widowControl w:val="0"/>
        <w:autoSpaceDE w:val="0"/>
        <w:autoSpaceDN w:val="0"/>
        <w:adjustRightInd w:val="0"/>
        <w:ind w:firstLine="0"/>
        <w:rPr>
          <w:rFonts w:eastAsia="Times New Roman" w:cs="Times New Roman"/>
          <w:iCs/>
          <w:szCs w:val="24"/>
        </w:rPr>
      </w:pPr>
    </w:p>
    <w:p w:rsidRPr="001B0F2A" w:rsidR="00803B30" w:rsidP="0047259B" w:rsidRDefault="00803B30" w14:paraId="08EE4337" w14:textId="77777777">
      <w:pPr>
        <w:widowControl w:val="0"/>
        <w:autoSpaceDE w:val="0"/>
        <w:autoSpaceDN w:val="0"/>
        <w:adjustRightInd w:val="0"/>
        <w:ind w:firstLine="0"/>
        <w:rPr>
          <w:rFonts w:eastAsia="Times New Roman" w:cs="Times New Roman"/>
          <w:iCs/>
          <w:szCs w:val="24"/>
        </w:rPr>
      </w:pPr>
    </w:p>
    <w:p w:rsidRPr="001B0F2A" w:rsidR="00803B30" w:rsidP="0047259B" w:rsidRDefault="00803B30" w14:paraId="37955366" w14:textId="77777777">
      <w:pPr>
        <w:widowControl w:val="0"/>
        <w:autoSpaceDE w:val="0"/>
        <w:autoSpaceDN w:val="0"/>
        <w:adjustRightInd w:val="0"/>
        <w:ind w:firstLine="0"/>
        <w:rPr>
          <w:rFonts w:eastAsia="Times New Roman" w:cs="Times New Roman"/>
          <w:iCs/>
          <w:szCs w:val="24"/>
        </w:rPr>
      </w:pPr>
    </w:p>
    <w:p w:rsidRPr="001B0F2A" w:rsidR="00803B30" w:rsidP="0047259B" w:rsidRDefault="00803B30" w14:paraId="76AD2F4B" w14:textId="77777777">
      <w:pPr>
        <w:widowControl w:val="0"/>
        <w:autoSpaceDE w:val="0"/>
        <w:autoSpaceDN w:val="0"/>
        <w:adjustRightInd w:val="0"/>
        <w:ind w:firstLine="0"/>
        <w:rPr>
          <w:rFonts w:eastAsia="Times New Roman" w:cs="Times New Roman"/>
          <w:iCs/>
          <w:szCs w:val="24"/>
        </w:rPr>
      </w:pPr>
    </w:p>
    <w:p w:rsidRPr="001B0F2A" w:rsidR="00803B30" w:rsidP="0047259B" w:rsidRDefault="00803B30" w14:paraId="6CFC35C6" w14:textId="77777777">
      <w:pPr>
        <w:widowControl w:val="0"/>
        <w:autoSpaceDE w:val="0"/>
        <w:autoSpaceDN w:val="0"/>
        <w:adjustRightInd w:val="0"/>
        <w:ind w:firstLine="0"/>
        <w:rPr>
          <w:rFonts w:eastAsia="Times New Roman" w:cs="Times New Roman"/>
          <w:iCs/>
          <w:szCs w:val="24"/>
        </w:rPr>
      </w:pPr>
    </w:p>
    <w:p w:rsidRPr="001B0F2A" w:rsidR="00803B30" w:rsidP="0047259B" w:rsidRDefault="00803B30" w14:paraId="22A7CB91" w14:textId="77777777">
      <w:pPr>
        <w:widowControl w:val="0"/>
        <w:autoSpaceDE w:val="0"/>
        <w:autoSpaceDN w:val="0"/>
        <w:adjustRightInd w:val="0"/>
        <w:ind w:firstLine="0"/>
        <w:rPr>
          <w:rFonts w:eastAsia="Times New Roman" w:cs="Times New Roman"/>
          <w:iCs/>
          <w:szCs w:val="24"/>
        </w:rPr>
      </w:pPr>
    </w:p>
    <w:tbl>
      <w:tblPr>
        <w:tblStyle w:val="Reatabula1"/>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5"/>
        <w:gridCol w:w="1984"/>
        <w:gridCol w:w="3544"/>
      </w:tblGrid>
      <w:tr w:rsidRPr="001B0F2A" w:rsidR="001B0F2A" w:rsidTr="00B55A9B" w14:paraId="4AE90059" w14:textId="77777777">
        <w:tc>
          <w:tcPr>
            <w:tcW w:w="4395" w:type="dxa"/>
          </w:tcPr>
          <w:p w:rsidRPr="001B0F2A" w:rsidR="00803B30" w:rsidP="00B55A9B" w:rsidRDefault="00803B30" w14:paraId="1A393D0A" w14:textId="77777777">
            <w:pPr>
              <w:widowControl w:val="0"/>
              <w:autoSpaceDE w:val="0"/>
              <w:autoSpaceDN w:val="0"/>
              <w:adjustRightInd w:val="0"/>
              <w:rPr>
                <w:i/>
                <w:iCs/>
                <w:sz w:val="24"/>
                <w:szCs w:val="24"/>
              </w:rPr>
            </w:pPr>
            <w:bookmarkStart w:name="amats" w:id="3"/>
            <w:r w:rsidRPr="001B0F2A">
              <w:rPr>
                <w:iCs/>
                <w:sz w:val="24"/>
                <w:szCs w:val="24"/>
              </w:rPr>
              <w:t>Vidzemes reģionālās nodaļas vadītāja vietnieks</w:t>
            </w:r>
            <w:bookmarkEnd w:id="3"/>
          </w:p>
        </w:tc>
        <w:tc>
          <w:tcPr>
            <w:tcW w:w="1984" w:type="dxa"/>
          </w:tcPr>
          <w:p w:rsidRPr="001B0F2A" w:rsidR="00803B30" w:rsidP="00B55A9B" w:rsidRDefault="00803B30" w14:paraId="20E7676D" w14:textId="77777777">
            <w:pPr>
              <w:widowControl w:val="0"/>
              <w:autoSpaceDE w:val="0"/>
              <w:autoSpaceDN w:val="0"/>
              <w:adjustRightInd w:val="0"/>
              <w:jc w:val="center"/>
              <w:rPr>
                <w:i/>
                <w:iCs/>
                <w:sz w:val="24"/>
                <w:szCs w:val="24"/>
              </w:rPr>
            </w:pPr>
          </w:p>
        </w:tc>
        <w:tc>
          <w:tcPr>
            <w:tcW w:w="3544" w:type="dxa"/>
            <w:vAlign w:val="bottom"/>
          </w:tcPr>
          <w:p w:rsidRPr="001B0F2A" w:rsidR="00803B30" w:rsidP="00B55A9B" w:rsidRDefault="008254A5" w14:paraId="68777C50" w14:textId="40221D2C">
            <w:pPr>
              <w:widowControl w:val="0"/>
              <w:autoSpaceDE w:val="0"/>
              <w:autoSpaceDN w:val="0"/>
              <w:adjustRightInd w:val="0"/>
              <w:jc w:val="right"/>
              <w:rPr>
                <w:i/>
                <w:iCs/>
                <w:sz w:val="24"/>
                <w:szCs w:val="24"/>
              </w:rPr>
            </w:pPr>
            <w:r w:rsidRPr="001B0F2A">
              <w:rPr>
                <w:iCs/>
                <w:sz w:val="24"/>
                <w:szCs w:val="24"/>
              </w:rPr>
              <w:t xml:space="preserve">  </w:t>
            </w:r>
            <w:bookmarkStart w:name="parak_nos" w:id="4"/>
            <w:r w:rsidRPr="001B0F2A">
              <w:rPr>
                <w:iCs/>
                <w:sz w:val="24"/>
                <w:szCs w:val="24"/>
              </w:rPr>
              <w:t>D. Jirgensons</w:t>
            </w:r>
            <w:bookmarkEnd w:id="4"/>
          </w:p>
        </w:tc>
      </w:tr>
      <w:tr w:rsidRPr="001B0F2A" w:rsidR="00803B30" w:rsidTr="00B55A9B" w14:paraId="210B1E4E" w14:textId="77777777">
        <w:tc>
          <w:tcPr>
            <w:tcW w:w="4395" w:type="dxa"/>
          </w:tcPr>
          <w:p w:rsidRPr="001B0F2A" w:rsidR="00803B30" w:rsidP="00B55A9B" w:rsidRDefault="00803B30" w14:paraId="67BF36C3" w14:textId="77777777">
            <w:pPr>
              <w:widowControl w:val="0"/>
              <w:autoSpaceDE w:val="0"/>
              <w:autoSpaceDN w:val="0"/>
              <w:adjustRightInd w:val="0"/>
              <w:rPr>
                <w:i/>
                <w:iCs/>
                <w:sz w:val="24"/>
                <w:szCs w:val="24"/>
              </w:rPr>
            </w:pPr>
          </w:p>
        </w:tc>
        <w:tc>
          <w:tcPr>
            <w:tcW w:w="1984" w:type="dxa"/>
          </w:tcPr>
          <w:p w:rsidRPr="001B0F2A" w:rsidR="00803B30" w:rsidP="00B55A9B" w:rsidRDefault="00803B30" w14:paraId="2DA4CE47" w14:textId="77777777">
            <w:pPr>
              <w:widowControl w:val="0"/>
              <w:autoSpaceDE w:val="0"/>
              <w:autoSpaceDN w:val="0"/>
              <w:adjustRightInd w:val="0"/>
              <w:jc w:val="right"/>
              <w:rPr>
                <w:i/>
                <w:iCs/>
                <w:sz w:val="24"/>
                <w:szCs w:val="24"/>
              </w:rPr>
            </w:pPr>
          </w:p>
        </w:tc>
        <w:tc>
          <w:tcPr>
            <w:tcW w:w="3544" w:type="dxa"/>
            <w:vAlign w:val="bottom"/>
          </w:tcPr>
          <w:p w:rsidRPr="001B0F2A" w:rsidR="00803B30" w:rsidP="00B55A9B" w:rsidRDefault="00803B30" w14:paraId="268A41CD" w14:textId="77777777">
            <w:pPr>
              <w:widowControl w:val="0"/>
              <w:autoSpaceDE w:val="0"/>
              <w:autoSpaceDN w:val="0"/>
              <w:adjustRightInd w:val="0"/>
              <w:rPr>
                <w:i/>
                <w:iCs/>
                <w:sz w:val="24"/>
                <w:szCs w:val="24"/>
              </w:rPr>
            </w:pPr>
          </w:p>
        </w:tc>
      </w:tr>
    </w:tbl>
    <w:p w:rsidRPr="001B0F2A" w:rsidR="00803B30" w:rsidP="00803B30" w:rsidRDefault="00803B30" w14:paraId="42965F17" w14:textId="77777777">
      <w:pPr>
        <w:widowControl w:val="0"/>
        <w:autoSpaceDE w:val="0"/>
        <w:autoSpaceDN w:val="0"/>
        <w:adjustRightInd w:val="0"/>
        <w:ind w:firstLine="0"/>
        <w:jc w:val="left"/>
        <w:rPr>
          <w:rFonts w:eastAsia="Times New Roman" w:cs="Times New Roman"/>
          <w:iCs/>
          <w:szCs w:val="24"/>
        </w:rPr>
      </w:pPr>
    </w:p>
    <w:tbl>
      <w:tblPr>
        <w:tblpPr w:leftFromText="180" w:rightFromText="180" w:vertAnchor="text" w:tblpY="12"/>
        <w:tblW w:w="0" w:type="auto"/>
        <w:tblLook w:val="04A0" w:firstRow="1" w:lastRow="0" w:firstColumn="1" w:lastColumn="0" w:noHBand="0" w:noVBand="1"/>
      </w:tblPr>
      <w:tblGrid>
        <w:gridCol w:w="9072"/>
      </w:tblGrid>
      <w:tr w:rsidRPr="001B0F2A" w:rsidR="00803B30" w:rsidTr="00B55A9B" w14:paraId="71282E4D" w14:textId="77777777">
        <w:trPr>
          <w:cantSplit/>
          <w:trHeight w:val="579"/>
        </w:trPr>
        <w:tc>
          <w:tcPr>
            <w:tcW w:w="9072" w:type="dxa"/>
          </w:tcPr>
          <w:tbl>
            <w:tblPr>
              <w:tblW w:w="0" w:type="auto"/>
              <w:tblInd w:w="567" w:type="dxa"/>
              <w:tblLook w:val="04A0" w:firstRow="1" w:lastRow="0" w:firstColumn="1" w:lastColumn="0" w:noHBand="0" w:noVBand="1"/>
            </w:tblPr>
            <w:tblGrid>
              <w:gridCol w:w="7793"/>
            </w:tblGrid>
            <w:tr w:rsidRPr="001B0F2A" w:rsidR="001B0F2A" w:rsidTr="00B55A9B" w14:paraId="0AA08A23" w14:textId="77777777">
              <w:trPr>
                <w:cantSplit/>
                <w:trHeight w:val="207"/>
              </w:trPr>
              <w:tc>
                <w:tcPr>
                  <w:tcW w:w="7793" w:type="dxa"/>
                </w:tcPr>
                <w:p w:rsidRPr="001B0F2A" w:rsidR="00803B30" w:rsidP="00B55A9B" w:rsidRDefault="00803B30" w14:paraId="1DCADD82" w14:textId="77777777">
                  <w:pPr>
                    <w:framePr w:hSpace="180" w:wrap="around" w:hAnchor="text" w:vAnchor="text" w:y="12"/>
                    <w:widowControl w:val="0"/>
                    <w:ind w:left="102" w:firstLine="0"/>
                    <w:jc w:val="left"/>
                    <w:rPr>
                      <w:rFonts w:eastAsia="Times New Roman" w:cs="Times New Roman"/>
                      <w:szCs w:val="24"/>
                      <w:lang w:eastAsia="lv-LV"/>
                    </w:rPr>
                  </w:pPr>
                  <w:bookmarkStart w:name="edoc_info" w:colFirst="0" w:colLast="0" w:id="5"/>
                  <w:r w:rsidRPr="001B0F2A">
                    <w:rPr>
                      <w:rFonts w:eastAsia="Times New Roman" w:cs="Times New Roman"/>
                      <w:szCs w:val="24"/>
                      <w:lang w:eastAsia="lv-LV"/>
                    </w:rPr>
                    <w:t>Dokuments ir parakstīts ar drošu elektronisko parakstu un satur laika zīmogu.</w:t>
                  </w:r>
                </w:p>
              </w:tc>
            </w:tr>
          </w:tbl>
          <w:p w:rsidRPr="001B0F2A" w:rsidR="00803B30" w:rsidP="00B55A9B" w:rsidRDefault="00803B30" w14:paraId="4BE0263F" w14:textId="77777777">
            <w:pPr>
              <w:widowControl w:val="0"/>
              <w:spacing w:before="60" w:after="60" w:line="360" w:lineRule="auto"/>
              <w:rPr>
                <w:rFonts w:eastAsia="Times New Roman" w:cs="Times New Roman"/>
                <w:i/>
                <w:szCs w:val="20"/>
                <w:lang w:val="de-DE" w:eastAsia="lv-LV"/>
              </w:rPr>
            </w:pPr>
          </w:p>
        </w:tc>
      </w:tr>
      <w:bookmarkEnd w:id="5"/>
    </w:tbl>
    <w:p w:rsidRPr="001B0F2A" w:rsidR="00803B30" w:rsidP="00803B30" w:rsidRDefault="00803B30" w14:paraId="2D8543FF" w14:textId="77777777">
      <w:pPr>
        <w:keepLines/>
        <w:widowControl w:val="0"/>
        <w:spacing w:before="120"/>
        <w:ind w:firstLine="0"/>
        <w:jc w:val="left"/>
        <w:rPr>
          <w:rFonts w:eastAsia="Times New Roman" w:cs="Times New Roman"/>
          <w:sz w:val="26"/>
          <w:szCs w:val="20"/>
        </w:rPr>
      </w:pPr>
    </w:p>
    <w:p w:rsidRPr="001B0F2A" w:rsidR="00803B30" w:rsidP="00803B30" w:rsidRDefault="00803B30" w14:paraId="6C8E6992" w14:textId="77777777">
      <w:pPr>
        <w:widowControl w:val="0"/>
        <w:autoSpaceDE w:val="0"/>
        <w:autoSpaceDN w:val="0"/>
        <w:adjustRightInd w:val="0"/>
        <w:ind w:firstLine="0"/>
        <w:jc w:val="left"/>
        <w:rPr>
          <w:rFonts w:eastAsia="Times New Roman" w:cs="Times New Roman"/>
          <w:iCs/>
          <w:szCs w:val="20"/>
        </w:rPr>
      </w:pPr>
    </w:p>
    <w:p w:rsidRPr="001B0F2A" w:rsidR="00803B30" w:rsidP="00803B30" w:rsidRDefault="00803B30" w14:paraId="2E75015F" w14:textId="48B5918B">
      <w:pPr>
        <w:widowControl w:val="0"/>
        <w:autoSpaceDE w:val="0"/>
        <w:autoSpaceDN w:val="0"/>
        <w:adjustRightInd w:val="0"/>
        <w:ind w:firstLine="0"/>
        <w:jc w:val="left"/>
        <w:rPr>
          <w:rFonts w:eastAsia="Times New Roman" w:cs="Times New Roman"/>
          <w:iCs/>
          <w:szCs w:val="20"/>
        </w:rPr>
      </w:pPr>
    </w:p>
    <w:p w:rsidRPr="001B0F2A" w:rsidR="00C63A0B" w:rsidP="00803B30" w:rsidRDefault="00C63A0B" w14:paraId="789D5D0E" w14:textId="77777777">
      <w:pPr>
        <w:widowControl w:val="0"/>
        <w:autoSpaceDE w:val="0"/>
        <w:autoSpaceDN w:val="0"/>
        <w:adjustRightInd w:val="0"/>
        <w:ind w:firstLine="0"/>
        <w:jc w:val="left"/>
        <w:rPr>
          <w:rFonts w:eastAsia="Times New Roman" w:cs="Times New Roman"/>
          <w:iCs/>
          <w:szCs w:val="20"/>
        </w:rPr>
      </w:pPr>
    </w:p>
    <w:p w:rsidRPr="001B0F2A" w:rsidR="002214AB" w:rsidP="001B0F2A" w:rsidRDefault="00803B30" w14:paraId="6CF7FD44" w14:textId="2337811C">
      <w:pPr>
        <w:widowControl w:val="0"/>
        <w:autoSpaceDE w:val="0"/>
        <w:autoSpaceDN w:val="0"/>
        <w:adjustRightInd w:val="0"/>
        <w:ind w:firstLine="0"/>
        <w:jc w:val="left"/>
        <w:rPr>
          <w:rFonts w:eastAsia="Times New Roman" w:cs="Times New Roman"/>
          <w:b/>
          <w:bCs/>
          <w:iCs/>
          <w:szCs w:val="24"/>
        </w:rPr>
      </w:pPr>
      <w:bookmarkStart w:name="sagatavoja" w:id="6"/>
      <w:r w:rsidRPr="001B0F2A">
        <w:rPr>
          <w:rFonts w:eastAsia="Times New Roman" w:cs="Times New Roman"/>
          <w:iCs/>
          <w:szCs w:val="24"/>
        </w:rPr>
        <w:t>Pērkone 64207704,</w:t>
      </w:r>
      <w:r w:rsidRPr="001B0F2A">
        <w:rPr>
          <w:rFonts w:eastAsia="Times New Roman" w:cs="Times New Roman"/>
          <w:iCs/>
          <w:szCs w:val="24"/>
        </w:rPr>
        <w:br/>
        <w:t>Sarmite.Perkone@lvceli.lv</w:t>
      </w:r>
      <w:bookmarkEnd w:id="6"/>
    </w:p>
    <w:sectPr w:rsidRPr="001B0F2A" w:rsidR="002214AB" w:rsidSect="00F6454D">
      <w:headerReference w:type="default" r:id="rId7"/>
      <w:footerReference w:type="default" r:id="rId8"/>
      <w:headerReference w:type="first" r:id="rId9"/>
      <w:footerReference w:type="first" r:id="rId10"/>
      <w:pgSz w:w="11906" w:h="16838"/>
      <w:pgMar w:top="1134" w:right="851" w:bottom="1440" w:left="1134"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4EB5D" w14:textId="77777777" w:rsidR="003A2562" w:rsidRDefault="003A2562" w:rsidP="00437C2F">
      <w:r>
        <w:separator/>
      </w:r>
    </w:p>
  </w:endnote>
  <w:endnote w:type="continuationSeparator" w:id="0">
    <w:p w14:paraId="3291AAD1" w14:textId="77777777" w:rsidR="003A2562" w:rsidRDefault="003A2562" w:rsidP="00437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ontserrat">
    <w:altName w:val="Montserrat"/>
    <w:panose1 w:val="00000500000000000000"/>
    <w:charset w:val="00"/>
    <w:family w:val="modern"/>
    <w:notTrueType/>
    <w:pitch w:val="variable"/>
    <w:sig w:usb0="2000020F" w:usb1="00000003" w:usb2="00000000" w:usb3="00000000" w:csb0="0000019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18979"/>
      <w:docPartObj>
        <w:docPartGallery w:val="Page Numbers (Bottom of Page)"/>
        <w:docPartUnique/>
      </w:docPartObj>
    </w:sdtPr>
    <w:sdtEndPr/>
    <w:sdtContent>
      <w:p w14:paraId="4B2A3CE8" w14:textId="0138F09B" w:rsidR="00F6454D" w:rsidRDefault="00F6454D">
        <w:pPr>
          <w:pStyle w:val="Kjene"/>
          <w:jc w:val="right"/>
        </w:pPr>
        <w:r>
          <w:fldChar w:fldCharType="begin"/>
        </w:r>
        <w:r>
          <w:instrText>PAGE   \* MERGEFORMAT</w:instrText>
        </w:r>
        <w:r>
          <w:fldChar w:fldCharType="separate"/>
        </w:r>
        <w:r>
          <w:t>2</w:t>
        </w:r>
        <w:r>
          <w:fldChar w:fldCharType="end"/>
        </w:r>
      </w:p>
    </w:sdtContent>
  </w:sdt>
  <w:p w14:paraId="6A7895C2" w14:textId="77777777" w:rsidR="004439F3" w:rsidRDefault="004439F3" w:rsidP="00F6454D">
    <w:pPr>
      <w:pStyle w:val="Kjen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75107" w14:textId="321CDE74" w:rsidR="00F6454D" w:rsidRDefault="00F6454D">
    <w:pPr>
      <w:pStyle w:val="Kjene"/>
      <w:jc w:val="right"/>
    </w:pPr>
  </w:p>
  <w:p w14:paraId="7EC14ECC" w14:textId="77777777" w:rsidR="004439F3" w:rsidRDefault="004439F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15225" w14:textId="77777777" w:rsidR="003A2562" w:rsidRDefault="003A2562" w:rsidP="00437C2F">
      <w:r>
        <w:separator/>
      </w:r>
    </w:p>
  </w:footnote>
  <w:footnote w:type="continuationSeparator" w:id="0">
    <w:p w14:paraId="3F382F75" w14:textId="77777777" w:rsidR="003A2562" w:rsidRDefault="003A2562" w:rsidP="00437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BBEAE" w14:textId="0EC4B220" w:rsidR="00437C2F" w:rsidRDefault="00437C2F" w:rsidP="00CC3F7F">
    <w:pPr>
      <w:pStyle w:val="Galvene"/>
      <w:ind w:left="-1134" w:righ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3526D" w14:textId="2160BB81" w:rsidR="00CC3F7F" w:rsidRDefault="00D0716C" w:rsidP="002350DC">
    <w:pPr>
      <w:pStyle w:val="Galvene"/>
      <w:ind w:left="-1134" w:firstLine="0"/>
    </w:pPr>
    <w:r>
      <w:rPr>
        <w:noProof/>
      </w:rPr>
      <w:drawing>
        <wp:inline distT="0" distB="0" distL="0" distR="0" wp14:anchorId="0EBD7138" wp14:editId="782AEA05">
          <wp:extent cx="7608570" cy="148145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8570" cy="1481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94066"/>
    <w:multiLevelType w:val="multilevel"/>
    <w:tmpl w:val="7FCAEE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1852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2F"/>
    <w:rsid w:val="00026C96"/>
    <w:rsid w:val="00031D93"/>
    <w:rsid w:val="00047A33"/>
    <w:rsid w:val="0007000E"/>
    <w:rsid w:val="000A6AB9"/>
    <w:rsid w:val="000C5E92"/>
    <w:rsid w:val="000F1D0D"/>
    <w:rsid w:val="001065FA"/>
    <w:rsid w:val="00107DE2"/>
    <w:rsid w:val="001468EE"/>
    <w:rsid w:val="001475CD"/>
    <w:rsid w:val="00150BB8"/>
    <w:rsid w:val="00150FE0"/>
    <w:rsid w:val="001822F4"/>
    <w:rsid w:val="00191755"/>
    <w:rsid w:val="001B0F2A"/>
    <w:rsid w:val="001B5274"/>
    <w:rsid w:val="001D25F7"/>
    <w:rsid w:val="001E790A"/>
    <w:rsid w:val="001E7E3D"/>
    <w:rsid w:val="001F21F8"/>
    <w:rsid w:val="001F266D"/>
    <w:rsid w:val="00211DCE"/>
    <w:rsid w:val="002214AB"/>
    <w:rsid w:val="002331A0"/>
    <w:rsid w:val="002350DC"/>
    <w:rsid w:val="00244221"/>
    <w:rsid w:val="002B6F21"/>
    <w:rsid w:val="002F6A69"/>
    <w:rsid w:val="00312674"/>
    <w:rsid w:val="00312E49"/>
    <w:rsid w:val="00393A7E"/>
    <w:rsid w:val="003A1C1B"/>
    <w:rsid w:val="003A2562"/>
    <w:rsid w:val="003F5036"/>
    <w:rsid w:val="00437C2F"/>
    <w:rsid w:val="004439F3"/>
    <w:rsid w:val="0047259B"/>
    <w:rsid w:val="004D3969"/>
    <w:rsid w:val="004D54A9"/>
    <w:rsid w:val="004D7A2A"/>
    <w:rsid w:val="00500120"/>
    <w:rsid w:val="005451A0"/>
    <w:rsid w:val="00563786"/>
    <w:rsid w:val="005777CD"/>
    <w:rsid w:val="00585FBD"/>
    <w:rsid w:val="00593BBD"/>
    <w:rsid w:val="005A19B5"/>
    <w:rsid w:val="005C1EA3"/>
    <w:rsid w:val="00614B77"/>
    <w:rsid w:val="006264BA"/>
    <w:rsid w:val="0064618A"/>
    <w:rsid w:val="00671CE0"/>
    <w:rsid w:val="006761FF"/>
    <w:rsid w:val="006A34ED"/>
    <w:rsid w:val="006F2A94"/>
    <w:rsid w:val="006F42D4"/>
    <w:rsid w:val="00711AA6"/>
    <w:rsid w:val="00742B86"/>
    <w:rsid w:val="00753FEB"/>
    <w:rsid w:val="007669DD"/>
    <w:rsid w:val="007908C8"/>
    <w:rsid w:val="007B588C"/>
    <w:rsid w:val="007B7986"/>
    <w:rsid w:val="007D2F59"/>
    <w:rsid w:val="007E7308"/>
    <w:rsid w:val="007F212D"/>
    <w:rsid w:val="007F22B5"/>
    <w:rsid w:val="00803B30"/>
    <w:rsid w:val="00821A5C"/>
    <w:rsid w:val="008254A5"/>
    <w:rsid w:val="0084199A"/>
    <w:rsid w:val="00857D41"/>
    <w:rsid w:val="00863A97"/>
    <w:rsid w:val="008721C8"/>
    <w:rsid w:val="00884089"/>
    <w:rsid w:val="00887574"/>
    <w:rsid w:val="00891724"/>
    <w:rsid w:val="00897E31"/>
    <w:rsid w:val="008D240A"/>
    <w:rsid w:val="008F1F06"/>
    <w:rsid w:val="00983E99"/>
    <w:rsid w:val="0098750E"/>
    <w:rsid w:val="009C4FF4"/>
    <w:rsid w:val="009D74F0"/>
    <w:rsid w:val="009F169E"/>
    <w:rsid w:val="00AA1757"/>
    <w:rsid w:val="00AD6BDE"/>
    <w:rsid w:val="00B10B84"/>
    <w:rsid w:val="00B12DB9"/>
    <w:rsid w:val="00B52F10"/>
    <w:rsid w:val="00B74F40"/>
    <w:rsid w:val="00B77B35"/>
    <w:rsid w:val="00B92989"/>
    <w:rsid w:val="00B96F29"/>
    <w:rsid w:val="00BA29A4"/>
    <w:rsid w:val="00BA53A3"/>
    <w:rsid w:val="00BB0A98"/>
    <w:rsid w:val="00BE46DB"/>
    <w:rsid w:val="00BF2254"/>
    <w:rsid w:val="00C1243D"/>
    <w:rsid w:val="00C54A47"/>
    <w:rsid w:val="00C61314"/>
    <w:rsid w:val="00C63A0B"/>
    <w:rsid w:val="00C67520"/>
    <w:rsid w:val="00C860B6"/>
    <w:rsid w:val="00C97ABA"/>
    <w:rsid w:val="00CC3F7F"/>
    <w:rsid w:val="00CD1F8E"/>
    <w:rsid w:val="00CD5037"/>
    <w:rsid w:val="00D0716C"/>
    <w:rsid w:val="00D27145"/>
    <w:rsid w:val="00D445A2"/>
    <w:rsid w:val="00D6295E"/>
    <w:rsid w:val="00E12A29"/>
    <w:rsid w:val="00E26079"/>
    <w:rsid w:val="00E344D6"/>
    <w:rsid w:val="00E3516F"/>
    <w:rsid w:val="00E62B1C"/>
    <w:rsid w:val="00E90182"/>
    <w:rsid w:val="00EC2A1B"/>
    <w:rsid w:val="00F17096"/>
    <w:rsid w:val="00F27EB8"/>
    <w:rsid w:val="00F341CC"/>
    <w:rsid w:val="00F57F85"/>
    <w:rsid w:val="00F6127E"/>
    <w:rsid w:val="00F6454D"/>
    <w:rsid w:val="00F82864"/>
    <w:rsid w:val="00F9032D"/>
    <w:rsid w:val="00FD682F"/>
    <w:rsid w:val="00FE6A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D0908"/>
  <w15:chartTrackingRefBased/>
  <w15:docId w15:val="{1910BC6F-17F8-4407-B598-72FC19A3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v-LV" w:eastAsia="en-US" w:bidi="ar-SA"/>
      </w:rPr>
    </w:rPrDefault>
    <w:pPrDefault>
      <w:pPr>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A53A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37C2F"/>
    <w:pPr>
      <w:tabs>
        <w:tab w:val="center" w:pos="4513"/>
        <w:tab w:val="right" w:pos="9026"/>
      </w:tabs>
    </w:pPr>
  </w:style>
  <w:style w:type="character" w:customStyle="1" w:styleId="GalveneRakstz">
    <w:name w:val="Galvene Rakstz."/>
    <w:basedOn w:val="Noklusjumarindkopasfonts"/>
    <w:link w:val="Galvene"/>
    <w:uiPriority w:val="99"/>
    <w:rsid w:val="00437C2F"/>
  </w:style>
  <w:style w:type="paragraph" w:styleId="Kjene">
    <w:name w:val="footer"/>
    <w:basedOn w:val="Parasts"/>
    <w:link w:val="KjeneRakstz"/>
    <w:uiPriority w:val="99"/>
    <w:unhideWhenUsed/>
    <w:rsid w:val="00437C2F"/>
    <w:pPr>
      <w:tabs>
        <w:tab w:val="center" w:pos="4513"/>
        <w:tab w:val="right" w:pos="9026"/>
      </w:tabs>
    </w:pPr>
  </w:style>
  <w:style w:type="character" w:customStyle="1" w:styleId="KjeneRakstz">
    <w:name w:val="Kājene Rakstz."/>
    <w:basedOn w:val="Noklusjumarindkopasfonts"/>
    <w:link w:val="Kjene"/>
    <w:uiPriority w:val="99"/>
    <w:rsid w:val="00437C2F"/>
  </w:style>
  <w:style w:type="table" w:styleId="Reatabula">
    <w:name w:val="Table Grid"/>
    <w:basedOn w:val="Parastatabula"/>
    <w:uiPriority w:val="59"/>
    <w:rsid w:val="00437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437C2F"/>
    <w:rPr>
      <w:color w:val="0563C1" w:themeColor="hyperlink"/>
      <w:u w:val="single"/>
    </w:rPr>
  </w:style>
  <w:style w:type="character" w:styleId="Neatrisintapieminana">
    <w:name w:val="Unresolved Mention"/>
    <w:basedOn w:val="Noklusjumarindkopasfonts"/>
    <w:uiPriority w:val="99"/>
    <w:semiHidden/>
    <w:unhideWhenUsed/>
    <w:rsid w:val="00437C2F"/>
    <w:rPr>
      <w:color w:val="605E5C"/>
      <w:shd w:val="clear" w:color="auto" w:fill="E1DFDD"/>
    </w:rPr>
  </w:style>
  <w:style w:type="paragraph" w:styleId="Atpakaadreseuzaploksnes">
    <w:name w:val="envelope return"/>
    <w:basedOn w:val="Parasts"/>
    <w:rsid w:val="002214AB"/>
    <w:pPr>
      <w:keepLines/>
      <w:widowControl w:val="0"/>
      <w:spacing w:before="600"/>
    </w:pPr>
    <w:rPr>
      <w:rFonts w:eastAsia="Times New Roman" w:cs="Times New Roman"/>
      <w:i/>
      <w:sz w:val="26"/>
      <w:szCs w:val="20"/>
      <w:lang w:val="en-AU"/>
    </w:rPr>
  </w:style>
  <w:style w:type="paragraph" w:styleId="Pamattekstsaratkpi">
    <w:name w:val="Body Text Indent"/>
    <w:basedOn w:val="Parasts"/>
    <w:link w:val="PamattekstsaratkpiRakstz"/>
    <w:rsid w:val="002214AB"/>
    <w:pPr>
      <w:widowControl w:val="0"/>
      <w:spacing w:before="60" w:after="60" w:line="360" w:lineRule="auto"/>
    </w:pPr>
    <w:rPr>
      <w:rFonts w:eastAsia="Times New Roman" w:cs="Times New Roman"/>
      <w:i/>
      <w:szCs w:val="20"/>
      <w:lang w:eastAsia="lv-LV"/>
    </w:rPr>
  </w:style>
  <w:style w:type="character" w:customStyle="1" w:styleId="PamattekstsaratkpiRakstz">
    <w:name w:val="Pamatteksts ar atkāpi Rakstz."/>
    <w:basedOn w:val="Noklusjumarindkopasfonts"/>
    <w:link w:val="Pamattekstsaratkpi"/>
    <w:rsid w:val="002214AB"/>
    <w:rPr>
      <w:rFonts w:ascii="Times New Roman" w:eastAsia="Times New Roman" w:hAnsi="Times New Roman" w:cs="Times New Roman"/>
      <w:i/>
      <w:sz w:val="24"/>
      <w:szCs w:val="20"/>
      <w:lang w:eastAsia="lv-LV"/>
    </w:rPr>
  </w:style>
  <w:style w:type="paragraph" w:styleId="Bezatstarpm">
    <w:name w:val="No Spacing"/>
    <w:uiPriority w:val="1"/>
    <w:qFormat/>
    <w:rsid w:val="002214AB"/>
    <w:rPr>
      <w:rFonts w:ascii="Montserrat" w:hAnsi="Montserrat"/>
    </w:rPr>
  </w:style>
  <w:style w:type="paragraph" w:customStyle="1" w:styleId="Veidlapam">
    <w:name w:val="Veidlapam"/>
    <w:basedOn w:val="Parasts"/>
    <w:qFormat/>
    <w:rsid w:val="00BA53A3"/>
  </w:style>
  <w:style w:type="table" w:customStyle="1" w:styleId="Reatabula1">
    <w:name w:val="Režģa tabula1"/>
    <w:basedOn w:val="Parastatabula"/>
    <w:next w:val="Reatabula"/>
    <w:uiPriority w:val="59"/>
    <w:rsid w:val="00803B30"/>
    <w:pPr>
      <w:ind w:firstLine="0"/>
      <w:jc w:val="left"/>
    </w:pPr>
    <w:rPr>
      <w:rFonts w:eastAsia="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2350D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350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446830">
      <w:bodyDiv w:val="1"/>
      <w:marLeft w:val="0"/>
      <w:marRight w:val="0"/>
      <w:marTop w:val="0"/>
      <w:marBottom w:val="0"/>
      <w:divBdr>
        <w:top w:val="none" w:sz="0" w:space="0" w:color="auto"/>
        <w:left w:val="none" w:sz="0" w:space="0" w:color="auto"/>
        <w:bottom w:val="none" w:sz="0" w:space="0" w:color="auto"/>
        <w:right w:val="none" w:sz="0" w:space="0" w:color="auto"/>
      </w:divBdr>
    </w:div>
    <w:div w:id="173115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2052</Words>
  <Characters>1170</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LVC</dc:creator>
  <cp:keywords/>
  <dc:description/>
  <cp:lastModifiedBy>Sarmīte Pērkone</cp:lastModifiedBy>
  <cp:revision>8</cp:revision>
  <dcterms:created xsi:type="dcterms:W3CDTF">2022-08-01T07:09:00Z</dcterms:created>
  <dcterms:modified xsi:type="dcterms:W3CDTF">2024-09-16T07:02:00Z</dcterms:modified>
  <cp:contentStatus>Pēdējais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