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MINISTRI MÄÄRUS </w:t>
      </w:r>
    </w:p>
    <w:p>
      <w:pPr>
        <w:pStyle w:val="TextBody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EELNÕU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,Bold" w:hAnsi="Arial,Bold"/>
          <w:sz w:val="22"/>
        </w:rPr>
        <w:t xml:space="preserve">Soolise ebakõla kohta otsuse tegemise tingimused ja kord </w:t>
      </w:r>
    </w:p>
    <w:p>
      <w:pPr>
        <w:pStyle w:val="TextBody"/>
        <w:bidi w:val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13.06.2025 nr </w:t>
      </w:r>
    </w:p>
    <w:p>
      <w:pPr>
        <w:pStyle w:val="TextBody"/>
        <w:bidi w:val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Määrus kehtestatakse tervishoiuteenuste korraldamise seaduse § 56 lõike 1 punkti 12 alusel.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,Bold" w:hAnsi="Arial,Bold"/>
          <w:sz w:val="22"/>
        </w:rPr>
        <w:t xml:space="preserve">§ 1. Reguleerimis- ja kohaldamisala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" w:hAnsi="Arial"/>
          <w:sz w:val="22"/>
        </w:rPr>
        <w:t>(1) Määrusega kehtestatakse perekonnaseisutoimingute seaduse § 49</w:t>
      </w:r>
      <w:r>
        <w:rPr>
          <w:rFonts w:ascii="Arial" w:hAnsi="Arial"/>
          <w:sz w:val="14"/>
        </w:rPr>
        <w:t xml:space="preserve">1 </w:t>
      </w:r>
      <w:r>
        <w:rPr>
          <w:rFonts w:ascii="Arial" w:hAnsi="Arial"/>
          <w:sz w:val="22"/>
        </w:rPr>
        <w:t>lõikes 1 nimetatud arstliku ekspertiisikomisjoni poolt soo</w:t>
      </w:r>
      <w:r>
        <w:rPr>
          <w:rFonts w:ascii="Arial" w:hAnsi="Arial"/>
          <w:color w:val="C9211E"/>
          <w:sz w:val="22"/>
        </w:rPr>
        <w:t>lise</w:t>
      </w:r>
      <w:r>
        <w:rPr>
          <w:rFonts w:ascii="Arial" w:hAnsi="Arial"/>
          <w:sz w:val="22"/>
        </w:rPr>
        <w:t xml:space="preserve"> ebakõla kohta otsuse tegemise tingimused ja kord. </w:t>
      </w:r>
    </w:p>
    <w:p>
      <w:pPr>
        <w:pStyle w:val="TextBody"/>
        <w:bidi w:val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(2) Arstliku ekspertiisikomisjoni otsus on aluseks isiku soo andmete muutmiseks rahvastikuregistris.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,Bold" w:hAnsi="Arial,Bold"/>
          <w:sz w:val="22"/>
        </w:rPr>
        <w:t xml:space="preserve">§ 2. Avalduse esitamine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" w:hAnsi="Arial"/>
          <w:sz w:val="22"/>
        </w:rPr>
        <w:t xml:space="preserve">Soolise ebakõla kohta arstliku ekspertiisikomisjoni otsuse taotlemiseks esitab isik sellekohase avalduse tervishoiuteenuste korraldamise seaduse § 56 lõike 1 punkti 12 alusel valdkonna eest vastutava ministri poolt moodustatud arstlikule ekspertiisikomisjonile.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,Bold" w:hAnsi="Arial,Bold"/>
          <w:sz w:val="22"/>
        </w:rPr>
        <w:t xml:space="preserve">§ 3. Soolise ebakõla tuvastamine </w:t>
      </w:r>
    </w:p>
    <w:p>
      <w:pPr>
        <w:pStyle w:val="TextBody"/>
        <w:bidi w:val="0"/>
        <w:jc w:val="left"/>
        <w:rPr/>
      </w:pPr>
      <w:r>
        <w:rPr>
          <w:rFonts w:ascii="Arial" w:hAnsi="Arial"/>
          <w:sz w:val="22"/>
        </w:rPr>
        <w:t>(1) Arstlik ekspertiisikomisjon lähtub soolise ebakõla tuvastamisel alljärgnevate tingimuste esinemisest:</w:t>
        <w:br/>
        <w:t xml:space="preserve">1) püsiva soolise ebakõla esinemine anamneesis vähemalt kaks aastat enne otsuse tegemist; </w:t>
      </w:r>
    </w:p>
    <w:p>
      <w:pPr>
        <w:pStyle w:val="TextBody"/>
        <w:bidi w:val="0"/>
        <w:jc w:val="left"/>
        <w:rPr/>
      </w:pPr>
      <w:r>
        <w:rPr>
          <w:rFonts w:ascii="Arial" w:hAnsi="Arial"/>
          <w:sz w:val="22"/>
        </w:rPr>
        <w:t xml:space="preserve">2) psühhiaatri hinnang, mis välistab soolise ebakõla tingituse psüühikahäirest. </w:t>
      </w:r>
    </w:p>
    <w:p>
      <w:pPr>
        <w:pStyle w:val="TextBody"/>
        <w:bidi w:val="0"/>
        <w:jc w:val="left"/>
        <w:rPr>
          <w:highlight w:val="yellow"/>
        </w:rPr>
      </w:pPr>
      <w:r>
        <w:rPr>
          <w:rFonts w:ascii="Arial" w:hAnsi="Arial"/>
          <w:sz w:val="22"/>
          <w:highlight w:val="yellow"/>
        </w:rPr>
        <w:t xml:space="preserve">(2) Soolise ebakõla tuvastamise järgselt võib alustada hormoonravi. </w:t>
      </w:r>
    </w:p>
    <w:p>
      <w:pPr>
        <w:pStyle w:val="TextBody"/>
        <w:bidi w:val="0"/>
        <w:jc w:val="left"/>
        <w:rPr>
          <w:highlight w:val="yellow"/>
        </w:rPr>
      </w:pPr>
      <w:r>
        <w:rPr>
          <w:rFonts w:ascii="Arial" w:hAnsi="Arial"/>
          <w:sz w:val="22"/>
          <w:highlight w:val="yellow"/>
        </w:rPr>
        <w:t xml:space="preserve">(3) Soo kirurgiline korrigeerimine on lubatud sotsiaalse adaptatsiooni korral ühe aasta möödudes soolise ebakõla seisundi tuvastamisest. </w:t>
      </w:r>
    </w:p>
    <w:p>
      <w:pPr>
        <w:pStyle w:val="TextBody"/>
        <w:bidi w:val="0"/>
        <w:jc w:val="left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 xml:space="preserve">(4) Soo kirurgiline korrigeerimine ei ole kohustuslik. </w:t>
      </w:r>
    </w:p>
    <w:p>
      <w:pPr>
        <w:pStyle w:val="TextBody"/>
        <w:bidi w:val="0"/>
        <w:jc w:val="left"/>
        <w:rPr>
          <w:rFonts w:ascii="Arial" w:hAnsi="Arial"/>
          <w:color w:val="C9211E"/>
          <w:sz w:val="22"/>
          <w:highlight w:val="white"/>
        </w:rPr>
      </w:pPr>
      <w:r>
        <w:rPr>
          <w:rFonts w:ascii="Arial" w:hAnsi="Arial"/>
          <w:color w:val="C9211E"/>
          <w:sz w:val="22"/>
          <w:highlight w:val="white"/>
        </w:rPr>
        <w:t>Ettepanek asendada (2), (3) ja (4) alljärgnevalt:</w:t>
      </w:r>
    </w:p>
    <w:p>
      <w:pPr>
        <w:pStyle w:val="TextBody"/>
        <w:bidi w:val="0"/>
        <w:jc w:val="left"/>
        <w:rPr/>
      </w:pPr>
      <w:r>
        <w:rPr>
          <w:rFonts w:ascii="Arial" w:hAnsi="Arial"/>
          <w:color w:val="C9211E"/>
          <w:sz w:val="22"/>
          <w:highlight w:val="white"/>
        </w:rPr>
        <w:t xml:space="preserve">(2) </w:t>
      </w:r>
      <w:r>
        <w:rPr>
          <w:rFonts w:ascii="Arial" w:hAnsi="Arial"/>
          <w:color w:val="C9211E"/>
          <w:sz w:val="22"/>
          <w:highlight w:val="white"/>
        </w:rPr>
        <w:t>Arstliku ekspertiisikomisjoni poolt s</w:t>
      </w:r>
      <w:r>
        <w:rPr>
          <w:rFonts w:ascii="Arial" w:hAnsi="Arial"/>
          <w:color w:val="C9211E"/>
          <w:sz w:val="22"/>
          <w:highlight w:val="white"/>
        </w:rPr>
        <w:t xml:space="preserve">oolise ebakõla tuvastamise järgselt võib </w:t>
      </w:r>
      <w:r>
        <w:rPr>
          <w:rFonts w:ascii="Arial" w:hAnsi="Arial"/>
          <w:color w:val="C9211E"/>
          <w:sz w:val="22"/>
          <w:highlight w:val="white"/>
        </w:rPr>
        <w:t xml:space="preserve">soovi korral </w:t>
      </w:r>
      <w:r>
        <w:rPr>
          <w:rFonts w:ascii="Arial" w:hAnsi="Arial"/>
          <w:color w:val="C9211E"/>
          <w:sz w:val="22"/>
          <w:highlight w:val="white"/>
        </w:rPr>
        <w:t xml:space="preserve">alustada soolist üleminekut </w:t>
      </w:r>
      <w:r>
        <w:rPr>
          <w:rFonts w:ascii="Arial" w:hAnsi="Arial"/>
          <w:color w:val="C9211E"/>
          <w:sz w:val="22"/>
          <w:highlight w:val="white"/>
        </w:rPr>
        <w:t>toetavatele tegevustele</w:t>
      </w:r>
      <w:r>
        <w:rPr>
          <w:rFonts w:ascii="Arial" w:hAnsi="Arial"/>
          <w:color w:val="C9211E"/>
          <w:sz w:val="22"/>
          <w:highlight w:val="white"/>
        </w:rPr>
        <w:t xml:space="preserve"> (sotsiaalne, psühholoogiline, käitumuslik)</w:t>
      </w:r>
      <w:r>
        <w:rPr>
          <w:rFonts w:ascii="Arial" w:hAnsi="Arial"/>
          <w:color w:val="C9211E"/>
          <w:sz w:val="22"/>
          <w:highlight w:val="white"/>
        </w:rPr>
        <w:t xml:space="preserve"> </w:t>
      </w:r>
      <w:r>
        <w:rPr>
          <w:rFonts w:ascii="Arial" w:hAnsi="Arial"/>
          <w:color w:val="C9211E"/>
          <w:sz w:val="22"/>
          <w:highlight w:val="white"/>
        </w:rPr>
        <w:t>lisaks</w:t>
      </w:r>
      <w:r>
        <w:rPr>
          <w:rFonts w:ascii="Arial" w:hAnsi="Arial"/>
          <w:color w:val="C9211E"/>
          <w:sz w:val="22"/>
          <w:highlight w:val="white"/>
        </w:rPr>
        <w:t xml:space="preserve"> ka soolist üleminekut </w:t>
      </w:r>
      <w:r>
        <w:rPr>
          <w:rFonts w:ascii="Arial" w:hAnsi="Arial"/>
          <w:color w:val="C9211E"/>
          <w:sz w:val="22"/>
          <w:highlight w:val="white"/>
        </w:rPr>
        <w:t>abistava</w:t>
      </w:r>
      <w:r>
        <w:rPr>
          <w:rFonts w:ascii="Arial" w:hAnsi="Arial"/>
          <w:color w:val="C9211E"/>
          <w:sz w:val="22"/>
          <w:highlight w:val="white"/>
        </w:rPr>
        <w:t xml:space="preserve"> meditsiinilise</w:t>
      </w:r>
      <w:r>
        <w:rPr>
          <w:rFonts w:ascii="Arial" w:hAnsi="Arial"/>
          <w:color w:val="C9211E"/>
          <w:sz w:val="22"/>
          <w:highlight w:val="white"/>
        </w:rPr>
        <w:t xml:space="preserve"> (sh hormoonravi ja kirurgiline ravi)</w:t>
      </w:r>
      <w:r>
        <w:rPr>
          <w:rFonts w:ascii="Arial" w:hAnsi="Arial"/>
          <w:color w:val="C9211E"/>
          <w:sz w:val="22"/>
          <w:highlight w:val="white"/>
        </w:rPr>
        <w:t xml:space="preserve"> sekkumisega.</w:t>
      </w:r>
    </w:p>
    <w:p>
      <w:pPr>
        <w:pStyle w:val="TextBody"/>
        <w:bidi w:val="0"/>
        <w:jc w:val="left"/>
        <w:rPr/>
      </w:pPr>
      <w:r>
        <w:rPr>
          <w:rFonts w:ascii="Arial" w:hAnsi="Arial"/>
          <w:color w:val="C9211E"/>
          <w:sz w:val="22"/>
          <w:highlight w:val="white"/>
        </w:rPr>
        <w:t>-</w:t>
      </w:r>
      <w:r>
        <w:rPr>
          <w:rFonts w:ascii="Arial" w:hAnsi="Arial"/>
          <w:color w:val="C9211E"/>
          <w:sz w:val="22"/>
          <w:highlight w:val="white"/>
        </w:rPr>
        <w:t>----------------</w:t>
      </w:r>
    </w:p>
    <w:p>
      <w:pPr>
        <w:pStyle w:val="TextBody"/>
        <w:bidi w:val="0"/>
        <w:jc w:val="left"/>
        <w:rPr/>
      </w:pPr>
      <w:r>
        <w:rPr>
          <w:rFonts w:ascii="Arial" w:hAnsi="Arial"/>
          <w:color w:val="C9211E"/>
          <w:sz w:val="22"/>
          <w:highlight w:val="white"/>
        </w:rPr>
        <w:t xml:space="preserve">Ettepanek põhineb Maailma Terviseorganisatsiooni </w:t>
      </w:r>
      <w:r>
        <w:rPr>
          <w:rFonts w:ascii="Arial" w:hAnsi="Arial"/>
          <w:color w:val="C9211E"/>
          <w:sz w:val="22"/>
          <w:highlight w:val="white"/>
        </w:rPr>
        <w:t>seisukohal soolist üleminekut toetava tervishoiu sisu kohta (https://www.who.int/standards/classifications/frequently-asked-questions/gender-incongruence-and-transgender-health-in-the-icd), määruse sõnastus võiks seda seisukohta hõlmata</w:t>
      </w:r>
      <w:r>
        <w:rPr>
          <w:rFonts w:ascii="Arial" w:hAnsi="Arial"/>
          <w:color w:val="C9211E"/>
          <w:sz w:val="22"/>
          <w:highlight w:val="white"/>
        </w:rPr>
        <w:t>/kajastada</w:t>
      </w:r>
      <w:r>
        <w:rPr>
          <w:rFonts w:ascii="Arial" w:hAnsi="Arial"/>
          <w:color w:val="C9211E"/>
          <w:sz w:val="22"/>
          <w:highlight w:val="white"/>
        </w:rPr>
        <w:t>:</w:t>
      </w:r>
    </w:p>
    <w:p>
      <w:pPr>
        <w:pStyle w:val="Heading3"/>
        <w:bidi w:val="0"/>
        <w:jc w:val="left"/>
        <w:rPr>
          <w:rFonts w:ascii="Noto Sans;Arial;Helvetica;sans-serif" w:hAnsi="Noto Sans;Arial;Helvetica;sans-serif"/>
          <w:b w:val="false"/>
          <w:i/>
          <w:i/>
          <w:iCs/>
          <w:caps w:val="false"/>
          <w:smallCaps w:val="false"/>
          <w:color w:val="3C4245"/>
          <w:spacing w:val="0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C9211E"/>
          <w:spacing w:val="0"/>
          <w:sz w:val="22"/>
          <w:highlight w:val="white"/>
        </w:rPr>
        <w:t>"What is gender-affirmative health care?</w:t>
      </w:r>
    </w:p>
    <w:p>
      <w:pPr>
        <w:pStyle w:val="TextBody"/>
        <w:widowControl/>
        <w:bidi w:val="0"/>
        <w:spacing w:lineRule="auto" w:line="360"/>
        <w:ind w:left="0" w:right="0" w:hanging="0"/>
        <w:jc w:val="left"/>
        <w:rPr>
          <w:rFonts w:ascii="Noto Sans;Arial;Helvetica;sans-serif" w:hAnsi="Noto Sans;Arial;Helvetica;sans-serif"/>
          <w:b w:val="false"/>
          <w:i/>
          <w:i/>
          <w:iCs/>
          <w:caps w:val="false"/>
          <w:smallCaps w:val="false"/>
          <w:color w:val="C9211E"/>
          <w:spacing w:val="0"/>
          <w:sz w:val="23"/>
        </w:rPr>
      </w:pPr>
      <w:r>
        <w:rPr>
          <w:rFonts w:ascii="Noto Sans;Arial;Helvetica;sans-serif" w:hAnsi="Noto Sans;Arial;Helvetica;sans-serif"/>
          <w:b w:val="false"/>
          <w:i/>
          <w:iCs/>
          <w:caps w:val="false"/>
          <w:smallCaps w:val="false"/>
          <w:color w:val="C9211E"/>
          <w:spacing w:val="0"/>
          <w:sz w:val="23"/>
        </w:rPr>
        <w:t>Gender-affirmative health care can include any single or combination of a number of social, psychological, behavioural or medical (including hormonal treatment or surgery) interventions designed to support and affirm an individual’s gender identity.</w:t>
      </w:r>
      <w:r>
        <w:rPr>
          <w:rFonts w:ascii="Noto Sans;Arial;Helvetica;sans-serif" w:hAnsi="Noto Sans;Arial;Helvetica;sans-serif"/>
          <w:b w:val="false"/>
          <w:i/>
          <w:iCs/>
          <w:caps w:val="false"/>
          <w:smallCaps w:val="false"/>
          <w:color w:val="C9211E"/>
          <w:spacing w:val="0"/>
          <w:sz w:val="23"/>
        </w:rPr>
        <w:t>"</w:t>
      </w:r>
    </w:p>
    <w:p>
      <w:pPr>
        <w:pStyle w:val="TextBody"/>
        <w:bidi w:val="0"/>
        <w:jc w:val="left"/>
        <w:rPr/>
      </w:pPr>
      <w:r>
        <w:rPr>
          <w:rFonts w:ascii="Arial" w:hAnsi="Arial"/>
          <w:color w:val="C9211E"/>
          <w:sz w:val="22"/>
          <w:highlight w:val="white"/>
        </w:rPr>
        <w:t>M</w:t>
      </w:r>
      <w:r>
        <w:rPr>
          <w:rFonts w:ascii="Arial" w:hAnsi="Arial"/>
          <w:color w:val="C9211E"/>
          <w:sz w:val="22"/>
          <w:highlight w:val="white"/>
        </w:rPr>
        <w:t>editsiiniline sekkumine omakorda põhineks siis vastaval ajahetkel olemasolevale tõenduspõhisusele, nagu toimub ka muudes meditsiini valdkondades.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,Bold" w:hAnsi="Arial,Bold"/>
          <w:sz w:val="22"/>
        </w:rPr>
        <w:t xml:space="preserve">§ 4. Arstliku ekspertiisikomisjoni otsus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" w:hAnsi="Arial"/>
          <w:sz w:val="22"/>
        </w:rPr>
        <w:t xml:space="preserve">(1) Arstlik ekspertiisikomisjon teeb otsuse isiku seisundi kohta, </w:t>
      </w:r>
      <w:r>
        <w:rPr>
          <w:rFonts w:ascii="Arial" w:hAnsi="Arial"/>
          <w:sz w:val="22"/>
          <w:highlight w:val="yellow"/>
        </w:rPr>
        <w:t xml:space="preserve">kui komisjon on tuvastanud püsiva soolise ebakõla. </w:t>
      </w:r>
    </w:p>
    <w:p>
      <w:pPr>
        <w:pStyle w:val="TextBody"/>
        <w:bidi w:val="0"/>
        <w:jc w:val="left"/>
        <w:rPr>
          <w:color w:val="C9211E"/>
          <w:highlight w:val="white"/>
        </w:rPr>
      </w:pPr>
      <w:r>
        <w:rPr>
          <w:rFonts w:ascii="Arial" w:hAnsi="Arial"/>
          <w:color w:val="C9211E"/>
          <w:sz w:val="22"/>
          <w:highlight w:val="white"/>
        </w:rPr>
        <w:t>Ettepanek</w:t>
      </w:r>
      <w:r>
        <w:rPr>
          <w:rFonts w:ascii="Arial" w:hAnsi="Arial"/>
          <w:color w:val="C9211E"/>
          <w:sz w:val="22"/>
          <w:highlight w:val="white"/>
        </w:rPr>
        <w:t>:</w:t>
      </w:r>
      <w:r>
        <w:rPr>
          <w:rFonts w:ascii="Arial" w:hAnsi="Arial"/>
          <w:color w:val="C9211E"/>
          <w:sz w:val="22"/>
          <w:highlight w:val="white"/>
        </w:rPr>
        <w:t xml:space="preserve"> see lause ringi sõnastada, kuna arstlik ekspertiiikomisjon teeb ka siis otsuse, kui püsivat soolist ebakõla ei ole pöördujal </w:t>
      </w:r>
      <w:r>
        <w:rPr>
          <w:rFonts w:ascii="Arial" w:hAnsi="Arial"/>
          <w:color w:val="C9211E"/>
          <w:sz w:val="22"/>
          <w:highlight w:val="white"/>
        </w:rPr>
        <w:t xml:space="preserve">võimalik </w:t>
      </w:r>
      <w:r>
        <w:rPr>
          <w:rFonts w:ascii="Arial" w:hAnsi="Arial"/>
          <w:color w:val="C9211E"/>
          <w:sz w:val="22"/>
          <w:highlight w:val="white"/>
        </w:rPr>
        <w:t>tuvastada.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" w:hAnsi="Arial"/>
          <w:sz w:val="22"/>
          <w:highlight w:val="yellow"/>
        </w:rPr>
        <w:t>(2) Soo andmete muutmise taotlejale antakse arstliku ekspertiisikomisjoni otsus soo andmete muutmiseks vähemalt kahe aasta möödumisel ravi alustamisest sooliseks üleminekuks.</w:t>
      </w:r>
      <w:r>
        <w:rPr>
          <w:rFonts w:ascii="Arial" w:hAnsi="Arial"/>
          <w:sz w:val="22"/>
        </w:rPr>
        <w:t xml:space="preserve"> </w:t>
      </w:r>
    </w:p>
    <w:p>
      <w:pPr>
        <w:pStyle w:val="TextBody"/>
        <w:bidi w:val="0"/>
        <w:jc w:val="left"/>
        <w:rPr>
          <w:color w:val="C9211E"/>
        </w:rPr>
      </w:pPr>
      <w:r>
        <w:rPr>
          <w:rFonts w:ascii="Arial" w:hAnsi="Arial"/>
          <w:color w:val="C9211E"/>
          <w:sz w:val="22"/>
        </w:rPr>
        <w:t>Ettepanek muuta (2) järgnevalt:</w:t>
      </w:r>
    </w:p>
    <w:p>
      <w:pPr>
        <w:pStyle w:val="TextBody"/>
        <w:bidi w:val="0"/>
        <w:jc w:val="left"/>
        <w:rPr>
          <w:color w:val="C9211E"/>
        </w:rPr>
      </w:pPr>
      <w:r>
        <w:rPr>
          <w:rFonts w:ascii="Arial" w:hAnsi="Arial"/>
          <w:color w:val="C9211E"/>
          <w:sz w:val="22"/>
        </w:rPr>
        <w:t xml:space="preserve">(2) </w:t>
      </w:r>
      <w:r>
        <w:rPr>
          <w:rFonts w:ascii="Arial" w:hAnsi="Arial"/>
          <w:color w:val="C9211E"/>
          <w:sz w:val="22"/>
        </w:rPr>
        <w:t>Soo andmete muutmise taotlejale antakse arstliku ekspertiisikomisjoni otsus soo andmete muutmiseks vähemalt kahe aasta möödumisel soolise ebakõla tuvastamisest, ekspertiisikomisjonile jääb õigus igal üksikul juhul otsustada vastavalt isiku seisundile</w:t>
      </w:r>
      <w:r>
        <w:rPr>
          <w:rFonts w:ascii="Arial" w:hAnsi="Arial"/>
          <w:color w:val="C9211E"/>
          <w:sz w:val="22"/>
        </w:rPr>
        <w:t xml:space="preserve"> teistsugune ajaline intervall.</w:t>
      </w:r>
    </w:p>
    <w:p>
      <w:pPr>
        <w:pStyle w:val="TextBody"/>
        <w:bidi w:val="0"/>
        <w:jc w:val="left"/>
        <w:rPr>
          <w:color w:val="C9211E"/>
        </w:rPr>
      </w:pPr>
      <w:r>
        <w:rPr>
          <w:rFonts w:ascii="Arial" w:hAnsi="Arial"/>
          <w:color w:val="C9211E"/>
          <w:sz w:val="22"/>
        </w:rPr>
        <w:t>--------------</w:t>
      </w:r>
    </w:p>
    <w:p>
      <w:pPr>
        <w:pStyle w:val="TextBody"/>
        <w:bidi w:val="0"/>
        <w:jc w:val="left"/>
        <w:rPr/>
      </w:pPr>
      <w:r>
        <w:rPr>
          <w:rFonts w:ascii="Arial" w:hAnsi="Arial"/>
          <w:color w:val="C9211E"/>
          <w:sz w:val="22"/>
        </w:rPr>
        <w:t>Ettepanek põhineb soovahetuse AEK senisel kogemusel, et vahel on pöördujad vanemas eas (40-60+ aastased) ning aastakümnete jooksul selgelt kujunenud küpse identiteediga inimesed, kes pole lihtsalt varasemalt pöörduda otsustanud.</w:t>
      </w:r>
      <w:r>
        <w:rPr>
          <w:rFonts w:ascii="Arial" w:hAnsi="Arial"/>
          <w:color w:val="C9211E"/>
          <w:sz w:val="22"/>
        </w:rPr>
        <w:t xml:space="preserve"> Sellisel juhul pole see kaheaastane periood põhjendatud.</w:t>
      </w:r>
      <w:r>
        <w:rPr>
          <w:rFonts w:ascii="Arial" w:hAnsi="Arial"/>
          <w:color w:val="C9211E"/>
          <w:sz w:val="22"/>
        </w:rPr>
        <w:t xml:space="preserve"> Teisalt on pöördujate seas nei</w:t>
      </w:r>
      <w:r>
        <w:rPr>
          <w:rFonts w:ascii="Arial" w:hAnsi="Arial"/>
          <w:color w:val="C9211E"/>
          <w:sz w:val="22"/>
        </w:rPr>
        <w:t>d</w:t>
      </w:r>
      <w:r>
        <w:rPr>
          <w:rFonts w:ascii="Arial" w:hAnsi="Arial"/>
          <w:color w:val="C9211E"/>
          <w:sz w:val="22"/>
        </w:rPr>
        <w:t xml:space="preserve"> isikuid, kellel on soolise ebakõla tuvastamine ja ravi alustamine toimunud </w:t>
      </w:r>
      <w:r>
        <w:rPr>
          <w:rFonts w:ascii="Arial" w:hAnsi="Arial"/>
          <w:color w:val="C9211E"/>
          <w:sz w:val="22"/>
        </w:rPr>
        <w:t xml:space="preserve">varasemalt </w:t>
      </w:r>
      <w:r>
        <w:rPr>
          <w:rFonts w:ascii="Arial" w:hAnsi="Arial"/>
          <w:color w:val="C9211E"/>
          <w:sz w:val="22"/>
        </w:rPr>
        <w:t xml:space="preserve">mõnes teises riigis ning </w:t>
      </w:r>
      <w:r>
        <w:rPr>
          <w:rFonts w:ascii="Arial" w:hAnsi="Arial"/>
          <w:color w:val="C9211E"/>
          <w:sz w:val="22"/>
        </w:rPr>
        <w:t xml:space="preserve">nad </w:t>
      </w:r>
      <w:r>
        <w:rPr>
          <w:rFonts w:ascii="Arial" w:hAnsi="Arial"/>
          <w:color w:val="C9211E"/>
          <w:sz w:val="22"/>
        </w:rPr>
        <w:t>soovivad Eestis samuti soolist ebakõla tuvastada. Sellisel juhul saab aluseks võtta vastava riigi</w:t>
      </w:r>
      <w:r>
        <w:rPr>
          <w:rFonts w:ascii="Arial" w:hAnsi="Arial"/>
          <w:color w:val="C9211E"/>
          <w:sz w:val="22"/>
        </w:rPr>
        <w:t xml:space="preserve"> varasema</w:t>
      </w:r>
      <w:r>
        <w:rPr>
          <w:rFonts w:ascii="Arial" w:hAnsi="Arial"/>
          <w:color w:val="C9211E"/>
          <w:sz w:val="22"/>
        </w:rPr>
        <w:t xml:space="preserve"> dokumentatsiooni.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,Bold" w:hAnsi="Arial,Bold"/>
          <w:sz w:val="22"/>
        </w:rPr>
        <w:t xml:space="preserve">§ 5. Sünnisoo ennistamine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" w:hAnsi="Arial"/>
          <w:sz w:val="22"/>
        </w:rPr>
        <w:t>Sotsiaalse desadaptsiooni korral võib isik, kelle soo andmed on muudetud, esitada arstliku</w:t>
      </w:r>
      <w:r>
        <w:rPr>
          <w:rFonts w:ascii="Arial" w:hAnsi="Arial"/>
          <w:color w:val="C9211E"/>
          <w:sz w:val="22"/>
        </w:rPr>
        <w:t>le</w:t>
      </w:r>
      <w:r>
        <w:rPr>
          <w:rFonts w:ascii="Arial" w:hAnsi="Arial"/>
          <w:sz w:val="22"/>
        </w:rPr>
        <w:t xml:space="preserve"> ekspertiisikomisjonile kirjaliku avalduse sünnisoo ennistamise otsustamiseks.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,Bold" w:hAnsi="Arial,Bold"/>
          <w:sz w:val="22"/>
        </w:rPr>
        <w:t xml:space="preserve">§ 6. Määruse jõustumine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" w:hAnsi="Arial"/>
          <w:sz w:val="22"/>
        </w:rPr>
        <w:t xml:space="preserve">Määrus jõustub 1. septembril 2025. a. </w:t>
      </w:r>
    </w:p>
    <w:p>
      <w:pPr>
        <w:pStyle w:val="TextBody"/>
        <w:bidi w:val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(allkirjastatud digitaalselt) Karmen Joller sotsiaalminister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Arial" w:hAnsi="Arial"/>
          <w:sz w:val="22"/>
        </w:rPr>
        <w:t xml:space="preserve">(allkirjastatud digitaalselt) Maarjo Mändmaa kantsler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  <w:font w:name="Arial">
    <w:altName w:val="Bold"/>
    <w:charset w:val="01"/>
    <w:family w:val="auto"/>
    <w:pitch w:val="default"/>
  </w:font>
  <w:font w:name="Noto Sans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imSun" w:cs="Lucida Sans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LibreOffice/6.4.7.2$MacOSX_X86_64 LibreOffice_project/639b8ac485750d5696d7590a72ef1b496725cfb5</Application>
  <Pages>2</Pages>
  <Words>483</Words>
  <Characters>3726</Characters>
  <CharactersWithSpaces>4197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2025-07-02T08:27:22Z</dcterms:created>
  <dc:creator/>
  <dc:description/>
  <dc:language>en-GB</dc:language>
  <cp:lastModifiedBy/>
  <dcterms:modified xsi:type="dcterms:W3CDTF">2025-07-03T07:39:31Z</dcterms:modified>
  <cp:revision>12</cp:revision>
  <dc:subject/>
  <dc:title/>
</cp:coreProperties>
</file>