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5A37" w14:textId="0DBF807A" w:rsidR="00A305D8" w:rsidRPr="002E777D" w:rsidRDefault="00D61808" w:rsidP="002E777D">
      <w:pPr>
        <w:tabs>
          <w:tab w:val="center" w:pos="4322"/>
          <w:tab w:val="center" w:pos="8351"/>
        </w:tabs>
        <w:spacing w:after="0" w:line="259" w:lineRule="auto"/>
        <w:ind w:left="-3" w:firstLine="0"/>
        <w:jc w:val="left"/>
        <w:rPr>
          <w:rFonts w:ascii="Verdana" w:hAnsi="Verdana"/>
          <w:b/>
          <w:sz w:val="20"/>
          <w:szCs w:val="20"/>
        </w:rPr>
      </w:pPr>
      <w:r w:rsidRPr="002C750A">
        <w:rPr>
          <w:rFonts w:ascii="Verdana" w:hAnsi="Verdana"/>
          <w:i/>
          <w:sz w:val="20"/>
          <w:szCs w:val="20"/>
        </w:rPr>
        <w:t xml:space="preserve"> </w:t>
      </w:r>
      <w:r w:rsidRPr="002C750A">
        <w:rPr>
          <w:rFonts w:ascii="Verdana" w:hAnsi="Verdana"/>
          <w:i/>
          <w:sz w:val="20"/>
          <w:szCs w:val="20"/>
        </w:rPr>
        <w:tab/>
        <w:t xml:space="preserve"> </w:t>
      </w:r>
      <w:r w:rsidRPr="002C750A">
        <w:rPr>
          <w:rFonts w:ascii="Verdana" w:hAnsi="Verdana"/>
          <w:i/>
          <w:sz w:val="20"/>
          <w:szCs w:val="20"/>
        </w:rPr>
        <w:tab/>
      </w:r>
    </w:p>
    <w:p w14:paraId="426835C5" w14:textId="77777777" w:rsidR="003459F7" w:rsidRDefault="003459F7" w:rsidP="002E777D">
      <w:pPr>
        <w:spacing w:after="0" w:line="259" w:lineRule="auto"/>
        <w:ind w:left="10" w:right="5" w:hanging="10"/>
        <w:jc w:val="center"/>
        <w:rPr>
          <w:rFonts w:ascii="Verdana" w:hAnsi="Verdana"/>
          <w:b/>
          <w:sz w:val="20"/>
          <w:szCs w:val="20"/>
        </w:rPr>
      </w:pPr>
    </w:p>
    <w:p w14:paraId="619BE6CE" w14:textId="77777777" w:rsidR="003459F7" w:rsidRDefault="003459F7" w:rsidP="002E777D">
      <w:pPr>
        <w:spacing w:after="0" w:line="259" w:lineRule="auto"/>
        <w:ind w:left="10" w:right="5" w:hanging="10"/>
        <w:jc w:val="center"/>
        <w:rPr>
          <w:rFonts w:ascii="Verdana" w:hAnsi="Verdana"/>
          <w:b/>
          <w:sz w:val="20"/>
          <w:szCs w:val="20"/>
        </w:rPr>
      </w:pPr>
    </w:p>
    <w:p w14:paraId="50262EA5" w14:textId="77777777" w:rsidR="003459F7" w:rsidRDefault="003459F7" w:rsidP="002E777D">
      <w:pPr>
        <w:spacing w:after="0" w:line="259" w:lineRule="auto"/>
        <w:ind w:left="10" w:right="5" w:hanging="10"/>
        <w:jc w:val="center"/>
        <w:rPr>
          <w:rFonts w:ascii="Verdana" w:hAnsi="Verdana"/>
          <w:b/>
          <w:sz w:val="20"/>
          <w:szCs w:val="20"/>
        </w:rPr>
      </w:pPr>
    </w:p>
    <w:p w14:paraId="042DE633" w14:textId="34F257FC" w:rsidR="00D54AC3" w:rsidRPr="002E777D" w:rsidRDefault="00527B40" w:rsidP="002E777D">
      <w:pPr>
        <w:spacing w:after="0" w:line="259" w:lineRule="auto"/>
        <w:ind w:left="10" w:right="5" w:hanging="10"/>
        <w:jc w:val="center"/>
        <w:rPr>
          <w:rFonts w:ascii="Verdana" w:hAnsi="Verdana"/>
          <w:sz w:val="20"/>
          <w:szCs w:val="20"/>
        </w:rPr>
      </w:pPr>
      <w:r w:rsidRPr="002E777D">
        <w:rPr>
          <w:rFonts w:ascii="Verdana" w:hAnsi="Verdana"/>
          <w:b/>
          <w:sz w:val="20"/>
          <w:szCs w:val="20"/>
        </w:rPr>
        <w:t xml:space="preserve">IDA-VIRU VÄIKE- JA KESKMISE SUURUSEGA </w:t>
      </w:r>
      <w:r w:rsidR="00652A12" w:rsidRPr="002E777D">
        <w:rPr>
          <w:rFonts w:ascii="Verdana" w:hAnsi="Verdana"/>
          <w:b/>
          <w:sz w:val="20"/>
          <w:szCs w:val="20"/>
        </w:rPr>
        <w:t>ETTEVÕTJA</w:t>
      </w:r>
      <w:r w:rsidRPr="002E777D">
        <w:rPr>
          <w:rFonts w:ascii="Verdana" w:hAnsi="Verdana"/>
          <w:b/>
          <w:sz w:val="20"/>
          <w:szCs w:val="20"/>
        </w:rPr>
        <w:t xml:space="preserve">TE INVESTEERINGUTE </w:t>
      </w:r>
      <w:r w:rsidR="00D61808" w:rsidRPr="002E777D">
        <w:rPr>
          <w:rFonts w:ascii="Verdana" w:hAnsi="Verdana"/>
          <w:b/>
          <w:sz w:val="20"/>
          <w:szCs w:val="20"/>
        </w:rPr>
        <w:t>TOETUS</w:t>
      </w:r>
      <w:r w:rsidRPr="002E777D">
        <w:rPr>
          <w:rFonts w:ascii="Verdana" w:hAnsi="Verdana"/>
          <w:b/>
          <w:sz w:val="20"/>
          <w:szCs w:val="20"/>
        </w:rPr>
        <w:t xml:space="preserve">E </w:t>
      </w:r>
      <w:r w:rsidR="00D61808" w:rsidRPr="002E777D">
        <w:rPr>
          <w:rFonts w:ascii="Verdana" w:hAnsi="Verdana"/>
          <w:b/>
          <w:sz w:val="20"/>
          <w:szCs w:val="20"/>
        </w:rPr>
        <w:t>VALIKUMETOODIKA</w:t>
      </w:r>
      <w:r w:rsidR="00D61808" w:rsidRPr="002E777D">
        <w:rPr>
          <w:rFonts w:ascii="Verdana" w:hAnsi="Verdana"/>
          <w:sz w:val="20"/>
          <w:szCs w:val="20"/>
        </w:rPr>
        <w:t xml:space="preserve"> </w:t>
      </w:r>
    </w:p>
    <w:p w14:paraId="6FE4D8D0" w14:textId="6928D004" w:rsidR="00D54AC3" w:rsidRDefault="00D54AC3" w:rsidP="002E777D">
      <w:pPr>
        <w:spacing w:after="0" w:line="259" w:lineRule="auto"/>
        <w:ind w:left="0" w:firstLine="0"/>
        <w:jc w:val="left"/>
        <w:rPr>
          <w:rFonts w:ascii="Verdana" w:hAnsi="Verdana"/>
          <w:sz w:val="20"/>
          <w:szCs w:val="20"/>
        </w:rPr>
      </w:pPr>
    </w:p>
    <w:p w14:paraId="7C9323D1" w14:textId="77777777" w:rsidR="003459F7" w:rsidRDefault="003459F7" w:rsidP="002E777D">
      <w:pPr>
        <w:spacing w:after="0" w:line="259" w:lineRule="auto"/>
        <w:ind w:left="0" w:firstLine="0"/>
        <w:jc w:val="left"/>
        <w:rPr>
          <w:rFonts w:ascii="Verdana" w:hAnsi="Verdana"/>
          <w:sz w:val="20"/>
          <w:szCs w:val="20"/>
        </w:rPr>
      </w:pPr>
    </w:p>
    <w:p w14:paraId="186ACEB5" w14:textId="77777777" w:rsidR="003459F7" w:rsidRPr="002E777D" w:rsidRDefault="003459F7" w:rsidP="002E777D">
      <w:pPr>
        <w:spacing w:after="0" w:line="259" w:lineRule="auto"/>
        <w:ind w:left="0" w:firstLine="0"/>
        <w:jc w:val="left"/>
        <w:rPr>
          <w:rFonts w:ascii="Verdana" w:hAnsi="Verdana"/>
          <w:sz w:val="20"/>
          <w:szCs w:val="20"/>
        </w:rPr>
      </w:pPr>
    </w:p>
    <w:p w14:paraId="5EDADF28" w14:textId="77777777" w:rsidR="00E40AEB" w:rsidRPr="002E777D" w:rsidRDefault="00E40AEB" w:rsidP="002E777D">
      <w:pPr>
        <w:spacing w:after="0" w:line="259" w:lineRule="auto"/>
        <w:ind w:left="0" w:firstLine="0"/>
        <w:jc w:val="left"/>
        <w:rPr>
          <w:rFonts w:ascii="Verdana" w:hAnsi="Verdana"/>
          <w:sz w:val="20"/>
          <w:szCs w:val="20"/>
        </w:rPr>
      </w:pPr>
    </w:p>
    <w:p w14:paraId="7DB2140C" w14:textId="77777777" w:rsidR="00D54AC3" w:rsidRPr="002E777D" w:rsidRDefault="00D61808" w:rsidP="002E777D">
      <w:pPr>
        <w:numPr>
          <w:ilvl w:val="0"/>
          <w:numId w:val="1"/>
        </w:numPr>
        <w:spacing w:after="0" w:line="259" w:lineRule="auto"/>
        <w:ind w:hanging="240"/>
        <w:jc w:val="left"/>
        <w:rPr>
          <w:rFonts w:ascii="Verdana" w:hAnsi="Verdana"/>
          <w:sz w:val="20"/>
          <w:szCs w:val="20"/>
        </w:rPr>
      </w:pPr>
      <w:r w:rsidRPr="002E777D">
        <w:rPr>
          <w:rFonts w:ascii="Verdana" w:hAnsi="Verdana"/>
          <w:b/>
          <w:sz w:val="20"/>
          <w:szCs w:val="20"/>
        </w:rPr>
        <w:t>Taotluse hindamise kord</w:t>
      </w:r>
      <w:r w:rsidRPr="002E777D">
        <w:rPr>
          <w:rFonts w:ascii="Verdana" w:hAnsi="Verdana"/>
          <w:sz w:val="20"/>
          <w:szCs w:val="20"/>
        </w:rPr>
        <w:t xml:space="preserve">  </w:t>
      </w:r>
    </w:p>
    <w:p w14:paraId="33B81DAD" w14:textId="54CCE1A9" w:rsidR="00D54AC3" w:rsidRPr="002E777D" w:rsidRDefault="00D54AC3" w:rsidP="002E777D">
      <w:pPr>
        <w:spacing w:after="0" w:line="259" w:lineRule="auto"/>
        <w:ind w:left="0" w:firstLine="0"/>
        <w:jc w:val="left"/>
        <w:rPr>
          <w:rFonts w:ascii="Verdana" w:hAnsi="Verdana"/>
          <w:sz w:val="20"/>
          <w:szCs w:val="20"/>
        </w:rPr>
      </w:pPr>
    </w:p>
    <w:p w14:paraId="39573F81" w14:textId="4E0D7EB6" w:rsidR="00D54AC3" w:rsidRPr="002E777D" w:rsidRDefault="00527B40" w:rsidP="002E777D">
      <w:pPr>
        <w:numPr>
          <w:ilvl w:val="1"/>
          <w:numId w:val="1"/>
        </w:numPr>
        <w:ind w:right="-7" w:hanging="566"/>
        <w:rPr>
          <w:rFonts w:ascii="Verdana" w:hAnsi="Verdana"/>
          <w:sz w:val="20"/>
          <w:szCs w:val="20"/>
        </w:rPr>
      </w:pPr>
      <w:r w:rsidRPr="002E777D">
        <w:rPr>
          <w:rFonts w:ascii="Verdana" w:hAnsi="Verdana"/>
          <w:sz w:val="20"/>
          <w:szCs w:val="20"/>
        </w:rPr>
        <w:t xml:space="preserve">Ida-Virumaa väike- ja keskmise suurusega ettevõtjate investeeringute </w:t>
      </w:r>
      <w:r w:rsidR="00A305D8" w:rsidRPr="002E777D">
        <w:rPr>
          <w:rFonts w:ascii="Verdana" w:hAnsi="Verdana"/>
          <w:sz w:val="20"/>
          <w:szCs w:val="20"/>
        </w:rPr>
        <w:t>toetuse</w:t>
      </w:r>
      <w:r w:rsidR="00D61808" w:rsidRPr="002E777D">
        <w:rPr>
          <w:rFonts w:ascii="Verdana" w:hAnsi="Verdana"/>
          <w:sz w:val="20"/>
          <w:szCs w:val="20"/>
        </w:rPr>
        <w:t xml:space="preserve"> (edaspidi </w:t>
      </w:r>
      <w:r w:rsidR="00D61808" w:rsidRPr="002E777D">
        <w:rPr>
          <w:rFonts w:ascii="Verdana" w:hAnsi="Verdana"/>
          <w:i/>
          <w:sz w:val="20"/>
          <w:szCs w:val="20"/>
        </w:rPr>
        <w:t>Määrus</w:t>
      </w:r>
      <w:r w:rsidR="00D61808" w:rsidRPr="002E777D">
        <w:rPr>
          <w:rFonts w:ascii="Verdana" w:hAnsi="Verdana"/>
          <w:sz w:val="20"/>
          <w:szCs w:val="20"/>
        </w:rPr>
        <w:t xml:space="preserve">) raames esitatud ja vastavaks tunnistatud taotlusi hindab </w:t>
      </w:r>
      <w:r w:rsidR="000E15AE" w:rsidRPr="002E777D">
        <w:rPr>
          <w:rFonts w:ascii="Verdana" w:hAnsi="Verdana"/>
          <w:sz w:val="20"/>
          <w:szCs w:val="20"/>
        </w:rPr>
        <w:t>Ettevõtluse ja Innovatsiooni Sihtasutus</w:t>
      </w:r>
      <w:r w:rsidR="00D61808" w:rsidRPr="002E777D">
        <w:rPr>
          <w:rFonts w:ascii="Verdana" w:hAnsi="Verdana"/>
          <w:sz w:val="20"/>
          <w:szCs w:val="20"/>
        </w:rPr>
        <w:t xml:space="preserve"> </w:t>
      </w:r>
      <w:r w:rsidR="000E15AE" w:rsidRPr="002E777D">
        <w:rPr>
          <w:rFonts w:ascii="Verdana" w:hAnsi="Verdana"/>
          <w:sz w:val="20"/>
          <w:szCs w:val="20"/>
        </w:rPr>
        <w:t xml:space="preserve">(rakendusüksus) </w:t>
      </w:r>
      <w:r w:rsidR="00D61808" w:rsidRPr="002E777D">
        <w:rPr>
          <w:rFonts w:ascii="Verdana" w:hAnsi="Verdana"/>
          <w:sz w:val="20"/>
          <w:szCs w:val="20"/>
        </w:rPr>
        <w:t xml:space="preserve">Määruses toodud ning valikumetoodika punktis 2 kirjeldatud valikukriteeriumite hindeskaala alusel.  </w:t>
      </w:r>
    </w:p>
    <w:p w14:paraId="632C008B" w14:textId="2F682A80" w:rsidR="00D54AC3" w:rsidRPr="002E777D" w:rsidRDefault="00D61808" w:rsidP="002E777D">
      <w:pPr>
        <w:numPr>
          <w:ilvl w:val="1"/>
          <w:numId w:val="1"/>
        </w:numPr>
        <w:ind w:right="-7" w:hanging="566"/>
        <w:rPr>
          <w:rFonts w:ascii="Verdana" w:hAnsi="Verdana"/>
          <w:sz w:val="20"/>
          <w:szCs w:val="20"/>
        </w:rPr>
      </w:pPr>
      <w:r w:rsidRPr="002E777D">
        <w:rPr>
          <w:rFonts w:ascii="Verdana" w:hAnsi="Verdana"/>
          <w:sz w:val="20"/>
          <w:szCs w:val="20"/>
        </w:rPr>
        <w:t>Hindamisprotsessi kaasatakse vajadusel valdkondlik</w:t>
      </w:r>
      <w:r w:rsidR="005D72F9" w:rsidRPr="002E777D">
        <w:rPr>
          <w:rFonts w:ascii="Verdana" w:hAnsi="Verdana"/>
          <w:sz w:val="20"/>
          <w:szCs w:val="20"/>
        </w:rPr>
        <w:t>e</w:t>
      </w:r>
      <w:r w:rsidRPr="002E777D">
        <w:rPr>
          <w:rFonts w:ascii="Verdana" w:hAnsi="Verdana"/>
          <w:sz w:val="20"/>
          <w:szCs w:val="20"/>
        </w:rPr>
        <w:t xml:space="preserve"> ekspert</w:t>
      </w:r>
      <w:r w:rsidR="005D72F9" w:rsidRPr="002E777D">
        <w:rPr>
          <w:rFonts w:ascii="Verdana" w:hAnsi="Verdana"/>
          <w:sz w:val="20"/>
          <w:szCs w:val="20"/>
        </w:rPr>
        <w:t>e</w:t>
      </w:r>
      <w:r w:rsidRPr="002E777D">
        <w:rPr>
          <w:rFonts w:ascii="Verdana" w:hAnsi="Verdana"/>
          <w:sz w:val="20"/>
          <w:szCs w:val="20"/>
        </w:rPr>
        <w:t xml:space="preserve">, kelle eksperthinnangut projektide hindamisel arvestatakse. </w:t>
      </w:r>
    </w:p>
    <w:p w14:paraId="2A1DB5AE" w14:textId="2B109A01" w:rsidR="00D54AC3" w:rsidRPr="002E777D" w:rsidRDefault="00D61808" w:rsidP="002E777D">
      <w:pPr>
        <w:numPr>
          <w:ilvl w:val="1"/>
          <w:numId w:val="1"/>
        </w:numPr>
        <w:ind w:right="-7" w:hanging="566"/>
        <w:rPr>
          <w:rFonts w:ascii="Verdana" w:hAnsi="Verdana"/>
          <w:sz w:val="20"/>
          <w:szCs w:val="20"/>
        </w:rPr>
      </w:pPr>
      <w:r w:rsidRPr="002E777D">
        <w:rPr>
          <w:rFonts w:ascii="Verdana" w:hAnsi="Verdana"/>
          <w:sz w:val="20"/>
          <w:szCs w:val="20"/>
        </w:rPr>
        <w:t>Taotlusi hinnatakse täisarvudes kriteeriumites 1-</w:t>
      </w:r>
      <w:r w:rsidR="00527B40" w:rsidRPr="002E777D">
        <w:rPr>
          <w:rFonts w:ascii="Verdana" w:hAnsi="Verdana"/>
          <w:sz w:val="20"/>
          <w:szCs w:val="20"/>
        </w:rPr>
        <w:t>4</w:t>
      </w:r>
      <w:r w:rsidRPr="002E777D">
        <w:rPr>
          <w:rFonts w:ascii="Verdana" w:hAnsi="Verdana"/>
          <w:sz w:val="20"/>
          <w:szCs w:val="20"/>
        </w:rPr>
        <w:t xml:space="preserve"> skaalal 0–4</w:t>
      </w:r>
      <w:r w:rsidR="00787310" w:rsidRPr="002E777D">
        <w:rPr>
          <w:rFonts w:ascii="Verdana" w:hAnsi="Verdana"/>
          <w:sz w:val="20"/>
          <w:szCs w:val="20"/>
        </w:rPr>
        <w:t>.</w:t>
      </w:r>
    </w:p>
    <w:p w14:paraId="50CF9E3D" w14:textId="593ED5DC" w:rsidR="00D54AC3" w:rsidRPr="002E777D" w:rsidRDefault="00D61808" w:rsidP="002E777D">
      <w:pPr>
        <w:numPr>
          <w:ilvl w:val="1"/>
          <w:numId w:val="1"/>
        </w:numPr>
        <w:ind w:right="-7" w:hanging="566"/>
        <w:rPr>
          <w:rFonts w:ascii="Verdana" w:hAnsi="Verdana"/>
          <w:sz w:val="20"/>
          <w:szCs w:val="20"/>
        </w:rPr>
      </w:pPr>
      <w:r w:rsidRPr="002E777D">
        <w:rPr>
          <w:rFonts w:ascii="Verdana" w:hAnsi="Verdana"/>
          <w:sz w:val="20"/>
          <w:szCs w:val="20"/>
        </w:rPr>
        <w:t>Taotluse koondhinne on</w:t>
      </w:r>
      <w:r w:rsidR="00527B40" w:rsidRPr="002E777D">
        <w:rPr>
          <w:rFonts w:ascii="Verdana" w:hAnsi="Verdana"/>
          <w:sz w:val="20"/>
          <w:szCs w:val="20"/>
        </w:rPr>
        <w:t xml:space="preserve"> nelja </w:t>
      </w:r>
      <w:r w:rsidRPr="002E777D">
        <w:rPr>
          <w:rFonts w:ascii="Verdana" w:hAnsi="Verdana"/>
          <w:sz w:val="20"/>
          <w:szCs w:val="20"/>
        </w:rPr>
        <w:t xml:space="preserve">valikukriteeriumi </w:t>
      </w:r>
      <w:r w:rsidRPr="002E777D">
        <w:rPr>
          <w:rFonts w:ascii="Verdana" w:hAnsi="Verdana"/>
          <w:color w:val="auto"/>
          <w:sz w:val="20"/>
          <w:szCs w:val="20"/>
        </w:rPr>
        <w:t xml:space="preserve">kaalutud keskmine </w:t>
      </w:r>
      <w:r w:rsidRPr="002E777D">
        <w:rPr>
          <w:rFonts w:ascii="Verdana" w:hAnsi="Verdana"/>
          <w:sz w:val="20"/>
          <w:szCs w:val="20"/>
        </w:rPr>
        <w:t xml:space="preserve">hinne. Taotluse koondhinne ja valikukriteeriumite hinded arvutatakse täpsusega kaks (2) kohta peale koma. </w:t>
      </w:r>
    </w:p>
    <w:p w14:paraId="47F675AF" w14:textId="77777777" w:rsidR="00D54AC3" w:rsidRPr="002E777D" w:rsidRDefault="00D61808" w:rsidP="002E777D">
      <w:pPr>
        <w:numPr>
          <w:ilvl w:val="1"/>
          <w:numId w:val="1"/>
        </w:numPr>
        <w:ind w:right="-7" w:hanging="566"/>
        <w:rPr>
          <w:rFonts w:ascii="Verdana" w:hAnsi="Verdana"/>
          <w:sz w:val="20"/>
          <w:szCs w:val="20"/>
        </w:rPr>
      </w:pPr>
      <w:r w:rsidRPr="002E777D">
        <w:rPr>
          <w:rFonts w:ascii="Verdana" w:hAnsi="Verdana"/>
          <w:sz w:val="20"/>
          <w:szCs w:val="20"/>
        </w:rPr>
        <w:t xml:space="preserve">Taotluse hindamisel võetakse arvesse nii taotluses sisalduv kui taotlejalt täiendavalt saadud informatsioon. Taotluste hindamisel hinnatakse ka taotluses esitatud informatsiooni (sh esitatud prognooside) realistlikkust, asjakohasust ning põhjendatust. </w:t>
      </w:r>
    </w:p>
    <w:p w14:paraId="550D8726" w14:textId="5C9436D5" w:rsidR="00D54AC3" w:rsidRPr="002E777D" w:rsidRDefault="000E15AE" w:rsidP="002E777D">
      <w:pPr>
        <w:numPr>
          <w:ilvl w:val="1"/>
          <w:numId w:val="1"/>
        </w:numPr>
        <w:ind w:right="-7" w:hanging="566"/>
        <w:rPr>
          <w:rFonts w:ascii="Verdana" w:hAnsi="Verdana"/>
          <w:sz w:val="20"/>
          <w:szCs w:val="20"/>
        </w:rPr>
      </w:pPr>
      <w:r w:rsidRPr="002E777D">
        <w:rPr>
          <w:rFonts w:ascii="Verdana" w:hAnsi="Verdana"/>
          <w:sz w:val="20"/>
          <w:szCs w:val="20"/>
        </w:rPr>
        <w:t>Rakendusüksuse</w:t>
      </w:r>
      <w:r w:rsidR="00D61808" w:rsidRPr="002E777D">
        <w:rPr>
          <w:rFonts w:ascii="Verdana" w:hAnsi="Verdana"/>
          <w:sz w:val="20"/>
          <w:szCs w:val="20"/>
        </w:rPr>
        <w:t xml:space="preserve"> töötaja koostab taotluse hindamisaruande ning edastab selle määratud tähtajaks valikukomisjonile (edaspidi komisjon). Kui hindamisse on kaasatud ekspert, lisatakse eksperthinnang hindamisaruandele. Komisjonil on põhjendatud juhtudel õigus hindamisaruande hindeid muuta, tuues hinnete muutmise põhjendused välja hindamisaruandes ja komisjoni protokollis.  </w:t>
      </w:r>
    </w:p>
    <w:p w14:paraId="0306AF13" w14:textId="77777777" w:rsidR="00D54AC3" w:rsidRPr="002E777D" w:rsidRDefault="00D61808" w:rsidP="002E777D">
      <w:pPr>
        <w:numPr>
          <w:ilvl w:val="1"/>
          <w:numId w:val="1"/>
        </w:numPr>
        <w:ind w:right="-7" w:hanging="566"/>
        <w:rPr>
          <w:rFonts w:ascii="Verdana" w:hAnsi="Verdana"/>
          <w:sz w:val="20"/>
          <w:szCs w:val="20"/>
        </w:rPr>
      </w:pPr>
      <w:r w:rsidRPr="002E777D">
        <w:rPr>
          <w:rFonts w:ascii="Verdana" w:hAnsi="Verdana"/>
          <w:sz w:val="20"/>
          <w:szCs w:val="20"/>
        </w:rPr>
        <w:t xml:space="preserve">Komisjoni ettepanekul võib koosolekule oma projekti tutvustamiseks kutsuda ka taotleja esindaja. </w:t>
      </w:r>
    </w:p>
    <w:p w14:paraId="32771F74" w14:textId="77777777" w:rsidR="00D54AC3" w:rsidRPr="002E777D" w:rsidRDefault="00D61808" w:rsidP="002E777D">
      <w:pPr>
        <w:numPr>
          <w:ilvl w:val="1"/>
          <w:numId w:val="1"/>
        </w:numPr>
        <w:ind w:right="-7" w:hanging="566"/>
        <w:rPr>
          <w:rFonts w:ascii="Verdana" w:hAnsi="Verdana"/>
          <w:sz w:val="20"/>
          <w:szCs w:val="20"/>
        </w:rPr>
      </w:pPr>
      <w:r w:rsidRPr="002E777D">
        <w:rPr>
          <w:rFonts w:ascii="Verdana" w:hAnsi="Verdana"/>
          <w:sz w:val="20"/>
          <w:szCs w:val="20"/>
        </w:rPr>
        <w:t xml:space="preserve">Komisjon teeb ettepaneku taotluse rahuldamiseks, osaliseks rahuldamiseks, </w:t>
      </w:r>
      <w:proofErr w:type="spellStart"/>
      <w:r w:rsidRPr="002E777D">
        <w:rPr>
          <w:rFonts w:ascii="Verdana" w:hAnsi="Verdana"/>
          <w:sz w:val="20"/>
          <w:szCs w:val="20"/>
        </w:rPr>
        <w:t>kõrvaltingimusega</w:t>
      </w:r>
      <w:proofErr w:type="spellEnd"/>
      <w:r w:rsidRPr="002E777D">
        <w:rPr>
          <w:rFonts w:ascii="Verdana" w:hAnsi="Verdana"/>
          <w:sz w:val="20"/>
          <w:szCs w:val="20"/>
        </w:rPr>
        <w:t xml:space="preserve"> rahuldamiseks või rahuldamata jätmiseks. Kui komisjon teeb ettepaneku taotluse osaliseks või </w:t>
      </w:r>
      <w:proofErr w:type="spellStart"/>
      <w:r w:rsidRPr="002E777D">
        <w:rPr>
          <w:rFonts w:ascii="Verdana" w:hAnsi="Verdana"/>
          <w:sz w:val="20"/>
          <w:szCs w:val="20"/>
        </w:rPr>
        <w:t>kõrvaltingimusega</w:t>
      </w:r>
      <w:proofErr w:type="spellEnd"/>
      <w:r w:rsidRPr="002E777D">
        <w:rPr>
          <w:rFonts w:ascii="Verdana" w:hAnsi="Verdana"/>
          <w:sz w:val="20"/>
          <w:szCs w:val="20"/>
        </w:rPr>
        <w:t xml:space="preserve"> rahuldamiseks, tuleb komisjoni protokolli märkida vastavad põhjendused. Taotluse rahuldamata jätmise ettepanekuga esitatakse rahuldamata jätmise põhjendused iga valikukriteeriumi lõikes. </w:t>
      </w:r>
    </w:p>
    <w:p w14:paraId="1EFE7DC9" w14:textId="2196A65B" w:rsidR="00D54AC3" w:rsidRPr="002E777D" w:rsidRDefault="00D61808" w:rsidP="002E777D">
      <w:pPr>
        <w:numPr>
          <w:ilvl w:val="1"/>
          <w:numId w:val="1"/>
        </w:numPr>
        <w:ind w:right="-7" w:hanging="566"/>
        <w:rPr>
          <w:rFonts w:ascii="Verdana" w:hAnsi="Verdana"/>
          <w:sz w:val="20"/>
          <w:szCs w:val="20"/>
        </w:rPr>
      </w:pPr>
      <w:r w:rsidRPr="002E777D">
        <w:rPr>
          <w:rFonts w:ascii="Verdana" w:hAnsi="Verdana"/>
          <w:sz w:val="20"/>
          <w:szCs w:val="20"/>
        </w:rPr>
        <w:t xml:space="preserve">Taotluse rahuldamise, osalise rahuldamise, </w:t>
      </w:r>
      <w:proofErr w:type="spellStart"/>
      <w:r w:rsidRPr="002E777D">
        <w:rPr>
          <w:rFonts w:ascii="Verdana" w:hAnsi="Verdana"/>
          <w:sz w:val="20"/>
          <w:szCs w:val="20"/>
        </w:rPr>
        <w:t>kõrvaltingimusega</w:t>
      </w:r>
      <w:proofErr w:type="spellEnd"/>
      <w:r w:rsidRPr="002E777D">
        <w:rPr>
          <w:rFonts w:ascii="Verdana" w:hAnsi="Verdana"/>
          <w:sz w:val="20"/>
          <w:szCs w:val="20"/>
        </w:rPr>
        <w:t xml:space="preserve"> rahuldamise või mitterahuldamise otsuse teeb komisjoni ettepaneku alusel </w:t>
      </w:r>
      <w:r w:rsidR="000E15AE" w:rsidRPr="002E777D">
        <w:rPr>
          <w:rFonts w:ascii="Verdana" w:hAnsi="Verdana"/>
          <w:sz w:val="20"/>
          <w:szCs w:val="20"/>
        </w:rPr>
        <w:t>rakendusüksus</w:t>
      </w:r>
      <w:r w:rsidRPr="002E777D">
        <w:rPr>
          <w:rFonts w:ascii="Verdana" w:hAnsi="Verdana"/>
          <w:sz w:val="20"/>
          <w:szCs w:val="20"/>
        </w:rPr>
        <w:t xml:space="preserve">. </w:t>
      </w:r>
    </w:p>
    <w:p w14:paraId="242C4DEE" w14:textId="288DB2F6" w:rsidR="00D54AC3" w:rsidRPr="002E777D" w:rsidRDefault="00D61808" w:rsidP="002E777D">
      <w:pPr>
        <w:numPr>
          <w:ilvl w:val="1"/>
          <w:numId w:val="1"/>
        </w:numPr>
        <w:ind w:right="-7" w:hanging="566"/>
        <w:rPr>
          <w:rFonts w:ascii="Verdana" w:hAnsi="Verdana"/>
          <w:color w:val="auto"/>
          <w:sz w:val="20"/>
          <w:szCs w:val="20"/>
        </w:rPr>
      </w:pPr>
      <w:r w:rsidRPr="002E777D">
        <w:rPr>
          <w:rFonts w:ascii="Verdana" w:hAnsi="Verdana"/>
          <w:sz w:val="20"/>
          <w:szCs w:val="20"/>
        </w:rPr>
        <w:t xml:space="preserve">Rahuldamisele kuuluvad nõuetele vastavaks tunnistatud taotlused, mis on saanud </w:t>
      </w:r>
      <w:r w:rsidRPr="002E777D">
        <w:rPr>
          <w:rFonts w:ascii="Verdana" w:hAnsi="Verdana"/>
          <w:color w:val="auto"/>
          <w:sz w:val="20"/>
          <w:szCs w:val="20"/>
        </w:rPr>
        <w:t>koondhindeks vähemalt 2,50 ja ühtegi punktis 2 toodud valikukriteeriumitest 1</w:t>
      </w:r>
      <w:r w:rsidR="00787310" w:rsidRPr="002E777D">
        <w:rPr>
          <w:rFonts w:ascii="Verdana" w:hAnsi="Verdana"/>
          <w:color w:val="auto"/>
          <w:sz w:val="20"/>
          <w:szCs w:val="20"/>
        </w:rPr>
        <w:t>-</w:t>
      </w:r>
      <w:r w:rsidR="00527B40" w:rsidRPr="002E777D">
        <w:rPr>
          <w:rFonts w:ascii="Verdana" w:hAnsi="Verdana"/>
          <w:color w:val="auto"/>
          <w:sz w:val="20"/>
          <w:szCs w:val="20"/>
        </w:rPr>
        <w:t>4</w:t>
      </w:r>
      <w:r w:rsidRPr="002E777D">
        <w:rPr>
          <w:rFonts w:ascii="Verdana" w:hAnsi="Verdana"/>
          <w:color w:val="auto"/>
          <w:sz w:val="20"/>
          <w:szCs w:val="20"/>
        </w:rPr>
        <w:t xml:space="preserve"> ei ole hinnatud hindega alla 2,00. </w:t>
      </w:r>
    </w:p>
    <w:p w14:paraId="52B668FE" w14:textId="54851C00" w:rsidR="00D54AC3" w:rsidRPr="002E777D" w:rsidRDefault="00D61808" w:rsidP="002E777D">
      <w:pPr>
        <w:numPr>
          <w:ilvl w:val="1"/>
          <w:numId w:val="1"/>
        </w:numPr>
        <w:ind w:right="-7" w:hanging="566"/>
        <w:rPr>
          <w:rFonts w:ascii="Verdana" w:hAnsi="Verdana"/>
          <w:color w:val="auto"/>
          <w:sz w:val="20"/>
          <w:szCs w:val="20"/>
        </w:rPr>
      </w:pPr>
      <w:r w:rsidRPr="002E777D">
        <w:rPr>
          <w:rFonts w:ascii="Verdana" w:hAnsi="Verdana"/>
          <w:sz w:val="20"/>
          <w:szCs w:val="20"/>
        </w:rPr>
        <w:t xml:space="preserve">Taotlus ei kuulu rahuldamisele juhul, kui selle hindamisel antud koondhinne jääb alla 2,50 </w:t>
      </w:r>
      <w:r w:rsidRPr="002E777D">
        <w:rPr>
          <w:rFonts w:ascii="Verdana" w:hAnsi="Verdana"/>
          <w:color w:val="auto"/>
          <w:sz w:val="20"/>
          <w:szCs w:val="20"/>
        </w:rPr>
        <w:t>või kui vähemalt üks punktis 2 toodud valikukriteerium 1-</w:t>
      </w:r>
      <w:r w:rsidR="00E40AEB" w:rsidRPr="002E777D">
        <w:rPr>
          <w:rFonts w:ascii="Verdana" w:hAnsi="Verdana"/>
          <w:color w:val="auto"/>
          <w:sz w:val="20"/>
          <w:szCs w:val="20"/>
        </w:rPr>
        <w:t>4</w:t>
      </w:r>
      <w:r w:rsidRPr="002E777D">
        <w:rPr>
          <w:rFonts w:ascii="Verdana" w:hAnsi="Verdana"/>
          <w:color w:val="auto"/>
          <w:sz w:val="20"/>
          <w:szCs w:val="20"/>
        </w:rPr>
        <w:t xml:space="preserve"> hinnatakse hindega alla 2,00. </w:t>
      </w:r>
    </w:p>
    <w:p w14:paraId="3AE6C7B1" w14:textId="00F83D60" w:rsidR="00D54AC3" w:rsidRPr="002E777D" w:rsidRDefault="00D54AC3" w:rsidP="002E777D">
      <w:pPr>
        <w:spacing w:after="0" w:line="259" w:lineRule="auto"/>
        <w:ind w:left="0" w:firstLine="0"/>
        <w:jc w:val="left"/>
        <w:rPr>
          <w:rFonts w:ascii="Verdana" w:hAnsi="Verdana"/>
          <w:sz w:val="20"/>
          <w:szCs w:val="20"/>
        </w:rPr>
      </w:pPr>
    </w:p>
    <w:p w14:paraId="4287AEF6" w14:textId="708D8A1C" w:rsidR="00D54AC3" w:rsidRPr="002E777D" w:rsidRDefault="00D54AC3" w:rsidP="002E777D">
      <w:pPr>
        <w:spacing w:after="0" w:line="259" w:lineRule="auto"/>
        <w:ind w:left="0" w:firstLine="0"/>
        <w:jc w:val="left"/>
        <w:rPr>
          <w:rFonts w:ascii="Verdana" w:hAnsi="Verdana"/>
          <w:sz w:val="20"/>
          <w:szCs w:val="20"/>
        </w:rPr>
      </w:pPr>
    </w:p>
    <w:p w14:paraId="6A4FEF27" w14:textId="4E574040" w:rsidR="00D54AC3" w:rsidRPr="002E777D" w:rsidRDefault="00D54AC3" w:rsidP="002E777D">
      <w:pPr>
        <w:spacing w:after="0"/>
        <w:ind w:left="0" w:firstLine="0"/>
        <w:jc w:val="left"/>
        <w:rPr>
          <w:rFonts w:ascii="Verdana" w:hAnsi="Verdana"/>
          <w:sz w:val="20"/>
          <w:szCs w:val="20"/>
        </w:rPr>
      </w:pPr>
    </w:p>
    <w:p w14:paraId="17969891" w14:textId="0625FDFB" w:rsidR="002C750A" w:rsidRPr="002E777D" w:rsidRDefault="002C750A" w:rsidP="002E777D">
      <w:pPr>
        <w:spacing w:after="160" w:line="259" w:lineRule="auto"/>
        <w:ind w:left="0" w:firstLine="0"/>
        <w:jc w:val="left"/>
        <w:rPr>
          <w:rFonts w:ascii="Verdana" w:hAnsi="Verdana"/>
          <w:sz w:val="20"/>
          <w:szCs w:val="20"/>
        </w:rPr>
      </w:pPr>
      <w:r w:rsidRPr="002E777D">
        <w:rPr>
          <w:rFonts w:ascii="Verdana" w:hAnsi="Verdana"/>
          <w:sz w:val="20"/>
          <w:szCs w:val="20"/>
        </w:rPr>
        <w:br w:type="page"/>
      </w:r>
    </w:p>
    <w:p w14:paraId="0767ADA6" w14:textId="2E28A0BA" w:rsidR="00D54AC3" w:rsidRPr="002E777D" w:rsidRDefault="00D61808" w:rsidP="002E777D">
      <w:pPr>
        <w:numPr>
          <w:ilvl w:val="0"/>
          <w:numId w:val="1"/>
        </w:numPr>
        <w:spacing w:after="0" w:line="259" w:lineRule="auto"/>
        <w:ind w:hanging="240"/>
        <w:jc w:val="left"/>
        <w:rPr>
          <w:rFonts w:ascii="Verdana" w:hAnsi="Verdana"/>
          <w:sz w:val="20"/>
          <w:szCs w:val="20"/>
        </w:rPr>
      </w:pPr>
      <w:r w:rsidRPr="002E777D">
        <w:rPr>
          <w:rFonts w:ascii="Verdana" w:hAnsi="Verdana"/>
          <w:b/>
          <w:sz w:val="20"/>
          <w:szCs w:val="20"/>
        </w:rPr>
        <w:lastRenderedPageBreak/>
        <w:t xml:space="preserve">Taotluse </w:t>
      </w:r>
      <w:r w:rsidR="000E15AE" w:rsidRPr="002E777D">
        <w:rPr>
          <w:rFonts w:ascii="Verdana" w:hAnsi="Verdana"/>
          <w:b/>
          <w:sz w:val="20"/>
          <w:szCs w:val="20"/>
        </w:rPr>
        <w:t>hindamiskriteeriumid</w:t>
      </w:r>
      <w:r w:rsidRPr="002E777D">
        <w:rPr>
          <w:rFonts w:ascii="Verdana" w:hAnsi="Verdana"/>
          <w:b/>
          <w:sz w:val="20"/>
          <w:szCs w:val="20"/>
        </w:rPr>
        <w:t xml:space="preserve"> ja nende osakaalud, hinnete kirjeldused  </w:t>
      </w:r>
    </w:p>
    <w:p w14:paraId="2F7D6AE9" w14:textId="738DBEB0" w:rsidR="00D54AC3" w:rsidRPr="002E777D" w:rsidRDefault="00D54AC3" w:rsidP="002E777D">
      <w:pPr>
        <w:spacing w:after="0" w:line="259" w:lineRule="auto"/>
        <w:ind w:left="0" w:firstLine="0"/>
        <w:jc w:val="left"/>
        <w:rPr>
          <w:rFonts w:ascii="Verdana" w:hAnsi="Verdana"/>
          <w:sz w:val="20"/>
          <w:szCs w:val="20"/>
        </w:rPr>
      </w:pPr>
    </w:p>
    <w:tbl>
      <w:tblPr>
        <w:tblStyle w:val="TableGrid"/>
        <w:tblW w:w="9629" w:type="dxa"/>
        <w:tblInd w:w="5" w:type="dxa"/>
        <w:tblCellMar>
          <w:top w:w="12" w:type="dxa"/>
          <w:left w:w="70" w:type="dxa"/>
          <w:right w:w="16" w:type="dxa"/>
        </w:tblCellMar>
        <w:tblLook w:val="04A0" w:firstRow="1" w:lastRow="0" w:firstColumn="1" w:lastColumn="0" w:noHBand="0" w:noVBand="1"/>
      </w:tblPr>
      <w:tblGrid>
        <w:gridCol w:w="561"/>
        <w:gridCol w:w="8360"/>
        <w:gridCol w:w="708"/>
      </w:tblGrid>
      <w:tr w:rsidR="00D54AC3" w:rsidRPr="002E777D" w14:paraId="165001A7" w14:textId="77777777" w:rsidTr="00242FB7">
        <w:trPr>
          <w:trHeight w:val="657"/>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97B298F" w14:textId="433DF4AC" w:rsidR="00D54AC3" w:rsidRPr="002E777D" w:rsidRDefault="00D61808" w:rsidP="002E777D">
            <w:pPr>
              <w:spacing w:after="0" w:line="259" w:lineRule="auto"/>
              <w:ind w:left="0" w:right="55" w:firstLine="0"/>
              <w:jc w:val="center"/>
              <w:rPr>
                <w:rFonts w:ascii="Verdana" w:hAnsi="Verdana"/>
                <w:sz w:val="20"/>
                <w:szCs w:val="20"/>
              </w:rPr>
            </w:pPr>
            <w:r w:rsidRPr="002E777D">
              <w:rPr>
                <w:rFonts w:ascii="Verdana" w:hAnsi="Verdana"/>
                <w:b/>
                <w:sz w:val="20"/>
                <w:szCs w:val="20"/>
              </w:rPr>
              <w:t>1</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00C66F" w14:textId="6F0081FB" w:rsidR="00D54AC3" w:rsidRPr="002E777D" w:rsidRDefault="00701B93" w:rsidP="002E777D">
            <w:pPr>
              <w:ind w:left="0" w:firstLine="0"/>
              <w:outlineLvl w:val="2"/>
              <w:rPr>
                <w:rFonts w:ascii="Verdana" w:hAnsi="Verdana"/>
                <w:b/>
                <w:bCs/>
                <w:sz w:val="20"/>
                <w:szCs w:val="20"/>
              </w:rPr>
            </w:pPr>
            <w:r w:rsidRPr="002E777D">
              <w:rPr>
                <w:rFonts w:ascii="Verdana" w:hAnsi="Verdana"/>
                <w:b/>
                <w:bCs/>
                <w:sz w:val="20"/>
                <w:szCs w:val="20"/>
              </w:rPr>
              <w:t>Projekti kooskõla valdkondlike arengukavadega, mõju rakenduskava erieesmärgi ja meetme eesmärkide saavutamisele.</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3C98DC0" w14:textId="25FAC6D5" w:rsidR="00D54AC3" w:rsidRPr="002E777D" w:rsidRDefault="00A269C0" w:rsidP="002E777D">
            <w:pPr>
              <w:spacing w:after="0" w:line="259" w:lineRule="auto"/>
              <w:ind w:left="45" w:firstLine="0"/>
              <w:rPr>
                <w:rFonts w:ascii="Verdana" w:hAnsi="Verdana"/>
                <w:sz w:val="20"/>
                <w:szCs w:val="20"/>
              </w:rPr>
            </w:pPr>
            <w:r w:rsidRPr="002E777D">
              <w:rPr>
                <w:rFonts w:ascii="Verdana" w:hAnsi="Verdana"/>
                <w:b/>
                <w:sz w:val="20"/>
                <w:szCs w:val="20"/>
              </w:rPr>
              <w:t>4</w:t>
            </w:r>
            <w:r w:rsidR="00D61808" w:rsidRPr="002E777D">
              <w:rPr>
                <w:rFonts w:ascii="Verdana" w:hAnsi="Verdana"/>
                <w:b/>
                <w:sz w:val="20"/>
                <w:szCs w:val="20"/>
              </w:rPr>
              <w:t xml:space="preserve">0% </w:t>
            </w:r>
          </w:p>
        </w:tc>
      </w:tr>
      <w:tr w:rsidR="00D54AC3" w:rsidRPr="002E777D" w14:paraId="3D09878E" w14:textId="77777777" w:rsidTr="000147D2">
        <w:trPr>
          <w:trHeight w:val="284"/>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C23BC" w14:textId="555544D1" w:rsidR="00D54AC3" w:rsidRPr="002E777D" w:rsidRDefault="00D61808" w:rsidP="002E777D">
            <w:pPr>
              <w:spacing w:after="0" w:line="259" w:lineRule="auto"/>
              <w:ind w:left="0" w:right="55" w:firstLine="0"/>
              <w:jc w:val="center"/>
              <w:rPr>
                <w:rFonts w:ascii="Verdana" w:hAnsi="Verdana"/>
                <w:sz w:val="20"/>
                <w:szCs w:val="20"/>
              </w:rPr>
            </w:pPr>
            <w:r w:rsidRPr="002E777D">
              <w:rPr>
                <w:rFonts w:ascii="Verdana" w:hAnsi="Verdana"/>
                <w:sz w:val="20"/>
                <w:szCs w:val="20"/>
              </w:rPr>
              <w:t>4</w:t>
            </w:r>
          </w:p>
        </w:tc>
        <w:tc>
          <w:tcPr>
            <w:tcW w:w="90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3A262" w14:textId="249829A0" w:rsidR="00D54AC3" w:rsidRPr="002E777D" w:rsidRDefault="00A269C0" w:rsidP="002E777D">
            <w:pPr>
              <w:spacing w:after="0" w:line="259" w:lineRule="auto"/>
              <w:ind w:left="0" w:right="54" w:firstLine="0"/>
              <w:rPr>
                <w:rFonts w:ascii="Verdana" w:hAnsi="Verdana"/>
                <w:sz w:val="20"/>
                <w:szCs w:val="20"/>
              </w:rPr>
            </w:pPr>
            <w:r w:rsidRPr="002E777D">
              <w:rPr>
                <w:rFonts w:ascii="Verdana" w:hAnsi="Verdana"/>
                <w:sz w:val="20"/>
                <w:szCs w:val="20"/>
              </w:rPr>
              <w:t>Projekti elluviimine toetab Ida-Viru maakonna majanduse mitmekesistumist ja läbi tootmisvõimsuse kasvu ettevõtja konkurentsivõimet, kõrgemat lisandväärtust ning olemasolevaid töökohti säilitavate või uusi töökohti loovate investeeringute kaudu. Projektis toodud eesmärgid on vastavuses toetuse andmise eesmärkidega ning nende täitmine on vastavalt esitatud plaanidele reaalne.</w:t>
            </w:r>
            <w:r w:rsidR="00015BF6" w:rsidRPr="002E777D">
              <w:rPr>
                <w:rFonts w:ascii="Verdana" w:hAnsi="Verdana"/>
                <w:sz w:val="20"/>
                <w:szCs w:val="20"/>
              </w:rPr>
              <w:t xml:space="preserve"> </w:t>
            </w:r>
            <w:r w:rsidRPr="002E777D">
              <w:rPr>
                <w:rFonts w:ascii="Verdana" w:hAnsi="Verdana"/>
                <w:sz w:val="20"/>
                <w:szCs w:val="20"/>
              </w:rPr>
              <w:t>Projekti elluviimine on kooskõlas taotleja strateegiliste eesmärkidega ja avaldab olulist mõju taotleja majandustulemustele.</w:t>
            </w:r>
            <w:r w:rsidR="78BDF8B5" w:rsidRPr="002E777D">
              <w:rPr>
                <w:rFonts w:ascii="Verdana" w:hAnsi="Verdana"/>
                <w:sz w:val="20"/>
                <w:szCs w:val="20"/>
              </w:rPr>
              <w:t xml:space="preserve"> Projekt panustab TAIE strateegia fookusvaldkondadesse ja planeeritakse teisese toorme kasutamist.</w:t>
            </w:r>
          </w:p>
        </w:tc>
      </w:tr>
      <w:tr w:rsidR="00D54AC3" w:rsidRPr="002E777D" w14:paraId="54DE768A" w14:textId="77777777" w:rsidTr="000147D2">
        <w:trPr>
          <w:trHeight w:val="284"/>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23964" w14:textId="2AF35D76" w:rsidR="00D54AC3" w:rsidRPr="002E777D" w:rsidRDefault="00D61808" w:rsidP="002E777D">
            <w:pPr>
              <w:spacing w:after="0" w:line="259" w:lineRule="auto"/>
              <w:ind w:left="0" w:right="55" w:firstLine="0"/>
              <w:jc w:val="center"/>
              <w:rPr>
                <w:rFonts w:ascii="Verdana" w:hAnsi="Verdana"/>
                <w:sz w:val="20"/>
                <w:szCs w:val="20"/>
              </w:rPr>
            </w:pPr>
            <w:r w:rsidRPr="002E777D">
              <w:rPr>
                <w:rFonts w:ascii="Verdana" w:hAnsi="Verdana"/>
                <w:sz w:val="20"/>
                <w:szCs w:val="20"/>
              </w:rPr>
              <w:t>3</w:t>
            </w:r>
          </w:p>
        </w:tc>
        <w:tc>
          <w:tcPr>
            <w:tcW w:w="90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06CE6" w14:textId="77777777" w:rsidR="00D54AC3" w:rsidRPr="002E777D" w:rsidRDefault="00D61808" w:rsidP="002E777D">
            <w:pPr>
              <w:spacing w:after="0" w:line="259" w:lineRule="auto"/>
              <w:ind w:left="0" w:firstLine="0"/>
              <w:jc w:val="left"/>
              <w:rPr>
                <w:rFonts w:ascii="Verdana" w:hAnsi="Verdana"/>
                <w:sz w:val="20"/>
                <w:szCs w:val="20"/>
              </w:rPr>
            </w:pPr>
            <w:r w:rsidRPr="002E777D">
              <w:rPr>
                <w:rFonts w:ascii="Verdana" w:hAnsi="Verdana"/>
                <w:sz w:val="20"/>
                <w:szCs w:val="20"/>
              </w:rPr>
              <w:t xml:space="preserve">Vahepealne hinnang </w:t>
            </w:r>
          </w:p>
        </w:tc>
      </w:tr>
      <w:tr w:rsidR="00D54AC3" w:rsidRPr="002E777D" w14:paraId="355058BB" w14:textId="77777777" w:rsidTr="000147D2">
        <w:trPr>
          <w:trHeight w:val="284"/>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674CE" w14:textId="4BA8EF5B" w:rsidR="00D54AC3" w:rsidRPr="002E777D" w:rsidRDefault="00D61808" w:rsidP="002E777D">
            <w:pPr>
              <w:spacing w:after="0" w:line="259" w:lineRule="auto"/>
              <w:ind w:left="0" w:right="55" w:firstLine="0"/>
              <w:jc w:val="center"/>
              <w:rPr>
                <w:rFonts w:ascii="Verdana" w:hAnsi="Verdana"/>
                <w:sz w:val="20"/>
                <w:szCs w:val="20"/>
              </w:rPr>
            </w:pPr>
            <w:r w:rsidRPr="002E777D">
              <w:rPr>
                <w:rFonts w:ascii="Verdana" w:hAnsi="Verdana"/>
                <w:sz w:val="20"/>
                <w:szCs w:val="20"/>
              </w:rPr>
              <w:t>2</w:t>
            </w:r>
          </w:p>
        </w:tc>
        <w:tc>
          <w:tcPr>
            <w:tcW w:w="90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BF985" w14:textId="4D5BFF7C" w:rsidR="00D54AC3" w:rsidRPr="002E777D" w:rsidRDefault="00A269C0" w:rsidP="002E777D">
            <w:pPr>
              <w:spacing w:after="0" w:line="259" w:lineRule="auto"/>
              <w:ind w:left="0" w:right="55" w:firstLine="0"/>
              <w:rPr>
                <w:rFonts w:ascii="Verdana" w:hAnsi="Verdana"/>
                <w:sz w:val="20"/>
                <w:szCs w:val="20"/>
              </w:rPr>
            </w:pPr>
            <w:r w:rsidRPr="002E777D">
              <w:rPr>
                <w:rFonts w:ascii="Verdana" w:hAnsi="Verdana"/>
                <w:sz w:val="20"/>
                <w:szCs w:val="20"/>
              </w:rPr>
              <w:t>Projekti elluviimine toetab vähesel määral Ida-Viru maakonna majanduse mitmekesistumist ja läbi tootmisvõimsuse kasvu ettevõtja konkurentsivõimet, kõrgemat lisandväärtust ning olemasolevaid töökohti säilitavate või uusi töökohti loovate investeeringute kaudu. Projektis toodud eesmärgid on enamjaolt vastavuses toetuse andmise eesmärkidega ning nende täitmine vastavalt esitatud plaanidele on tõenäoline.</w:t>
            </w:r>
            <w:r w:rsidR="00015BF6" w:rsidRPr="002E777D">
              <w:rPr>
                <w:rFonts w:ascii="Verdana" w:hAnsi="Verdana"/>
                <w:color w:val="FF0000"/>
                <w:sz w:val="20"/>
                <w:szCs w:val="20"/>
              </w:rPr>
              <w:t xml:space="preserve"> </w:t>
            </w:r>
            <w:r w:rsidRPr="002E777D">
              <w:rPr>
                <w:rFonts w:ascii="Verdana" w:hAnsi="Verdana"/>
                <w:color w:val="auto"/>
                <w:sz w:val="20"/>
                <w:szCs w:val="20"/>
              </w:rPr>
              <w:t xml:space="preserve">Projekti elluviimine on ühtib </w:t>
            </w:r>
            <w:r w:rsidRPr="002E777D">
              <w:rPr>
                <w:rFonts w:ascii="Verdana" w:hAnsi="Verdana"/>
                <w:sz w:val="20"/>
                <w:szCs w:val="20"/>
              </w:rPr>
              <w:t>osaliselt taotleja strateegiliste eesmärkidega ja avaldab marginaalselt mõju taotleja majandustulemustele.</w:t>
            </w:r>
            <w:r w:rsidR="52504688" w:rsidRPr="002E777D">
              <w:rPr>
                <w:rFonts w:ascii="Verdana" w:hAnsi="Verdana"/>
                <w:sz w:val="20"/>
                <w:szCs w:val="20"/>
              </w:rPr>
              <w:t xml:space="preserve"> Projekt panustab TAIE strateegia fookusvaldkondadesse või planeeritakse teisese toorme kasutamist.</w:t>
            </w:r>
          </w:p>
        </w:tc>
      </w:tr>
      <w:tr w:rsidR="00D54AC3" w:rsidRPr="002E777D" w14:paraId="1630F801" w14:textId="77777777" w:rsidTr="000147D2">
        <w:trPr>
          <w:trHeight w:val="284"/>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8C99C" w14:textId="4E7A7A0C" w:rsidR="00D54AC3" w:rsidRPr="002E777D" w:rsidRDefault="00D61808" w:rsidP="002E777D">
            <w:pPr>
              <w:spacing w:after="0" w:line="259" w:lineRule="auto"/>
              <w:ind w:left="0" w:right="55" w:firstLine="0"/>
              <w:jc w:val="center"/>
              <w:rPr>
                <w:rFonts w:ascii="Verdana" w:hAnsi="Verdana"/>
                <w:sz w:val="20"/>
                <w:szCs w:val="20"/>
              </w:rPr>
            </w:pPr>
            <w:r w:rsidRPr="002E777D">
              <w:rPr>
                <w:rFonts w:ascii="Verdana" w:hAnsi="Verdana"/>
                <w:sz w:val="20"/>
                <w:szCs w:val="20"/>
              </w:rPr>
              <w:t>1</w:t>
            </w:r>
          </w:p>
        </w:tc>
        <w:tc>
          <w:tcPr>
            <w:tcW w:w="90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B510B" w14:textId="77777777" w:rsidR="00D54AC3" w:rsidRPr="002E777D" w:rsidRDefault="00D61808" w:rsidP="002E777D">
            <w:pPr>
              <w:spacing w:after="0" w:line="259" w:lineRule="auto"/>
              <w:ind w:left="0" w:firstLine="0"/>
              <w:jc w:val="left"/>
              <w:rPr>
                <w:rFonts w:ascii="Verdana" w:hAnsi="Verdana"/>
                <w:sz w:val="20"/>
                <w:szCs w:val="20"/>
              </w:rPr>
            </w:pPr>
            <w:r w:rsidRPr="002E777D">
              <w:rPr>
                <w:rFonts w:ascii="Verdana" w:hAnsi="Verdana"/>
                <w:sz w:val="20"/>
                <w:szCs w:val="20"/>
              </w:rPr>
              <w:t xml:space="preserve">Vahepealne hinnang </w:t>
            </w:r>
          </w:p>
        </w:tc>
      </w:tr>
      <w:tr w:rsidR="00D54AC3" w:rsidRPr="002E777D" w14:paraId="25F5BA25" w14:textId="77777777" w:rsidTr="000147D2">
        <w:trPr>
          <w:trHeight w:val="284"/>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6EC24" w14:textId="7929AA62" w:rsidR="00D54AC3" w:rsidRPr="002E777D" w:rsidRDefault="00D61808" w:rsidP="002E777D">
            <w:pPr>
              <w:spacing w:after="0" w:line="259" w:lineRule="auto"/>
              <w:ind w:left="0" w:right="55" w:firstLine="0"/>
              <w:jc w:val="center"/>
              <w:rPr>
                <w:rFonts w:ascii="Verdana" w:hAnsi="Verdana"/>
                <w:sz w:val="20"/>
                <w:szCs w:val="20"/>
              </w:rPr>
            </w:pPr>
            <w:r w:rsidRPr="002E777D">
              <w:rPr>
                <w:rFonts w:ascii="Verdana" w:hAnsi="Verdana"/>
                <w:sz w:val="20"/>
                <w:szCs w:val="20"/>
              </w:rPr>
              <w:t>0</w:t>
            </w:r>
          </w:p>
        </w:tc>
        <w:tc>
          <w:tcPr>
            <w:tcW w:w="90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E209A" w14:textId="5336267D" w:rsidR="00D54AC3" w:rsidRPr="002E777D" w:rsidRDefault="00A269C0" w:rsidP="002E777D">
            <w:pPr>
              <w:spacing w:after="0" w:line="259" w:lineRule="auto"/>
              <w:ind w:left="0" w:right="54" w:firstLine="0"/>
              <w:rPr>
                <w:rFonts w:ascii="Verdana" w:hAnsi="Verdana"/>
                <w:sz w:val="20"/>
                <w:szCs w:val="20"/>
              </w:rPr>
            </w:pPr>
            <w:r w:rsidRPr="002E777D">
              <w:rPr>
                <w:rFonts w:ascii="Verdana" w:hAnsi="Verdana"/>
                <w:sz w:val="20"/>
                <w:szCs w:val="20"/>
              </w:rPr>
              <w:t>Projekti elluviimine ei toeta Ida-Viru maakonna majanduse mitmekesistumist ega ettevõtja konkurentsivõime kasvu. Samuti ei looda projektiga ettevõttes kõrgemat lisandväärtust ning puudub mõju töökohtadele</w:t>
            </w:r>
            <w:r w:rsidR="00015BF6" w:rsidRPr="002E777D">
              <w:rPr>
                <w:rFonts w:ascii="Verdana" w:hAnsi="Verdana"/>
                <w:sz w:val="20"/>
                <w:szCs w:val="20"/>
              </w:rPr>
              <w:t xml:space="preserve"> loomisele</w:t>
            </w:r>
            <w:r w:rsidRPr="002E777D">
              <w:rPr>
                <w:rFonts w:ascii="Verdana" w:hAnsi="Verdana"/>
                <w:sz w:val="20"/>
                <w:szCs w:val="20"/>
              </w:rPr>
              <w:t>. Projektis toodud eesmärgid ei ole vastavuses toetuse andmise eesmärkidega ning nende täitmine on vastavalt esitatud plaanidele kaheldav. Projekti elluviimine ei avalda olulist mõju taotleja majandustulemustele.</w:t>
            </w:r>
            <w:r w:rsidR="4A187D28" w:rsidRPr="002E777D">
              <w:rPr>
                <w:rFonts w:ascii="Verdana" w:hAnsi="Verdana"/>
                <w:sz w:val="20"/>
                <w:szCs w:val="20"/>
              </w:rPr>
              <w:t xml:space="preserve"> Projekt ei panusta TAIE strateegia fookusvaldkondadesse ja ei planeerita teisese toorme kasutamist.</w:t>
            </w:r>
          </w:p>
        </w:tc>
      </w:tr>
      <w:tr w:rsidR="00D54AC3" w:rsidRPr="002E777D" w14:paraId="21D0CF39" w14:textId="77777777" w:rsidTr="00242FB7">
        <w:tblPrEx>
          <w:tblCellMar>
            <w:right w:w="15" w:type="dxa"/>
          </w:tblCellMar>
        </w:tblPrEx>
        <w:trPr>
          <w:trHeight w:val="333"/>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61D03D6" w14:textId="3A9D92B2" w:rsidR="00D54AC3" w:rsidRPr="002E777D" w:rsidRDefault="00D61808" w:rsidP="002E777D">
            <w:pPr>
              <w:spacing w:after="0" w:line="259" w:lineRule="auto"/>
              <w:ind w:left="0" w:firstLine="0"/>
              <w:jc w:val="center"/>
              <w:rPr>
                <w:rFonts w:ascii="Verdana" w:hAnsi="Verdana"/>
                <w:sz w:val="20"/>
                <w:szCs w:val="20"/>
              </w:rPr>
            </w:pPr>
            <w:r w:rsidRPr="002E777D">
              <w:rPr>
                <w:rFonts w:ascii="Verdana" w:hAnsi="Verdana"/>
                <w:b/>
                <w:sz w:val="20"/>
                <w:szCs w:val="20"/>
              </w:rPr>
              <w:t>2</w:t>
            </w:r>
          </w:p>
        </w:tc>
        <w:tc>
          <w:tcPr>
            <w:tcW w:w="8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B74972" w14:textId="6E129C69" w:rsidR="00D54AC3" w:rsidRPr="002E777D" w:rsidRDefault="00701B93" w:rsidP="002E777D">
            <w:pPr>
              <w:jc w:val="left"/>
              <w:rPr>
                <w:rFonts w:ascii="Verdana" w:hAnsi="Verdana"/>
                <w:b/>
                <w:bCs/>
                <w:sz w:val="20"/>
                <w:szCs w:val="20"/>
              </w:rPr>
            </w:pPr>
            <w:r w:rsidRPr="002E777D">
              <w:rPr>
                <w:rFonts w:ascii="Verdana" w:hAnsi="Verdana"/>
                <w:b/>
                <w:bCs/>
                <w:sz w:val="20"/>
                <w:szCs w:val="20"/>
              </w:rPr>
              <w:t>Projekti põhjendatus ja kuluefektiivsus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896412" w14:textId="12FDF4FE" w:rsidR="00D54AC3" w:rsidRPr="002E777D" w:rsidRDefault="00E23035" w:rsidP="002E777D">
            <w:pPr>
              <w:spacing w:after="0" w:line="259" w:lineRule="auto"/>
              <w:ind w:left="1" w:firstLine="0"/>
              <w:rPr>
                <w:rFonts w:ascii="Verdana" w:hAnsi="Verdana"/>
                <w:sz w:val="20"/>
                <w:szCs w:val="20"/>
              </w:rPr>
            </w:pPr>
            <w:r w:rsidRPr="002E777D">
              <w:rPr>
                <w:rFonts w:ascii="Verdana" w:hAnsi="Verdana"/>
                <w:b/>
                <w:sz w:val="20"/>
                <w:szCs w:val="20"/>
              </w:rPr>
              <w:t>25</w:t>
            </w:r>
            <w:r w:rsidR="00D61808" w:rsidRPr="002E777D">
              <w:rPr>
                <w:rFonts w:ascii="Verdana" w:hAnsi="Verdana"/>
                <w:b/>
                <w:sz w:val="20"/>
                <w:szCs w:val="20"/>
              </w:rPr>
              <w:t xml:space="preserve">% </w:t>
            </w:r>
          </w:p>
        </w:tc>
      </w:tr>
      <w:tr w:rsidR="00D54AC3" w:rsidRPr="002E777D" w14:paraId="2CE1DD64" w14:textId="77777777" w:rsidTr="000147D2">
        <w:tblPrEx>
          <w:tblCellMar>
            <w:right w:w="15" w:type="dxa"/>
          </w:tblCellMar>
        </w:tblPrEx>
        <w:trPr>
          <w:trHeight w:val="284"/>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A7886" w14:textId="35898E6D" w:rsidR="00D54AC3" w:rsidRPr="002E777D" w:rsidRDefault="00D61808" w:rsidP="002E777D">
            <w:pPr>
              <w:spacing w:after="0" w:line="259" w:lineRule="auto"/>
              <w:ind w:left="0" w:right="61" w:firstLine="0"/>
              <w:jc w:val="center"/>
              <w:rPr>
                <w:rFonts w:ascii="Verdana" w:hAnsi="Verdana"/>
                <w:sz w:val="20"/>
                <w:szCs w:val="20"/>
              </w:rPr>
            </w:pPr>
            <w:r w:rsidRPr="002E777D">
              <w:rPr>
                <w:rFonts w:ascii="Verdana" w:hAnsi="Verdana"/>
                <w:sz w:val="20"/>
                <w:szCs w:val="20"/>
              </w:rPr>
              <w:t>4</w:t>
            </w:r>
          </w:p>
        </w:tc>
        <w:tc>
          <w:tcPr>
            <w:tcW w:w="90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CA710" w14:textId="7AEE7BF6" w:rsidR="00D54AC3" w:rsidRPr="002E777D" w:rsidRDefault="00E23035" w:rsidP="002E777D">
            <w:pPr>
              <w:spacing w:after="0" w:line="259" w:lineRule="auto"/>
              <w:ind w:left="0" w:right="55" w:firstLine="0"/>
              <w:rPr>
                <w:rFonts w:ascii="Verdana" w:hAnsi="Verdana"/>
                <w:sz w:val="20"/>
                <w:szCs w:val="20"/>
              </w:rPr>
            </w:pPr>
            <w:r w:rsidRPr="002E777D">
              <w:rPr>
                <w:rFonts w:ascii="Verdana" w:hAnsi="Verdana"/>
                <w:sz w:val="20"/>
                <w:szCs w:val="20"/>
              </w:rPr>
              <w:t>Projekti on selgelt kirjeldatud ning vajadus tegevuste elluviimiseks on põhjalikult kajastatud. Projekt on terviklik ning projekti tulemused on selgelt määratletud. Projekt on jagatud etappideks, mis annab võimaluse projektiplaani vajadusel jooksvalt korrigeerida. Projekti tegevuste omavahelised seosed on loogilises ülesehituses. Projekti ajakava on realistlik ja selles on planeeritud projekti etappidele ajalisi puhvreid. Projekti eelarve on koostatud detailselt ning planeeritavad kulud toetavad selgelt projekti elluviimist. Eelarve aluseks olevad kulud on abikõlblikud ning optimaalsed, vastavad turuhindadele ja on planeeritud kuluefektiivselt.</w:t>
            </w:r>
          </w:p>
        </w:tc>
      </w:tr>
      <w:tr w:rsidR="00D54AC3" w:rsidRPr="002E777D" w14:paraId="29CAD4F9" w14:textId="77777777" w:rsidTr="000147D2">
        <w:tblPrEx>
          <w:tblCellMar>
            <w:right w:w="15" w:type="dxa"/>
          </w:tblCellMar>
        </w:tblPrEx>
        <w:trPr>
          <w:trHeight w:val="284"/>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7113A" w14:textId="3DCB2650" w:rsidR="00D54AC3" w:rsidRPr="002E777D" w:rsidRDefault="00D61808" w:rsidP="002E777D">
            <w:pPr>
              <w:spacing w:after="0" w:line="259" w:lineRule="auto"/>
              <w:ind w:left="0" w:right="61" w:firstLine="0"/>
              <w:jc w:val="center"/>
              <w:rPr>
                <w:rFonts w:ascii="Verdana" w:hAnsi="Verdana"/>
                <w:sz w:val="20"/>
                <w:szCs w:val="20"/>
              </w:rPr>
            </w:pPr>
            <w:r w:rsidRPr="002E777D">
              <w:rPr>
                <w:rFonts w:ascii="Verdana" w:hAnsi="Verdana"/>
                <w:sz w:val="20"/>
                <w:szCs w:val="20"/>
              </w:rPr>
              <w:t>3</w:t>
            </w:r>
          </w:p>
        </w:tc>
        <w:tc>
          <w:tcPr>
            <w:tcW w:w="90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CDE58" w14:textId="77777777" w:rsidR="00D54AC3" w:rsidRPr="002E777D" w:rsidRDefault="00D61808" w:rsidP="002E777D">
            <w:pPr>
              <w:spacing w:after="0" w:line="259" w:lineRule="auto"/>
              <w:ind w:left="0" w:firstLine="0"/>
              <w:jc w:val="left"/>
              <w:rPr>
                <w:rFonts w:ascii="Verdana" w:hAnsi="Verdana"/>
                <w:sz w:val="20"/>
                <w:szCs w:val="20"/>
              </w:rPr>
            </w:pPr>
            <w:r w:rsidRPr="002E777D">
              <w:rPr>
                <w:rFonts w:ascii="Verdana" w:hAnsi="Verdana"/>
                <w:sz w:val="20"/>
                <w:szCs w:val="20"/>
              </w:rPr>
              <w:t xml:space="preserve">Vahepealne hinnang </w:t>
            </w:r>
          </w:p>
        </w:tc>
      </w:tr>
      <w:tr w:rsidR="00D54AC3" w:rsidRPr="002E777D" w14:paraId="6FD7B6EA" w14:textId="77777777" w:rsidTr="000147D2">
        <w:tblPrEx>
          <w:tblCellMar>
            <w:right w:w="15" w:type="dxa"/>
          </w:tblCellMar>
        </w:tblPrEx>
        <w:trPr>
          <w:trHeight w:val="284"/>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929CC" w14:textId="3D31E280" w:rsidR="00D54AC3" w:rsidRPr="002E777D" w:rsidRDefault="00D61808" w:rsidP="002E777D">
            <w:pPr>
              <w:spacing w:after="0" w:line="259" w:lineRule="auto"/>
              <w:ind w:left="0" w:right="61" w:firstLine="0"/>
              <w:jc w:val="center"/>
              <w:rPr>
                <w:rFonts w:ascii="Verdana" w:hAnsi="Verdana"/>
                <w:sz w:val="20"/>
                <w:szCs w:val="20"/>
              </w:rPr>
            </w:pPr>
            <w:r w:rsidRPr="002E777D">
              <w:rPr>
                <w:rFonts w:ascii="Verdana" w:hAnsi="Verdana"/>
                <w:sz w:val="20"/>
                <w:szCs w:val="20"/>
              </w:rPr>
              <w:t>2</w:t>
            </w:r>
          </w:p>
        </w:tc>
        <w:tc>
          <w:tcPr>
            <w:tcW w:w="90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B311A" w14:textId="39AE34AA" w:rsidR="00D54AC3" w:rsidRPr="002E777D" w:rsidRDefault="00E23035" w:rsidP="002E777D">
            <w:pPr>
              <w:spacing w:after="0" w:line="259" w:lineRule="auto"/>
              <w:ind w:left="0" w:right="57" w:firstLine="0"/>
              <w:rPr>
                <w:rFonts w:ascii="Verdana" w:hAnsi="Verdana"/>
                <w:sz w:val="20"/>
                <w:szCs w:val="20"/>
              </w:rPr>
            </w:pPr>
            <w:r w:rsidRPr="002E777D">
              <w:rPr>
                <w:rFonts w:ascii="Verdana" w:hAnsi="Verdana"/>
                <w:sz w:val="20"/>
                <w:szCs w:val="20"/>
              </w:rPr>
              <w:t>Projekti on kõikidest ettenähtud kriteeriumites arusaadavalt kirjeldatud, vajadus tegevuste elluviimiseks ning toetuseks on mõistetav. Projekt on terviklik ning projekti tulemused on piisava detailsusega määratletud. Projekt on jagatud etappideks, mis annab võimaluse projektiplaani vajadusel jooksvalt korrigeerida. Projekti tegevuste omavahelised seosed on loogilises ülesehituses. Projekti ajakava on optimistlik ning puuduvad projekti etappidele ajalised puhvrid. Projekti eelarve on koostatud nõuetele vastavalt</w:t>
            </w:r>
            <w:r w:rsidR="004A6B87" w:rsidRPr="002E777D">
              <w:rPr>
                <w:rFonts w:ascii="Verdana" w:hAnsi="Verdana"/>
                <w:sz w:val="20"/>
                <w:szCs w:val="20"/>
              </w:rPr>
              <w:t xml:space="preserve">. </w:t>
            </w:r>
            <w:r w:rsidRPr="002E777D">
              <w:rPr>
                <w:rFonts w:ascii="Verdana" w:hAnsi="Verdana"/>
                <w:sz w:val="20"/>
                <w:szCs w:val="20"/>
              </w:rPr>
              <w:t>Eelarve aluseks olevad kulud toetavad projekti elluviimist. Eelarves kajastatud kulud on kajastatud piisaval määral, et hinnata nende vastavust turuhindadele.</w:t>
            </w:r>
          </w:p>
        </w:tc>
      </w:tr>
      <w:tr w:rsidR="00D54AC3" w:rsidRPr="002E777D" w14:paraId="6E29C830" w14:textId="77777777" w:rsidTr="000147D2">
        <w:tblPrEx>
          <w:tblCellMar>
            <w:right w:w="25" w:type="dxa"/>
          </w:tblCellMar>
        </w:tblPrEx>
        <w:trPr>
          <w:trHeight w:val="284"/>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4CE69" w14:textId="4DFEA5F7" w:rsidR="00D54AC3" w:rsidRPr="002E777D" w:rsidRDefault="00D61808" w:rsidP="002E777D">
            <w:pPr>
              <w:spacing w:after="0" w:line="259" w:lineRule="auto"/>
              <w:ind w:left="0" w:right="50" w:firstLine="0"/>
              <w:jc w:val="center"/>
              <w:rPr>
                <w:rFonts w:ascii="Verdana" w:hAnsi="Verdana"/>
                <w:sz w:val="20"/>
                <w:szCs w:val="20"/>
              </w:rPr>
            </w:pPr>
            <w:r w:rsidRPr="002E777D">
              <w:rPr>
                <w:rFonts w:ascii="Verdana" w:hAnsi="Verdana"/>
                <w:sz w:val="20"/>
                <w:szCs w:val="20"/>
              </w:rPr>
              <w:t>1</w:t>
            </w:r>
          </w:p>
        </w:tc>
        <w:tc>
          <w:tcPr>
            <w:tcW w:w="90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F72F5" w14:textId="77777777" w:rsidR="00D54AC3" w:rsidRPr="002E777D" w:rsidRDefault="00D61808" w:rsidP="002E777D">
            <w:pPr>
              <w:spacing w:after="0" w:line="259" w:lineRule="auto"/>
              <w:ind w:left="0" w:firstLine="0"/>
              <w:jc w:val="left"/>
              <w:rPr>
                <w:rFonts w:ascii="Verdana" w:hAnsi="Verdana"/>
                <w:sz w:val="20"/>
                <w:szCs w:val="20"/>
              </w:rPr>
            </w:pPr>
            <w:r w:rsidRPr="002E777D">
              <w:rPr>
                <w:rFonts w:ascii="Verdana" w:hAnsi="Verdana"/>
                <w:sz w:val="20"/>
                <w:szCs w:val="20"/>
              </w:rPr>
              <w:t xml:space="preserve">Vahepealne hinnang </w:t>
            </w:r>
          </w:p>
        </w:tc>
      </w:tr>
      <w:tr w:rsidR="00D54AC3" w:rsidRPr="002E777D" w14:paraId="575B1F62" w14:textId="77777777" w:rsidTr="000147D2">
        <w:tblPrEx>
          <w:tblCellMar>
            <w:right w:w="25" w:type="dxa"/>
          </w:tblCellMar>
        </w:tblPrEx>
        <w:trPr>
          <w:trHeight w:val="284"/>
        </w:trPr>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1D990" w14:textId="492FE8B1" w:rsidR="00D54AC3" w:rsidRPr="002E777D" w:rsidRDefault="00D61808" w:rsidP="002E777D">
            <w:pPr>
              <w:spacing w:after="0" w:line="259" w:lineRule="auto"/>
              <w:ind w:left="0" w:right="50" w:firstLine="0"/>
              <w:jc w:val="center"/>
              <w:rPr>
                <w:rFonts w:ascii="Verdana" w:hAnsi="Verdana"/>
                <w:sz w:val="20"/>
                <w:szCs w:val="20"/>
              </w:rPr>
            </w:pPr>
            <w:r w:rsidRPr="002E777D">
              <w:rPr>
                <w:rFonts w:ascii="Verdana" w:hAnsi="Verdana"/>
                <w:sz w:val="20"/>
                <w:szCs w:val="20"/>
              </w:rPr>
              <w:t>0</w:t>
            </w:r>
          </w:p>
        </w:tc>
        <w:tc>
          <w:tcPr>
            <w:tcW w:w="90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1D87D" w14:textId="4C82D01A" w:rsidR="00D54AC3" w:rsidRPr="002E777D" w:rsidRDefault="00E23035" w:rsidP="002E777D">
            <w:pPr>
              <w:spacing w:after="0" w:line="259" w:lineRule="auto"/>
              <w:ind w:left="0" w:right="45" w:firstLine="0"/>
              <w:rPr>
                <w:rFonts w:ascii="Verdana" w:hAnsi="Verdana"/>
                <w:sz w:val="20"/>
                <w:szCs w:val="20"/>
              </w:rPr>
            </w:pPr>
            <w:r w:rsidRPr="002E777D">
              <w:rPr>
                <w:rFonts w:ascii="Verdana" w:hAnsi="Verdana"/>
                <w:sz w:val="20"/>
                <w:szCs w:val="20"/>
              </w:rPr>
              <w:t xml:space="preserve">Projekti põhjendatus ei ole mõistetav </w:t>
            </w:r>
            <w:r w:rsidR="00567D1F" w:rsidRPr="002E777D">
              <w:rPr>
                <w:rFonts w:ascii="Verdana" w:hAnsi="Verdana"/>
                <w:sz w:val="20"/>
                <w:szCs w:val="20"/>
              </w:rPr>
              <w:t xml:space="preserve">mistõttu </w:t>
            </w:r>
            <w:r w:rsidRPr="002E777D">
              <w:rPr>
                <w:rFonts w:ascii="Verdana" w:hAnsi="Verdana"/>
                <w:sz w:val="20"/>
                <w:szCs w:val="20"/>
              </w:rPr>
              <w:t>projekti elluviimise vajadus jääb ebaselgeks. Projekti eesmärgid ei ole reaalselt saavutatavad. Projekt on küll terviklik, kuid projekti lõppedes ei ole tulemused selgelt määratletavad. Projekt ei ole jagatud etappideks, mis jätab kahtluse, et projektis seatud eesmärgid ei ole täies mahus saavutatavad. Projektis ei ole planeeritud projekti etappidele ajalisi puhvreid. Projekti eelarve on koostatud üldsõnaliselt ja planeeritavad kulud ei pruugi toetada projekti elluviimist. Eelarve alusek</w:t>
            </w:r>
            <w:r w:rsidR="00567D1F" w:rsidRPr="002E777D">
              <w:rPr>
                <w:rFonts w:ascii="Verdana" w:hAnsi="Verdana"/>
                <w:sz w:val="20"/>
                <w:szCs w:val="20"/>
              </w:rPr>
              <w:t>s</w:t>
            </w:r>
            <w:r w:rsidRPr="002E777D">
              <w:rPr>
                <w:rFonts w:ascii="Verdana" w:hAnsi="Verdana"/>
                <w:sz w:val="20"/>
                <w:szCs w:val="20"/>
              </w:rPr>
              <w:t xml:space="preserve"> olevad kulud ei ole selgelt avatud, mistõttu puudub kindlus, et need vastavad turuhindadele ning planeeritud kuluefektiivselt.</w:t>
            </w:r>
          </w:p>
        </w:tc>
      </w:tr>
      <w:tr w:rsidR="00D54AC3" w:rsidRPr="002E777D" w14:paraId="7F7169D0" w14:textId="77777777" w:rsidTr="00242FB7">
        <w:tblPrEx>
          <w:tblCellMar>
            <w:top w:w="7" w:type="dxa"/>
            <w:right w:w="15" w:type="dxa"/>
          </w:tblCellMar>
        </w:tblPrEx>
        <w:trPr>
          <w:trHeight w:val="380"/>
        </w:trPr>
        <w:tc>
          <w:tcPr>
            <w:tcW w:w="5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9514B5" w14:textId="204F177B" w:rsidR="00D54AC3" w:rsidRPr="002E777D" w:rsidRDefault="002C750A" w:rsidP="002E777D">
            <w:pPr>
              <w:spacing w:after="0" w:line="259" w:lineRule="auto"/>
              <w:ind w:left="0" w:right="61" w:firstLine="0"/>
              <w:jc w:val="center"/>
              <w:rPr>
                <w:rFonts w:ascii="Verdana" w:hAnsi="Verdana"/>
                <w:sz w:val="20"/>
                <w:szCs w:val="20"/>
              </w:rPr>
            </w:pPr>
            <w:bookmarkStart w:id="0" w:name="_Hlk137656753"/>
            <w:r w:rsidRPr="002E777D">
              <w:br w:type="page"/>
            </w:r>
            <w:r w:rsidR="00D61808" w:rsidRPr="002E777D">
              <w:rPr>
                <w:rFonts w:ascii="Verdana" w:hAnsi="Verdana"/>
                <w:b/>
                <w:sz w:val="20"/>
                <w:szCs w:val="20"/>
              </w:rPr>
              <w:t>3</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92EE62" w14:textId="1B9572B9" w:rsidR="00D54AC3" w:rsidRPr="002E777D" w:rsidRDefault="00701B93" w:rsidP="002E777D">
            <w:pPr>
              <w:spacing w:after="0" w:line="259" w:lineRule="auto"/>
              <w:ind w:left="0" w:right="54" w:firstLine="0"/>
              <w:rPr>
                <w:rFonts w:ascii="Verdana" w:hAnsi="Verdana"/>
                <w:b/>
                <w:bCs/>
                <w:sz w:val="20"/>
                <w:szCs w:val="20"/>
              </w:rPr>
            </w:pPr>
            <w:r w:rsidRPr="002E777D">
              <w:rPr>
                <w:rFonts w:ascii="Verdana" w:hAnsi="Verdana"/>
                <w:b/>
                <w:bCs/>
                <w:sz w:val="20"/>
                <w:szCs w:val="20"/>
              </w:rPr>
              <w:t>Toetuse taotleja suutlikkus projekti ellu viia</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CFD6D4" w14:textId="66368C26" w:rsidR="00D54AC3" w:rsidRPr="002E777D" w:rsidRDefault="00652A12" w:rsidP="002E777D">
            <w:pPr>
              <w:spacing w:after="0" w:line="259" w:lineRule="auto"/>
              <w:ind w:left="45" w:firstLine="0"/>
              <w:rPr>
                <w:rFonts w:ascii="Verdana" w:hAnsi="Verdana"/>
                <w:sz w:val="20"/>
                <w:szCs w:val="20"/>
              </w:rPr>
            </w:pPr>
            <w:r w:rsidRPr="002E777D">
              <w:rPr>
                <w:rFonts w:ascii="Verdana" w:hAnsi="Verdana"/>
                <w:b/>
                <w:sz w:val="20"/>
                <w:szCs w:val="20"/>
              </w:rPr>
              <w:t>3</w:t>
            </w:r>
            <w:r w:rsidR="00D61808" w:rsidRPr="002E777D">
              <w:rPr>
                <w:rFonts w:ascii="Verdana" w:hAnsi="Verdana"/>
                <w:b/>
                <w:sz w:val="20"/>
                <w:szCs w:val="20"/>
              </w:rPr>
              <w:t xml:space="preserve">0% </w:t>
            </w:r>
          </w:p>
        </w:tc>
      </w:tr>
      <w:tr w:rsidR="00D54AC3" w:rsidRPr="002E777D" w14:paraId="42152F38" w14:textId="77777777" w:rsidTr="000147D2">
        <w:tblPrEx>
          <w:tblCellMar>
            <w:top w:w="7" w:type="dxa"/>
            <w:right w:w="15" w:type="dxa"/>
          </w:tblCellMar>
        </w:tblPrEx>
        <w:trPr>
          <w:trHeight w:val="689"/>
        </w:trPr>
        <w:tc>
          <w:tcPr>
            <w:tcW w:w="561" w:type="dxa"/>
            <w:tcBorders>
              <w:top w:val="single" w:sz="4" w:space="0" w:color="000000"/>
              <w:left w:val="single" w:sz="4" w:space="0" w:color="000000"/>
              <w:bottom w:val="single" w:sz="4" w:space="0" w:color="000000"/>
              <w:right w:val="single" w:sz="4" w:space="0" w:color="000000"/>
            </w:tcBorders>
            <w:vAlign w:val="center"/>
          </w:tcPr>
          <w:p w14:paraId="3CF558DC" w14:textId="1367A409" w:rsidR="00D54AC3" w:rsidRPr="002E777D" w:rsidRDefault="00D61808" w:rsidP="002E777D">
            <w:pPr>
              <w:spacing w:after="0" w:line="259" w:lineRule="auto"/>
              <w:ind w:left="0" w:right="61" w:firstLine="0"/>
              <w:jc w:val="center"/>
              <w:rPr>
                <w:rFonts w:ascii="Verdana" w:hAnsi="Verdana"/>
                <w:sz w:val="20"/>
                <w:szCs w:val="20"/>
              </w:rPr>
            </w:pPr>
            <w:r w:rsidRPr="002E777D">
              <w:rPr>
                <w:rFonts w:ascii="Verdana" w:hAnsi="Verdana"/>
                <w:sz w:val="20"/>
                <w:szCs w:val="20"/>
              </w:rPr>
              <w:t>4</w:t>
            </w:r>
          </w:p>
        </w:tc>
        <w:tc>
          <w:tcPr>
            <w:tcW w:w="9068" w:type="dxa"/>
            <w:gridSpan w:val="2"/>
            <w:tcBorders>
              <w:top w:val="single" w:sz="4" w:space="0" w:color="000000"/>
              <w:left w:val="single" w:sz="4" w:space="0" w:color="000000"/>
              <w:bottom w:val="single" w:sz="4" w:space="0" w:color="000000"/>
              <w:right w:val="single" w:sz="4" w:space="0" w:color="000000"/>
            </w:tcBorders>
          </w:tcPr>
          <w:p w14:paraId="6B0536D3" w14:textId="51765919" w:rsidR="00D54AC3" w:rsidRPr="002E777D" w:rsidRDefault="00E23035" w:rsidP="002E777D">
            <w:pPr>
              <w:spacing w:after="0" w:line="259" w:lineRule="auto"/>
              <w:ind w:left="0" w:right="55" w:firstLine="0"/>
              <w:rPr>
                <w:rFonts w:ascii="Verdana" w:hAnsi="Verdana"/>
                <w:sz w:val="20"/>
                <w:szCs w:val="20"/>
              </w:rPr>
            </w:pPr>
            <w:r w:rsidRPr="002E777D">
              <w:rPr>
                <w:rFonts w:ascii="Verdana" w:hAnsi="Verdana"/>
                <w:sz w:val="20"/>
                <w:szCs w:val="20"/>
              </w:rPr>
              <w:t>Taotleja omab antud valdkonnas pikaajalisi ning häid kogemusi. Projekti meeskond omab tipptasemel kompetentsi projekti juhtimiseks ning kavandatud tegevuste edukaks läbiviimiseks. Projekti meeskonda on kaasatud antud valdkonna spetsialiste, kellel on varasem kogemus sarnaste projektide elluviimisel. Taotlejal on olemas projekti edukaks teostamiseks vajalikud ressursid. Taotlejal on olemas vajalik finantsvõimekus või võimekus täiendavaid finantse kaasata, mis annab võimaluse projekti edukalt teostada. Projekti võimalik kallinemine ei mõjuta projekti eesmärgipärast elluviimist. Projekti elluviimisel tekkida võivad riskid on kõikides etappides hinnatud ning nende esinemisel on kavandatud maandamistegevused.</w:t>
            </w:r>
          </w:p>
        </w:tc>
      </w:tr>
      <w:tr w:rsidR="00D54AC3" w:rsidRPr="002E777D" w14:paraId="3AA8E8DE" w14:textId="77777777" w:rsidTr="000147D2">
        <w:tblPrEx>
          <w:tblCellMar>
            <w:top w:w="7" w:type="dxa"/>
            <w:right w:w="15" w:type="dxa"/>
          </w:tblCellMar>
        </w:tblPrEx>
        <w:trPr>
          <w:trHeight w:val="284"/>
        </w:trPr>
        <w:tc>
          <w:tcPr>
            <w:tcW w:w="561" w:type="dxa"/>
            <w:tcBorders>
              <w:top w:val="single" w:sz="4" w:space="0" w:color="000000"/>
              <w:left w:val="single" w:sz="4" w:space="0" w:color="000000"/>
              <w:bottom w:val="single" w:sz="4" w:space="0" w:color="000000"/>
              <w:right w:val="single" w:sz="4" w:space="0" w:color="000000"/>
            </w:tcBorders>
          </w:tcPr>
          <w:p w14:paraId="41C146D8" w14:textId="380ADA5B" w:rsidR="00D54AC3" w:rsidRPr="002E777D" w:rsidRDefault="00D61808" w:rsidP="002E777D">
            <w:pPr>
              <w:spacing w:after="0" w:line="259" w:lineRule="auto"/>
              <w:ind w:left="0" w:right="61" w:firstLine="0"/>
              <w:jc w:val="center"/>
              <w:rPr>
                <w:rFonts w:ascii="Verdana" w:hAnsi="Verdana"/>
                <w:sz w:val="20"/>
                <w:szCs w:val="20"/>
              </w:rPr>
            </w:pPr>
            <w:r w:rsidRPr="002E777D">
              <w:rPr>
                <w:rFonts w:ascii="Verdana" w:hAnsi="Verdana"/>
                <w:sz w:val="20"/>
                <w:szCs w:val="20"/>
              </w:rPr>
              <w:t>3</w:t>
            </w:r>
          </w:p>
        </w:tc>
        <w:tc>
          <w:tcPr>
            <w:tcW w:w="9068" w:type="dxa"/>
            <w:gridSpan w:val="2"/>
            <w:tcBorders>
              <w:top w:val="single" w:sz="4" w:space="0" w:color="000000"/>
              <w:left w:val="single" w:sz="4" w:space="0" w:color="000000"/>
              <w:bottom w:val="single" w:sz="4" w:space="0" w:color="000000"/>
              <w:right w:val="single" w:sz="4" w:space="0" w:color="000000"/>
            </w:tcBorders>
          </w:tcPr>
          <w:p w14:paraId="2EC79B98" w14:textId="77777777" w:rsidR="00D54AC3" w:rsidRPr="002E777D" w:rsidRDefault="00D61808" w:rsidP="002E777D">
            <w:pPr>
              <w:spacing w:after="0" w:line="259" w:lineRule="auto"/>
              <w:ind w:left="0" w:firstLine="0"/>
              <w:jc w:val="left"/>
              <w:rPr>
                <w:rFonts w:ascii="Verdana" w:hAnsi="Verdana"/>
                <w:sz w:val="20"/>
                <w:szCs w:val="20"/>
              </w:rPr>
            </w:pPr>
            <w:r w:rsidRPr="002E777D">
              <w:rPr>
                <w:rFonts w:ascii="Verdana" w:hAnsi="Verdana"/>
                <w:sz w:val="20"/>
                <w:szCs w:val="20"/>
              </w:rPr>
              <w:t xml:space="preserve">Vahepealne hinnang </w:t>
            </w:r>
          </w:p>
        </w:tc>
      </w:tr>
      <w:tr w:rsidR="00D54AC3" w:rsidRPr="002E777D" w14:paraId="71E87063" w14:textId="77777777" w:rsidTr="000147D2">
        <w:tblPrEx>
          <w:tblCellMar>
            <w:top w:w="7" w:type="dxa"/>
            <w:right w:w="15" w:type="dxa"/>
          </w:tblCellMar>
        </w:tblPrEx>
        <w:trPr>
          <w:trHeight w:val="284"/>
        </w:trPr>
        <w:tc>
          <w:tcPr>
            <w:tcW w:w="561" w:type="dxa"/>
            <w:tcBorders>
              <w:top w:val="single" w:sz="4" w:space="0" w:color="000000"/>
              <w:left w:val="single" w:sz="4" w:space="0" w:color="000000"/>
              <w:bottom w:val="single" w:sz="4" w:space="0" w:color="000000"/>
              <w:right w:val="single" w:sz="4" w:space="0" w:color="000000"/>
            </w:tcBorders>
            <w:vAlign w:val="center"/>
          </w:tcPr>
          <w:p w14:paraId="7CFA4D88" w14:textId="53A690B9" w:rsidR="00D54AC3" w:rsidRPr="002E777D" w:rsidRDefault="00D61808" w:rsidP="002E777D">
            <w:pPr>
              <w:spacing w:after="0" w:line="259" w:lineRule="auto"/>
              <w:ind w:left="0" w:right="61" w:firstLine="0"/>
              <w:jc w:val="center"/>
              <w:rPr>
                <w:rFonts w:ascii="Verdana" w:hAnsi="Verdana"/>
                <w:sz w:val="20"/>
                <w:szCs w:val="20"/>
              </w:rPr>
            </w:pPr>
            <w:r w:rsidRPr="002E777D">
              <w:rPr>
                <w:rFonts w:ascii="Verdana" w:hAnsi="Verdana"/>
                <w:sz w:val="20"/>
                <w:szCs w:val="20"/>
              </w:rPr>
              <w:t>2</w:t>
            </w:r>
          </w:p>
        </w:tc>
        <w:tc>
          <w:tcPr>
            <w:tcW w:w="9068" w:type="dxa"/>
            <w:gridSpan w:val="2"/>
            <w:tcBorders>
              <w:top w:val="single" w:sz="4" w:space="0" w:color="000000"/>
              <w:left w:val="single" w:sz="4" w:space="0" w:color="000000"/>
              <w:bottom w:val="single" w:sz="4" w:space="0" w:color="000000"/>
              <w:right w:val="single" w:sz="4" w:space="0" w:color="000000"/>
            </w:tcBorders>
          </w:tcPr>
          <w:p w14:paraId="4AC49081" w14:textId="19576A9C" w:rsidR="00D54AC3" w:rsidRPr="002E777D" w:rsidRDefault="00E23035" w:rsidP="002E777D">
            <w:pPr>
              <w:spacing w:after="0" w:line="259" w:lineRule="auto"/>
              <w:ind w:left="0" w:firstLine="0"/>
              <w:rPr>
                <w:rFonts w:ascii="Verdana" w:hAnsi="Verdana"/>
                <w:sz w:val="20"/>
                <w:szCs w:val="20"/>
              </w:rPr>
            </w:pPr>
            <w:r w:rsidRPr="002E777D">
              <w:rPr>
                <w:rFonts w:ascii="Verdana" w:hAnsi="Verdana"/>
                <w:sz w:val="20"/>
                <w:szCs w:val="20"/>
              </w:rPr>
              <w:t xml:space="preserve">Taotleja omab antud valdkonnas varasemaid kogemusi. Projekti meeskonna liikmete hulgas on üksikud tipptasemel kompetentsidega liikmed, kes on võimelised tagama kavandatud projekti tegevuste eduka elluviimise. Projekti meeskonna liikmete kogemused täiendavad meeskonna üldist kvalifikatsiooni plaanitud tegevuste elluviimiseks. Taotlejal on projekti edukaks teostamiseks vajalikud ressursid ja taristu olemas osaliselt, kuid </w:t>
            </w:r>
            <w:r w:rsidR="00567D1F" w:rsidRPr="002E777D">
              <w:rPr>
                <w:rFonts w:ascii="Verdana" w:hAnsi="Verdana"/>
                <w:sz w:val="20"/>
                <w:szCs w:val="20"/>
              </w:rPr>
              <w:t xml:space="preserve">samas </w:t>
            </w:r>
            <w:r w:rsidRPr="002E777D">
              <w:rPr>
                <w:rFonts w:ascii="Verdana" w:hAnsi="Verdana"/>
                <w:sz w:val="20"/>
                <w:szCs w:val="20"/>
              </w:rPr>
              <w:t>on esitatud vajaminevate ressursside hankimise plaan. Taotlejal on olemas vajalik finantsvõimekus, kuid projekti võimalik kallinemine võib põhjustada lisa finantsvahendite vajaduse, mille allikas ei ole selge. Projekti elluviimisel tekkida võivad riskid on hinnatud, kuid nende esinemisel ei pruugi kavandatud maandamistegevused olla piisavad.</w:t>
            </w:r>
          </w:p>
        </w:tc>
      </w:tr>
      <w:tr w:rsidR="00D54AC3" w:rsidRPr="002E777D" w14:paraId="1B235E56" w14:textId="77777777" w:rsidTr="000147D2">
        <w:tblPrEx>
          <w:tblCellMar>
            <w:top w:w="7" w:type="dxa"/>
            <w:right w:w="15" w:type="dxa"/>
          </w:tblCellMar>
        </w:tblPrEx>
        <w:trPr>
          <w:trHeight w:val="284"/>
        </w:trPr>
        <w:tc>
          <w:tcPr>
            <w:tcW w:w="561" w:type="dxa"/>
            <w:tcBorders>
              <w:top w:val="single" w:sz="4" w:space="0" w:color="000000"/>
              <w:left w:val="single" w:sz="4" w:space="0" w:color="000000"/>
              <w:bottom w:val="single" w:sz="4" w:space="0" w:color="000000"/>
              <w:right w:val="single" w:sz="4" w:space="0" w:color="000000"/>
            </w:tcBorders>
          </w:tcPr>
          <w:p w14:paraId="7D2C89C3" w14:textId="6A7989C1" w:rsidR="00D54AC3" w:rsidRPr="002E777D" w:rsidRDefault="00D61808" w:rsidP="002E777D">
            <w:pPr>
              <w:spacing w:after="0" w:line="259" w:lineRule="auto"/>
              <w:ind w:left="0" w:right="61" w:firstLine="0"/>
              <w:jc w:val="center"/>
              <w:rPr>
                <w:rFonts w:ascii="Verdana" w:hAnsi="Verdana"/>
                <w:sz w:val="20"/>
                <w:szCs w:val="20"/>
              </w:rPr>
            </w:pPr>
            <w:r w:rsidRPr="002E777D">
              <w:rPr>
                <w:rFonts w:ascii="Verdana" w:hAnsi="Verdana"/>
                <w:sz w:val="20"/>
                <w:szCs w:val="20"/>
              </w:rPr>
              <w:t>1</w:t>
            </w:r>
          </w:p>
        </w:tc>
        <w:tc>
          <w:tcPr>
            <w:tcW w:w="9068" w:type="dxa"/>
            <w:gridSpan w:val="2"/>
            <w:tcBorders>
              <w:top w:val="single" w:sz="4" w:space="0" w:color="000000"/>
              <w:left w:val="single" w:sz="4" w:space="0" w:color="000000"/>
              <w:bottom w:val="single" w:sz="4" w:space="0" w:color="000000"/>
              <w:right w:val="single" w:sz="4" w:space="0" w:color="000000"/>
            </w:tcBorders>
          </w:tcPr>
          <w:p w14:paraId="30ADEB29" w14:textId="77777777" w:rsidR="00D54AC3" w:rsidRPr="002E777D" w:rsidRDefault="00D61808" w:rsidP="002E777D">
            <w:pPr>
              <w:spacing w:after="0" w:line="259" w:lineRule="auto"/>
              <w:ind w:left="0" w:firstLine="0"/>
              <w:jc w:val="left"/>
              <w:rPr>
                <w:rFonts w:ascii="Verdana" w:hAnsi="Verdana"/>
                <w:sz w:val="20"/>
                <w:szCs w:val="20"/>
              </w:rPr>
            </w:pPr>
            <w:r w:rsidRPr="002E777D">
              <w:rPr>
                <w:rFonts w:ascii="Verdana" w:hAnsi="Verdana"/>
                <w:sz w:val="20"/>
                <w:szCs w:val="20"/>
              </w:rPr>
              <w:t xml:space="preserve">Vahepealne hinnang </w:t>
            </w:r>
          </w:p>
        </w:tc>
      </w:tr>
      <w:tr w:rsidR="00D54AC3" w:rsidRPr="002E777D" w14:paraId="6D713422" w14:textId="77777777" w:rsidTr="000147D2">
        <w:tblPrEx>
          <w:tblCellMar>
            <w:top w:w="7" w:type="dxa"/>
            <w:right w:w="15" w:type="dxa"/>
          </w:tblCellMar>
        </w:tblPrEx>
        <w:trPr>
          <w:trHeight w:val="284"/>
        </w:trPr>
        <w:tc>
          <w:tcPr>
            <w:tcW w:w="561" w:type="dxa"/>
            <w:tcBorders>
              <w:top w:val="single" w:sz="4" w:space="0" w:color="000000"/>
              <w:left w:val="single" w:sz="4" w:space="0" w:color="000000"/>
              <w:bottom w:val="single" w:sz="4" w:space="0" w:color="000000"/>
              <w:right w:val="single" w:sz="4" w:space="0" w:color="000000"/>
            </w:tcBorders>
            <w:vAlign w:val="center"/>
          </w:tcPr>
          <w:p w14:paraId="36E6C5EF" w14:textId="5E046A94" w:rsidR="00D54AC3" w:rsidRPr="002E777D" w:rsidRDefault="00D61808" w:rsidP="002E777D">
            <w:pPr>
              <w:spacing w:after="0" w:line="259" w:lineRule="auto"/>
              <w:ind w:left="0" w:right="61" w:firstLine="0"/>
              <w:jc w:val="center"/>
              <w:rPr>
                <w:rFonts w:ascii="Verdana" w:hAnsi="Verdana"/>
                <w:sz w:val="20"/>
                <w:szCs w:val="20"/>
              </w:rPr>
            </w:pPr>
            <w:r w:rsidRPr="002E777D">
              <w:rPr>
                <w:rFonts w:ascii="Verdana" w:hAnsi="Verdana"/>
                <w:sz w:val="20"/>
                <w:szCs w:val="20"/>
              </w:rPr>
              <w:t>0</w:t>
            </w:r>
          </w:p>
        </w:tc>
        <w:tc>
          <w:tcPr>
            <w:tcW w:w="9068" w:type="dxa"/>
            <w:gridSpan w:val="2"/>
            <w:tcBorders>
              <w:top w:val="single" w:sz="4" w:space="0" w:color="000000"/>
              <w:left w:val="single" w:sz="4" w:space="0" w:color="000000"/>
              <w:bottom w:val="single" w:sz="4" w:space="0" w:color="000000"/>
              <w:right w:val="single" w:sz="4" w:space="0" w:color="000000"/>
            </w:tcBorders>
          </w:tcPr>
          <w:p w14:paraId="2B6F71E5" w14:textId="576040BC" w:rsidR="00D54AC3" w:rsidRPr="002E777D" w:rsidRDefault="00E23035" w:rsidP="002E777D">
            <w:pPr>
              <w:spacing w:after="0" w:line="259" w:lineRule="auto"/>
              <w:ind w:left="0" w:right="56" w:firstLine="0"/>
              <w:rPr>
                <w:rFonts w:ascii="Verdana" w:hAnsi="Verdana"/>
                <w:sz w:val="20"/>
                <w:szCs w:val="20"/>
              </w:rPr>
            </w:pPr>
            <w:r w:rsidRPr="002E777D">
              <w:rPr>
                <w:rFonts w:ascii="Verdana" w:hAnsi="Verdana"/>
                <w:sz w:val="20"/>
                <w:szCs w:val="20"/>
              </w:rPr>
              <w:t>Taotleja kogemused antud valdkonnas on vähesed või puuduvad. Projekti meeskonna liikmetel puuduvad vajaminevad kompetentsid, mis seavad kahtluse alla kavandatud tegevuste eduka elluviimise. Projekti meeskonda ei planeerita kaasata antud valdkonna spetsialiste, kellel on nõutav kvalifikatsioon ning varasemalt kogemus sarnaste projektide elluviimisel. Taotlejal puuduvad piisval määral projekti teostamiseks vajalikud ressursid ja taristu ning lisaressursside kaasamise võimekus ei ole tõendatud. Taotlejal finantsvõimekus on piiratud ning ei pruugi tagada projekti edukat elluviimist. Projekti võimalik kallinemine ei võimalda tõenäoliselt projekti lõpuni teostada Projekti riske on hinnatud vaid osaliselt ning puuduvad kavandatavad maandamistegevused.</w:t>
            </w:r>
          </w:p>
        </w:tc>
      </w:tr>
      <w:bookmarkEnd w:id="0"/>
      <w:tr w:rsidR="00E23035" w:rsidRPr="002E777D" w14:paraId="4BAF5FA3" w14:textId="77777777" w:rsidTr="00242FB7">
        <w:tblPrEx>
          <w:tblCellMar>
            <w:top w:w="7" w:type="dxa"/>
            <w:right w:w="15" w:type="dxa"/>
          </w:tblCellMar>
        </w:tblPrEx>
        <w:trPr>
          <w:trHeight w:val="2252"/>
        </w:trPr>
        <w:tc>
          <w:tcPr>
            <w:tcW w:w="5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4B7271" w14:textId="1B36C67E" w:rsidR="00E23035" w:rsidRPr="002E777D" w:rsidRDefault="0088290A" w:rsidP="002E777D">
            <w:pPr>
              <w:spacing w:after="0" w:line="259" w:lineRule="auto"/>
              <w:ind w:left="0" w:right="61" w:firstLine="0"/>
              <w:jc w:val="center"/>
              <w:rPr>
                <w:rFonts w:ascii="Verdana" w:hAnsi="Verdana"/>
                <w:b/>
                <w:bCs/>
                <w:sz w:val="20"/>
                <w:szCs w:val="20"/>
              </w:rPr>
            </w:pPr>
            <w:r w:rsidRPr="002E777D">
              <w:rPr>
                <w:rFonts w:ascii="Verdana" w:hAnsi="Verdana"/>
                <w:b/>
                <w:bCs/>
                <w:sz w:val="20"/>
                <w:szCs w:val="20"/>
              </w:rPr>
              <w:t>4</w:t>
            </w:r>
          </w:p>
        </w:tc>
        <w:tc>
          <w:tcPr>
            <w:tcW w:w="8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637170" w14:textId="2C68CB79" w:rsidR="00701B93" w:rsidRPr="002E777D" w:rsidRDefault="00701B93" w:rsidP="002E777D">
            <w:pPr>
              <w:spacing w:after="0" w:line="259" w:lineRule="auto"/>
              <w:ind w:left="0" w:right="54" w:firstLine="0"/>
              <w:rPr>
                <w:rFonts w:ascii="Verdana" w:hAnsi="Verdana"/>
                <w:b/>
                <w:bCs/>
                <w:sz w:val="20"/>
                <w:szCs w:val="20"/>
              </w:rPr>
            </w:pPr>
            <w:r w:rsidRPr="002E777D">
              <w:rPr>
                <w:rFonts w:ascii="Verdana" w:hAnsi="Verdana"/>
                <w:b/>
                <w:bCs/>
                <w:sz w:val="20"/>
                <w:szCs w:val="20"/>
              </w:rPr>
              <w:t>Projekti kooskõla „Eesti 2035“ aluspõhimõtete ja sihtidega</w:t>
            </w:r>
          </w:p>
          <w:p w14:paraId="6D3E1B3E" w14:textId="653CB11C" w:rsidR="006F014F" w:rsidRPr="002E777D" w:rsidRDefault="006F014F" w:rsidP="002E777D">
            <w:pPr>
              <w:spacing w:after="0" w:line="259" w:lineRule="auto"/>
              <w:ind w:left="0" w:right="54" w:firstLine="0"/>
              <w:rPr>
                <w:rFonts w:ascii="Verdana" w:hAnsi="Verdana"/>
                <w:sz w:val="20"/>
                <w:szCs w:val="20"/>
              </w:rPr>
            </w:pPr>
            <w:r w:rsidRPr="002E777D">
              <w:rPr>
                <w:rFonts w:ascii="Verdana" w:hAnsi="Verdana"/>
                <w:sz w:val="20"/>
                <w:szCs w:val="20"/>
              </w:rPr>
              <w:t>Hinnatakse strateegia Eesti 2035 aluspõhimõtete hoidmist ja sihtide saavutamist, tasakaalustatud regionaalset arengut, soolist võrdõiguslikkust, võrdseid võimalusi, ligipääsetavust ning keskkonna- ja kliimaeesmärke toetaval moel järgmiste horisontaalsete näitajatega:</w:t>
            </w:r>
          </w:p>
          <w:p w14:paraId="02A7FC0F" w14:textId="77777777" w:rsidR="006F014F" w:rsidRPr="002E777D" w:rsidRDefault="006F014F" w:rsidP="002E777D">
            <w:pPr>
              <w:spacing w:after="0" w:line="259" w:lineRule="auto"/>
              <w:ind w:left="0" w:right="54" w:firstLine="0"/>
              <w:rPr>
                <w:rFonts w:ascii="Verdana" w:hAnsi="Verdana"/>
                <w:sz w:val="20"/>
                <w:szCs w:val="20"/>
              </w:rPr>
            </w:pPr>
            <w:r w:rsidRPr="002E777D">
              <w:rPr>
                <w:rFonts w:ascii="Verdana" w:hAnsi="Verdana"/>
                <w:sz w:val="20"/>
                <w:szCs w:val="20"/>
              </w:rPr>
              <w:t xml:space="preserve">1) </w:t>
            </w:r>
            <w:r w:rsidRPr="002E777D">
              <w:rPr>
                <w:rFonts w:ascii="Verdana" w:hAnsi="Verdana"/>
                <w:sz w:val="20"/>
                <w:szCs w:val="20"/>
                <w:u w:val="single"/>
              </w:rPr>
              <w:t>Sooline võrdõiguslikkus</w:t>
            </w:r>
            <w:r w:rsidRPr="002E777D">
              <w:rPr>
                <w:rFonts w:ascii="Verdana" w:hAnsi="Verdana"/>
                <w:sz w:val="20"/>
                <w:szCs w:val="20"/>
              </w:rPr>
              <w:t xml:space="preserve">  – soolise aspektiga arvestamine on asjakohane, kui projekti raames arendatav toode või teenus on suunatud inimestele ja sellel võib olla erinev mõju naistele ja meestele (näiteks ravimid, tervisediagnostika). Kui erinev mõju on võimalik, siis tuleb tegevuste elluviimisel soolist mõõdet arvesse võtta ning projekt panustab soolise võrdõiguslikkuse indeksisse. Lisainfo: https://etag.ee/tegevused/sooloime/sooline-dimensioon-teadustoos/ http://genderedinnovations.stanford.edu </w:t>
            </w:r>
          </w:p>
          <w:p w14:paraId="017D7989" w14:textId="77777777" w:rsidR="006F014F" w:rsidRPr="002E777D" w:rsidRDefault="006F014F" w:rsidP="002E777D">
            <w:pPr>
              <w:spacing w:after="0" w:line="259" w:lineRule="auto"/>
              <w:ind w:left="0" w:right="54" w:firstLine="0"/>
              <w:rPr>
                <w:rFonts w:ascii="Verdana" w:hAnsi="Verdana"/>
                <w:sz w:val="20"/>
                <w:szCs w:val="20"/>
              </w:rPr>
            </w:pPr>
            <w:r w:rsidRPr="002E777D">
              <w:rPr>
                <w:rFonts w:ascii="Verdana" w:hAnsi="Verdana"/>
                <w:sz w:val="20"/>
                <w:szCs w:val="20"/>
              </w:rPr>
              <w:t xml:space="preserve">2) </w:t>
            </w:r>
            <w:r w:rsidRPr="002E777D">
              <w:rPr>
                <w:rFonts w:ascii="Verdana" w:hAnsi="Verdana"/>
                <w:sz w:val="20"/>
                <w:szCs w:val="20"/>
                <w:u w:val="single"/>
              </w:rPr>
              <w:t>Hoolivus ja koostöömeelsus</w:t>
            </w:r>
            <w:r w:rsidRPr="002E777D">
              <w:rPr>
                <w:rFonts w:ascii="Verdana" w:hAnsi="Verdana"/>
                <w:sz w:val="20"/>
                <w:szCs w:val="20"/>
              </w:rPr>
              <w:t xml:space="preserve"> – kui projekti raames arendatav toode või teenus on suunatud riskirühmade (eakad, puudega inimesed jne) aitamisele, panustab see hoolivuse ja koostöömeelsuse mõõdikusse. Hooliv ühiskond on tähelepanelik ja abivalmis. Siin on igaühel võimalus eneseteostuseks terve elukaare ulatuses ning tagatud on selleks vajalik tugivõrk. Töö-, pere- ja eraelu ühitamine on toetatud, ühiskondlikesse ja kultuurilistesse tegevustesse panustab igaüks sõltumata east ning inimeste heaolu on paranenud. Koostöömeelne ühiskond põhineb ühtekuuluvustundel ning inimeste valmisolekul aktiivselt panustada ühiste eesmärkide saavutamisse ning hüvede loomisse. Iga inimene, pere- ja kogukond ning vabaühendus saab ja tahab ühiskonnakorralduses kaasa lüüa ja koostööd teha. </w:t>
            </w:r>
          </w:p>
          <w:p w14:paraId="45AC2515" w14:textId="77777777" w:rsidR="006F014F" w:rsidRPr="002E777D" w:rsidRDefault="006F014F" w:rsidP="002E777D">
            <w:pPr>
              <w:spacing w:after="0" w:line="259" w:lineRule="auto"/>
              <w:ind w:left="0" w:right="54" w:firstLine="0"/>
              <w:rPr>
                <w:rFonts w:ascii="Verdana" w:hAnsi="Verdana"/>
                <w:sz w:val="20"/>
                <w:szCs w:val="20"/>
              </w:rPr>
            </w:pPr>
            <w:r w:rsidRPr="002E777D">
              <w:rPr>
                <w:rFonts w:ascii="Verdana" w:hAnsi="Verdana"/>
                <w:sz w:val="20"/>
                <w:szCs w:val="20"/>
              </w:rPr>
              <w:t xml:space="preserve">3) </w:t>
            </w:r>
            <w:r w:rsidRPr="002E777D">
              <w:rPr>
                <w:rFonts w:ascii="Verdana" w:hAnsi="Verdana"/>
                <w:sz w:val="20"/>
                <w:szCs w:val="20"/>
                <w:u w:val="single"/>
              </w:rPr>
              <w:t>Ligipääsetavus</w:t>
            </w:r>
            <w:r w:rsidRPr="002E777D">
              <w:rPr>
                <w:rFonts w:ascii="Verdana" w:hAnsi="Verdana"/>
                <w:sz w:val="20"/>
                <w:szCs w:val="20"/>
              </w:rPr>
              <w:t xml:space="preserve"> – kui projekti raames arendatav toode või teenus on mõeldud kasutamiseks laiemale avalikkusele, siis peab olema tagatud ligipääsetavus nelja peamise erivajadusega (liikumis-, nägemis-, kuulmis- ja intellektipuue) inimestele ning sellisel juhul panustab projekt ligipääsetavuse mõõdikusse. Lisainfo: https://ttja.ee/eraklient/tarbija-oigused/kaubandus-teenused/digiligipaasetavuse-tagamine </w:t>
            </w:r>
          </w:p>
          <w:p w14:paraId="78177CD2" w14:textId="77777777" w:rsidR="006F014F" w:rsidRPr="002E777D" w:rsidRDefault="006F014F" w:rsidP="002E777D">
            <w:pPr>
              <w:spacing w:after="0" w:line="259" w:lineRule="auto"/>
              <w:ind w:left="0" w:right="54" w:firstLine="0"/>
              <w:rPr>
                <w:rFonts w:ascii="Verdana" w:hAnsi="Verdana"/>
                <w:sz w:val="20"/>
                <w:szCs w:val="20"/>
              </w:rPr>
            </w:pPr>
            <w:r w:rsidRPr="002E777D">
              <w:rPr>
                <w:rFonts w:ascii="Verdana" w:hAnsi="Verdana"/>
                <w:sz w:val="20"/>
                <w:szCs w:val="20"/>
              </w:rPr>
              <w:t xml:space="preserve">4) </w:t>
            </w:r>
            <w:r w:rsidRPr="002E777D">
              <w:rPr>
                <w:rFonts w:ascii="Verdana" w:hAnsi="Verdana"/>
                <w:sz w:val="20"/>
                <w:szCs w:val="20"/>
                <w:u w:val="single"/>
              </w:rPr>
              <w:t>Väljaspool Harjumaad loodud sisemajanduse koguprodukt elaniku kohta Euroopa Liidu 27 keskmisest</w:t>
            </w:r>
            <w:r w:rsidRPr="002E777D">
              <w:rPr>
                <w:rFonts w:ascii="Verdana" w:hAnsi="Verdana"/>
                <w:sz w:val="20"/>
                <w:szCs w:val="20"/>
              </w:rPr>
              <w:t xml:space="preserve"> – ettevõte tegevus toimub väljaspool Harjumaad.</w:t>
            </w:r>
          </w:p>
          <w:p w14:paraId="67F835F6" w14:textId="5A1B25DD" w:rsidR="006F014F" w:rsidRPr="002E777D" w:rsidRDefault="006F014F" w:rsidP="002E777D">
            <w:pPr>
              <w:spacing w:after="0" w:line="259" w:lineRule="auto"/>
              <w:ind w:left="0" w:right="54" w:firstLine="0"/>
              <w:rPr>
                <w:rFonts w:ascii="Verdana" w:hAnsi="Verdana"/>
                <w:sz w:val="20"/>
                <w:szCs w:val="20"/>
              </w:rPr>
            </w:pPr>
            <w:r w:rsidRPr="002E777D">
              <w:rPr>
                <w:rFonts w:ascii="Verdana" w:hAnsi="Verdana"/>
                <w:sz w:val="20"/>
                <w:szCs w:val="20"/>
              </w:rPr>
              <w:t xml:space="preserve">5) </w:t>
            </w:r>
            <w:r w:rsidRPr="002E777D">
              <w:rPr>
                <w:rFonts w:ascii="Verdana" w:hAnsi="Verdana"/>
                <w:sz w:val="20"/>
                <w:szCs w:val="20"/>
                <w:u w:val="single"/>
              </w:rPr>
              <w:t>Ressursitootlikkus</w:t>
            </w:r>
            <w:r w:rsidR="002C750A" w:rsidRPr="002E777D">
              <w:rPr>
                <w:rFonts w:ascii="Verdana" w:hAnsi="Verdana"/>
                <w:sz w:val="20"/>
                <w:szCs w:val="20"/>
              </w:rPr>
              <w:t xml:space="preserve"> </w:t>
            </w:r>
            <w:r w:rsidRPr="002E777D">
              <w:rPr>
                <w:rFonts w:ascii="Verdana" w:hAnsi="Verdana"/>
                <w:sz w:val="20"/>
                <w:szCs w:val="20"/>
              </w:rPr>
              <w:t xml:space="preserve">– saadud majanduslik tulu eurodes ühe kilogrammi materjali kohta. Arendus võib olla seotud uute tehnoloogiate, kohalike ressursside, </w:t>
            </w:r>
            <w:proofErr w:type="spellStart"/>
            <w:r w:rsidRPr="002E777D">
              <w:rPr>
                <w:rFonts w:ascii="Verdana" w:hAnsi="Verdana"/>
                <w:sz w:val="20"/>
                <w:szCs w:val="20"/>
              </w:rPr>
              <w:t>bio</w:t>
            </w:r>
            <w:proofErr w:type="spellEnd"/>
            <w:r w:rsidRPr="002E777D">
              <w:rPr>
                <w:rFonts w:ascii="Verdana" w:hAnsi="Verdana"/>
                <w:sz w:val="20"/>
                <w:szCs w:val="20"/>
              </w:rPr>
              <w:t>- ja ringmajanduse ning keskkonnasõbralike toodete ja materjalide arendamise, jäätmetekke vähendamise või kasvuhoonegaaside heitkoguste vähendamisega.</w:t>
            </w:r>
          </w:p>
        </w:tc>
        <w:tc>
          <w:tcPr>
            <w:tcW w:w="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3B0804" w14:textId="2BEFDF84" w:rsidR="00E23035" w:rsidRPr="002E777D" w:rsidRDefault="006F014F" w:rsidP="002E777D">
            <w:pPr>
              <w:spacing w:after="0" w:line="259" w:lineRule="auto"/>
              <w:ind w:left="45" w:firstLine="0"/>
              <w:rPr>
                <w:rFonts w:ascii="Verdana" w:hAnsi="Verdana"/>
                <w:sz w:val="20"/>
                <w:szCs w:val="20"/>
              </w:rPr>
            </w:pPr>
            <w:r w:rsidRPr="002E777D">
              <w:rPr>
                <w:rFonts w:ascii="Verdana" w:hAnsi="Verdana"/>
                <w:b/>
                <w:sz w:val="20"/>
                <w:szCs w:val="20"/>
              </w:rPr>
              <w:t>5</w:t>
            </w:r>
            <w:r w:rsidR="00E23035" w:rsidRPr="002E777D">
              <w:rPr>
                <w:rFonts w:ascii="Verdana" w:hAnsi="Verdana"/>
                <w:b/>
                <w:sz w:val="20"/>
                <w:szCs w:val="20"/>
              </w:rPr>
              <w:t xml:space="preserve">% </w:t>
            </w:r>
          </w:p>
        </w:tc>
      </w:tr>
      <w:tr w:rsidR="00E23035" w:rsidRPr="002E777D" w14:paraId="5207C7D3" w14:textId="77777777" w:rsidTr="000147D2">
        <w:tblPrEx>
          <w:tblCellMar>
            <w:top w:w="7" w:type="dxa"/>
            <w:right w:w="15" w:type="dxa"/>
          </w:tblCellMar>
        </w:tblPrEx>
        <w:trPr>
          <w:trHeight w:val="298"/>
        </w:trPr>
        <w:tc>
          <w:tcPr>
            <w:tcW w:w="561" w:type="dxa"/>
            <w:tcBorders>
              <w:top w:val="single" w:sz="4" w:space="0" w:color="000000"/>
              <w:left w:val="single" w:sz="4" w:space="0" w:color="000000"/>
              <w:bottom w:val="single" w:sz="4" w:space="0" w:color="000000"/>
              <w:right w:val="single" w:sz="4" w:space="0" w:color="000000"/>
            </w:tcBorders>
            <w:vAlign w:val="center"/>
          </w:tcPr>
          <w:p w14:paraId="21F4D66B" w14:textId="77777777" w:rsidR="00E23035" w:rsidRPr="002E777D" w:rsidRDefault="00E23035" w:rsidP="002E777D">
            <w:pPr>
              <w:spacing w:after="0" w:line="259" w:lineRule="auto"/>
              <w:ind w:left="0" w:right="61" w:firstLine="0"/>
              <w:jc w:val="center"/>
              <w:rPr>
                <w:rFonts w:ascii="Verdana" w:hAnsi="Verdana"/>
                <w:sz w:val="20"/>
                <w:szCs w:val="20"/>
              </w:rPr>
            </w:pPr>
            <w:r w:rsidRPr="002E777D">
              <w:rPr>
                <w:rFonts w:ascii="Verdana" w:hAnsi="Verdana"/>
                <w:sz w:val="20"/>
                <w:szCs w:val="20"/>
              </w:rPr>
              <w:t>4</w:t>
            </w:r>
          </w:p>
        </w:tc>
        <w:tc>
          <w:tcPr>
            <w:tcW w:w="9068" w:type="dxa"/>
            <w:gridSpan w:val="2"/>
            <w:tcBorders>
              <w:top w:val="single" w:sz="4" w:space="0" w:color="000000"/>
              <w:left w:val="single" w:sz="4" w:space="0" w:color="000000"/>
              <w:bottom w:val="single" w:sz="4" w:space="0" w:color="000000"/>
              <w:right w:val="single" w:sz="4" w:space="0" w:color="000000"/>
            </w:tcBorders>
          </w:tcPr>
          <w:p w14:paraId="48D2976B" w14:textId="444D8E59" w:rsidR="00E23035" w:rsidRPr="002E777D" w:rsidRDefault="00D30180" w:rsidP="002E777D">
            <w:pPr>
              <w:spacing w:after="0" w:line="259" w:lineRule="auto"/>
              <w:ind w:left="0" w:right="55" w:firstLine="0"/>
              <w:rPr>
                <w:rFonts w:ascii="Verdana" w:hAnsi="Verdana"/>
                <w:sz w:val="20"/>
                <w:szCs w:val="20"/>
              </w:rPr>
            </w:pPr>
            <w:r w:rsidRPr="002E777D">
              <w:rPr>
                <w:rFonts w:ascii="Verdana" w:hAnsi="Verdana"/>
                <w:sz w:val="20"/>
                <w:szCs w:val="20"/>
              </w:rPr>
              <w:t>Projekt panustab kahte või enamasse strateegia Eesti 2035 näitajasse.</w:t>
            </w:r>
          </w:p>
        </w:tc>
      </w:tr>
      <w:tr w:rsidR="00E23035" w:rsidRPr="002E777D" w14:paraId="1ECA6B88" w14:textId="77777777" w:rsidTr="000147D2">
        <w:tblPrEx>
          <w:tblCellMar>
            <w:top w:w="7" w:type="dxa"/>
            <w:right w:w="15" w:type="dxa"/>
          </w:tblCellMar>
        </w:tblPrEx>
        <w:trPr>
          <w:trHeight w:val="284"/>
        </w:trPr>
        <w:tc>
          <w:tcPr>
            <w:tcW w:w="561" w:type="dxa"/>
            <w:tcBorders>
              <w:top w:val="single" w:sz="4" w:space="0" w:color="000000"/>
              <w:left w:val="single" w:sz="4" w:space="0" w:color="000000"/>
              <w:bottom w:val="single" w:sz="4" w:space="0" w:color="000000"/>
              <w:right w:val="single" w:sz="4" w:space="0" w:color="000000"/>
            </w:tcBorders>
          </w:tcPr>
          <w:p w14:paraId="0F89CF55" w14:textId="77777777" w:rsidR="00E23035" w:rsidRPr="002E777D" w:rsidRDefault="00E23035" w:rsidP="002E777D">
            <w:pPr>
              <w:spacing w:after="0" w:line="259" w:lineRule="auto"/>
              <w:ind w:left="0" w:right="61" w:firstLine="0"/>
              <w:jc w:val="center"/>
              <w:rPr>
                <w:rFonts w:ascii="Verdana" w:hAnsi="Verdana"/>
                <w:sz w:val="20"/>
                <w:szCs w:val="20"/>
              </w:rPr>
            </w:pPr>
            <w:r w:rsidRPr="002E777D">
              <w:rPr>
                <w:rFonts w:ascii="Verdana" w:hAnsi="Verdana"/>
                <w:sz w:val="20"/>
                <w:szCs w:val="20"/>
              </w:rPr>
              <w:t>3</w:t>
            </w:r>
          </w:p>
        </w:tc>
        <w:tc>
          <w:tcPr>
            <w:tcW w:w="9068" w:type="dxa"/>
            <w:gridSpan w:val="2"/>
            <w:tcBorders>
              <w:top w:val="single" w:sz="4" w:space="0" w:color="000000"/>
              <w:left w:val="single" w:sz="4" w:space="0" w:color="000000"/>
              <w:bottom w:val="single" w:sz="4" w:space="0" w:color="000000"/>
              <w:right w:val="single" w:sz="4" w:space="0" w:color="000000"/>
            </w:tcBorders>
          </w:tcPr>
          <w:p w14:paraId="34E3B603" w14:textId="77777777" w:rsidR="00E23035" w:rsidRPr="002E777D" w:rsidRDefault="00E23035" w:rsidP="002E777D">
            <w:pPr>
              <w:spacing w:after="0" w:line="259" w:lineRule="auto"/>
              <w:ind w:left="0" w:firstLine="0"/>
              <w:jc w:val="left"/>
              <w:rPr>
                <w:rFonts w:ascii="Verdana" w:hAnsi="Verdana"/>
                <w:sz w:val="20"/>
                <w:szCs w:val="20"/>
              </w:rPr>
            </w:pPr>
            <w:r w:rsidRPr="002E777D">
              <w:rPr>
                <w:rFonts w:ascii="Verdana" w:hAnsi="Verdana"/>
                <w:sz w:val="20"/>
                <w:szCs w:val="20"/>
              </w:rPr>
              <w:t xml:space="preserve">Vahepealne hinnang </w:t>
            </w:r>
          </w:p>
        </w:tc>
      </w:tr>
      <w:tr w:rsidR="00E23035" w:rsidRPr="002E777D" w14:paraId="7837C3DE" w14:textId="77777777" w:rsidTr="000147D2">
        <w:tblPrEx>
          <w:tblCellMar>
            <w:top w:w="7" w:type="dxa"/>
            <w:right w:w="15" w:type="dxa"/>
          </w:tblCellMar>
        </w:tblPrEx>
        <w:trPr>
          <w:trHeight w:val="284"/>
        </w:trPr>
        <w:tc>
          <w:tcPr>
            <w:tcW w:w="561" w:type="dxa"/>
            <w:tcBorders>
              <w:top w:val="single" w:sz="4" w:space="0" w:color="000000"/>
              <w:left w:val="single" w:sz="4" w:space="0" w:color="000000"/>
              <w:bottom w:val="single" w:sz="4" w:space="0" w:color="000000"/>
              <w:right w:val="single" w:sz="4" w:space="0" w:color="000000"/>
            </w:tcBorders>
            <w:vAlign w:val="center"/>
          </w:tcPr>
          <w:p w14:paraId="568BFD19" w14:textId="77777777" w:rsidR="00E23035" w:rsidRPr="002E777D" w:rsidRDefault="00E23035" w:rsidP="002E777D">
            <w:pPr>
              <w:spacing w:after="0" w:line="259" w:lineRule="auto"/>
              <w:ind w:left="0" w:right="61" w:firstLine="0"/>
              <w:jc w:val="center"/>
              <w:rPr>
                <w:rFonts w:ascii="Verdana" w:hAnsi="Verdana"/>
                <w:sz w:val="20"/>
                <w:szCs w:val="20"/>
              </w:rPr>
            </w:pPr>
            <w:r w:rsidRPr="002E777D">
              <w:rPr>
                <w:rFonts w:ascii="Verdana" w:hAnsi="Verdana"/>
                <w:sz w:val="20"/>
                <w:szCs w:val="20"/>
              </w:rPr>
              <w:t>2</w:t>
            </w:r>
          </w:p>
        </w:tc>
        <w:tc>
          <w:tcPr>
            <w:tcW w:w="9068" w:type="dxa"/>
            <w:gridSpan w:val="2"/>
            <w:tcBorders>
              <w:top w:val="single" w:sz="4" w:space="0" w:color="000000"/>
              <w:left w:val="single" w:sz="4" w:space="0" w:color="000000"/>
              <w:bottom w:val="single" w:sz="4" w:space="0" w:color="000000"/>
              <w:right w:val="single" w:sz="4" w:space="0" w:color="000000"/>
            </w:tcBorders>
          </w:tcPr>
          <w:p w14:paraId="537986DE" w14:textId="375902D6" w:rsidR="00E23035" w:rsidRPr="002E777D" w:rsidRDefault="00D30180" w:rsidP="002E777D">
            <w:pPr>
              <w:spacing w:after="0" w:line="259" w:lineRule="auto"/>
              <w:ind w:left="0" w:firstLine="0"/>
              <w:rPr>
                <w:rFonts w:ascii="Verdana" w:hAnsi="Verdana"/>
                <w:sz w:val="20"/>
                <w:szCs w:val="20"/>
              </w:rPr>
            </w:pPr>
            <w:r w:rsidRPr="002E777D">
              <w:rPr>
                <w:rFonts w:ascii="Verdana" w:hAnsi="Verdana"/>
                <w:sz w:val="20"/>
                <w:szCs w:val="20"/>
              </w:rPr>
              <w:t>Projekt panustab vähemalt ühte strateegia Eesti 2035 näitajasse.</w:t>
            </w:r>
          </w:p>
        </w:tc>
      </w:tr>
      <w:tr w:rsidR="00E23035" w:rsidRPr="002E777D" w14:paraId="32C7BA98" w14:textId="77777777" w:rsidTr="000147D2">
        <w:tblPrEx>
          <w:tblCellMar>
            <w:top w:w="7" w:type="dxa"/>
            <w:right w:w="15" w:type="dxa"/>
          </w:tblCellMar>
        </w:tblPrEx>
        <w:trPr>
          <w:trHeight w:val="284"/>
        </w:trPr>
        <w:tc>
          <w:tcPr>
            <w:tcW w:w="561" w:type="dxa"/>
            <w:tcBorders>
              <w:top w:val="single" w:sz="4" w:space="0" w:color="000000"/>
              <w:left w:val="single" w:sz="4" w:space="0" w:color="000000"/>
              <w:bottom w:val="single" w:sz="4" w:space="0" w:color="000000"/>
              <w:right w:val="single" w:sz="4" w:space="0" w:color="000000"/>
            </w:tcBorders>
          </w:tcPr>
          <w:p w14:paraId="0E6217F5" w14:textId="77777777" w:rsidR="00E23035" w:rsidRPr="002E777D" w:rsidRDefault="00E23035" w:rsidP="002E777D">
            <w:pPr>
              <w:spacing w:after="0" w:line="259" w:lineRule="auto"/>
              <w:ind w:left="0" w:right="61" w:firstLine="0"/>
              <w:jc w:val="center"/>
              <w:rPr>
                <w:rFonts w:ascii="Verdana" w:hAnsi="Verdana"/>
                <w:sz w:val="20"/>
                <w:szCs w:val="20"/>
              </w:rPr>
            </w:pPr>
            <w:r w:rsidRPr="002E777D">
              <w:rPr>
                <w:rFonts w:ascii="Verdana" w:hAnsi="Verdana"/>
                <w:sz w:val="20"/>
                <w:szCs w:val="20"/>
              </w:rPr>
              <w:t>1</w:t>
            </w:r>
          </w:p>
        </w:tc>
        <w:tc>
          <w:tcPr>
            <w:tcW w:w="9068" w:type="dxa"/>
            <w:gridSpan w:val="2"/>
            <w:tcBorders>
              <w:top w:val="single" w:sz="4" w:space="0" w:color="000000"/>
              <w:left w:val="single" w:sz="4" w:space="0" w:color="000000"/>
              <w:bottom w:val="single" w:sz="4" w:space="0" w:color="000000"/>
              <w:right w:val="single" w:sz="4" w:space="0" w:color="000000"/>
            </w:tcBorders>
          </w:tcPr>
          <w:p w14:paraId="643DD2AA" w14:textId="77777777" w:rsidR="00E23035" w:rsidRPr="002E777D" w:rsidRDefault="00E23035" w:rsidP="002E777D">
            <w:pPr>
              <w:spacing w:after="0" w:line="259" w:lineRule="auto"/>
              <w:ind w:left="0" w:firstLine="0"/>
              <w:jc w:val="left"/>
              <w:rPr>
                <w:rFonts w:ascii="Verdana" w:hAnsi="Verdana"/>
                <w:sz w:val="20"/>
                <w:szCs w:val="20"/>
              </w:rPr>
            </w:pPr>
            <w:r w:rsidRPr="002E777D">
              <w:rPr>
                <w:rFonts w:ascii="Verdana" w:hAnsi="Verdana"/>
                <w:sz w:val="20"/>
                <w:szCs w:val="20"/>
              </w:rPr>
              <w:t xml:space="preserve">Vahepealne hinnang </w:t>
            </w:r>
          </w:p>
        </w:tc>
      </w:tr>
      <w:tr w:rsidR="00E23035" w:rsidRPr="002C750A" w14:paraId="54AB160F" w14:textId="77777777" w:rsidTr="000147D2">
        <w:tblPrEx>
          <w:tblCellMar>
            <w:top w:w="7" w:type="dxa"/>
            <w:right w:w="15" w:type="dxa"/>
          </w:tblCellMar>
        </w:tblPrEx>
        <w:trPr>
          <w:trHeight w:val="284"/>
        </w:trPr>
        <w:tc>
          <w:tcPr>
            <w:tcW w:w="561" w:type="dxa"/>
            <w:tcBorders>
              <w:top w:val="single" w:sz="4" w:space="0" w:color="000000"/>
              <w:left w:val="single" w:sz="4" w:space="0" w:color="000000"/>
              <w:bottom w:val="single" w:sz="4" w:space="0" w:color="000000"/>
              <w:right w:val="single" w:sz="4" w:space="0" w:color="000000"/>
            </w:tcBorders>
            <w:vAlign w:val="center"/>
          </w:tcPr>
          <w:p w14:paraId="334E3635" w14:textId="77777777" w:rsidR="00E23035" w:rsidRPr="002E777D" w:rsidRDefault="00E23035" w:rsidP="002E777D">
            <w:pPr>
              <w:spacing w:after="0" w:line="259" w:lineRule="auto"/>
              <w:ind w:left="0" w:right="61" w:firstLine="0"/>
              <w:jc w:val="center"/>
              <w:rPr>
                <w:rFonts w:ascii="Verdana" w:hAnsi="Verdana"/>
                <w:sz w:val="20"/>
                <w:szCs w:val="20"/>
              </w:rPr>
            </w:pPr>
            <w:r w:rsidRPr="002E777D">
              <w:rPr>
                <w:rFonts w:ascii="Verdana" w:hAnsi="Verdana"/>
                <w:sz w:val="20"/>
                <w:szCs w:val="20"/>
              </w:rPr>
              <w:t>0</w:t>
            </w:r>
          </w:p>
        </w:tc>
        <w:tc>
          <w:tcPr>
            <w:tcW w:w="9068" w:type="dxa"/>
            <w:gridSpan w:val="2"/>
            <w:tcBorders>
              <w:top w:val="single" w:sz="4" w:space="0" w:color="000000"/>
              <w:left w:val="single" w:sz="4" w:space="0" w:color="000000"/>
              <w:bottom w:val="single" w:sz="4" w:space="0" w:color="000000"/>
              <w:right w:val="single" w:sz="4" w:space="0" w:color="000000"/>
            </w:tcBorders>
          </w:tcPr>
          <w:p w14:paraId="5A8252B0" w14:textId="4169CE7D" w:rsidR="00E23035" w:rsidRPr="002C750A" w:rsidRDefault="00D30180" w:rsidP="002E777D">
            <w:pPr>
              <w:spacing w:after="0" w:line="259" w:lineRule="auto"/>
              <w:ind w:left="0" w:right="56" w:firstLine="0"/>
              <w:rPr>
                <w:rFonts w:ascii="Verdana" w:hAnsi="Verdana"/>
                <w:sz w:val="20"/>
                <w:szCs w:val="20"/>
              </w:rPr>
            </w:pPr>
            <w:r w:rsidRPr="002E777D">
              <w:rPr>
                <w:rFonts w:ascii="Verdana" w:hAnsi="Verdana"/>
                <w:sz w:val="20"/>
                <w:szCs w:val="20"/>
              </w:rPr>
              <w:t xml:space="preserve">Projekt </w:t>
            </w:r>
            <w:r w:rsidR="00D408E8" w:rsidRPr="002E777D">
              <w:rPr>
                <w:rFonts w:ascii="Verdana" w:hAnsi="Verdana"/>
                <w:sz w:val="20"/>
                <w:szCs w:val="20"/>
              </w:rPr>
              <w:t xml:space="preserve">ei </w:t>
            </w:r>
            <w:r w:rsidRPr="002E777D">
              <w:rPr>
                <w:rFonts w:ascii="Verdana" w:hAnsi="Verdana"/>
                <w:sz w:val="20"/>
                <w:szCs w:val="20"/>
              </w:rPr>
              <w:t>panust</w:t>
            </w:r>
            <w:r w:rsidR="009C76B8" w:rsidRPr="002E777D">
              <w:rPr>
                <w:rFonts w:ascii="Verdana" w:hAnsi="Verdana"/>
                <w:sz w:val="20"/>
                <w:szCs w:val="20"/>
              </w:rPr>
              <w:t>a</w:t>
            </w:r>
            <w:r w:rsidRPr="002E777D">
              <w:rPr>
                <w:rFonts w:ascii="Verdana" w:hAnsi="Verdana"/>
                <w:sz w:val="20"/>
                <w:szCs w:val="20"/>
              </w:rPr>
              <w:t xml:space="preserve"> strateegia Eesti 2035 näitajasse.</w:t>
            </w:r>
          </w:p>
        </w:tc>
      </w:tr>
    </w:tbl>
    <w:p w14:paraId="427A1B69" w14:textId="77777777" w:rsidR="00E23035" w:rsidRPr="002C750A" w:rsidRDefault="00E23035" w:rsidP="002E777D">
      <w:pPr>
        <w:spacing w:after="0" w:line="259" w:lineRule="auto"/>
        <w:ind w:left="0" w:firstLine="0"/>
        <w:rPr>
          <w:rFonts w:ascii="Verdana" w:hAnsi="Verdana"/>
          <w:sz w:val="20"/>
          <w:szCs w:val="20"/>
        </w:rPr>
      </w:pPr>
    </w:p>
    <w:p w14:paraId="1DCBC94E" w14:textId="7EEFE30B" w:rsidR="00D54AC3" w:rsidRPr="002C750A" w:rsidRDefault="00D54AC3" w:rsidP="002E777D">
      <w:pPr>
        <w:spacing w:after="0" w:line="259" w:lineRule="auto"/>
        <w:ind w:left="0" w:firstLine="0"/>
        <w:rPr>
          <w:rFonts w:ascii="Verdana" w:hAnsi="Verdana"/>
          <w:sz w:val="20"/>
          <w:szCs w:val="20"/>
        </w:rPr>
      </w:pPr>
    </w:p>
    <w:sectPr w:rsidR="00D54AC3" w:rsidRPr="002C750A" w:rsidSect="002C750A">
      <w:pgSz w:w="11905" w:h="16840"/>
      <w:pgMar w:top="709" w:right="1411" w:bottom="70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F71E2"/>
    <w:multiLevelType w:val="multilevel"/>
    <w:tmpl w:val="23EA231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8296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AC3"/>
    <w:rsid w:val="000147D2"/>
    <w:rsid w:val="00015BF6"/>
    <w:rsid w:val="000E15AE"/>
    <w:rsid w:val="00126FCF"/>
    <w:rsid w:val="001A3B3C"/>
    <w:rsid w:val="00242FB7"/>
    <w:rsid w:val="002C750A"/>
    <w:rsid w:val="002E777D"/>
    <w:rsid w:val="003459F7"/>
    <w:rsid w:val="003B0633"/>
    <w:rsid w:val="00424523"/>
    <w:rsid w:val="00462986"/>
    <w:rsid w:val="0048196C"/>
    <w:rsid w:val="004A6B87"/>
    <w:rsid w:val="005004F3"/>
    <w:rsid w:val="00527B40"/>
    <w:rsid w:val="00567D1F"/>
    <w:rsid w:val="005D72F9"/>
    <w:rsid w:val="00652A12"/>
    <w:rsid w:val="006771AE"/>
    <w:rsid w:val="006F014F"/>
    <w:rsid w:val="00701B93"/>
    <w:rsid w:val="0078271F"/>
    <w:rsid w:val="00787310"/>
    <w:rsid w:val="007A18ED"/>
    <w:rsid w:val="007D78B2"/>
    <w:rsid w:val="00815381"/>
    <w:rsid w:val="0088290A"/>
    <w:rsid w:val="008D19EB"/>
    <w:rsid w:val="008D4D4B"/>
    <w:rsid w:val="00913027"/>
    <w:rsid w:val="009C76B8"/>
    <w:rsid w:val="00A20640"/>
    <w:rsid w:val="00A269C0"/>
    <w:rsid w:val="00A305D8"/>
    <w:rsid w:val="00B1297E"/>
    <w:rsid w:val="00B7620D"/>
    <w:rsid w:val="00C0403C"/>
    <w:rsid w:val="00C15800"/>
    <w:rsid w:val="00D30180"/>
    <w:rsid w:val="00D408E8"/>
    <w:rsid w:val="00D441A2"/>
    <w:rsid w:val="00D54AC3"/>
    <w:rsid w:val="00D61808"/>
    <w:rsid w:val="00D65739"/>
    <w:rsid w:val="00E23035"/>
    <w:rsid w:val="00E40AEB"/>
    <w:rsid w:val="00F764B6"/>
    <w:rsid w:val="07FBDED3"/>
    <w:rsid w:val="1EB468B8"/>
    <w:rsid w:val="22194BD6"/>
    <w:rsid w:val="24EFD45D"/>
    <w:rsid w:val="382617E1"/>
    <w:rsid w:val="4A187D28"/>
    <w:rsid w:val="52504688"/>
    <w:rsid w:val="5B5E99F7"/>
    <w:rsid w:val="6D0DC3F3"/>
    <w:rsid w:val="76A6388B"/>
    <w:rsid w:val="78BDF8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ACF4"/>
  <w15:docId w15:val="{0739F385-E66D-43F0-9EDA-4BD63BD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0" w:lineRule="auto"/>
      <w:ind w:left="576" w:hanging="576"/>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6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66d5aa-a8ed-48b4-b035-c78780a57260" xsi:nil="true"/>
    <Tooteomanik xmlns="4d2e130e-4030-47bf-ad05-28e6533ff729" xsi:nil="true"/>
    <lcf76f155ced4ddcb4097134ff3c332f xmlns="4d2e130e-4030-47bf-ad05-28e6533ff7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8025BF7C286478A9BCF93A5BA26FF" ma:contentTypeVersion="18" ma:contentTypeDescription="Create a new document." ma:contentTypeScope="" ma:versionID="d6ec1a7dd34c9243bf560c7c68dd0b20">
  <xsd:schema xmlns:xsd="http://www.w3.org/2001/XMLSchema" xmlns:xs="http://www.w3.org/2001/XMLSchema" xmlns:p="http://schemas.microsoft.com/office/2006/metadata/properties" xmlns:ns2="4d2e130e-4030-47bf-ad05-28e6533ff729" xmlns:ns3="0966d5aa-a8ed-48b4-b035-c78780a57260" targetNamespace="http://schemas.microsoft.com/office/2006/metadata/properties" ma:root="true" ma:fieldsID="75f489508bbb09eb6b2f37aaf57cfc03" ns2:_="" ns3:_="">
    <xsd:import namespace="4d2e130e-4030-47bf-ad05-28e6533ff729"/>
    <xsd:import namespace="0966d5aa-a8ed-48b4-b035-c78780a572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Tooteoman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130e-4030-47bf-ad05-28e6533ff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e437df-4f94-43c5-a0b4-cf172a2ef4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Tooteomanik" ma:index="24" nillable="true" ma:displayName="Omanik" ma:format="Dropdown" ma:internalName="Tooteomanik">
      <xsd:simpleType>
        <xsd:restriction base="dms:Choice">
          <xsd:enumeration value="Kristiina Niilits"/>
          <xsd:enumeration value="Anari Lilleoja"/>
          <xsd:enumeration value="Marge Veeranna"/>
          <xsd:enumeration value="Alice Liblik"/>
          <xsd:enumeration value="Maris Lehtpuu"/>
          <xsd:enumeration value="Erki Varbola"/>
          <xsd:enumeration value="Kadrin Randpuu"/>
          <xsd:enumeration value="Gerly Põder"/>
          <xsd:enumeration value="Kätlin Tuvi"/>
          <xsd:enumeration value="Merit Tints"/>
          <xsd:enumeration value="Katrin Pööra"/>
          <xsd:enumeration value="Carmen Raudsepp"/>
          <xsd:enumeration value="Erki varbola"/>
          <xsd:enumeration value="Puudub/Üldine"/>
        </xsd:restriction>
      </xsd:simpleType>
    </xsd:element>
  </xsd:schema>
  <xsd:schema xmlns:xsd="http://www.w3.org/2001/XMLSchema" xmlns:xs="http://www.w3.org/2001/XMLSchema" xmlns:dms="http://schemas.microsoft.com/office/2006/documentManagement/types" xmlns:pc="http://schemas.microsoft.com/office/infopath/2007/PartnerControls" targetNamespace="0966d5aa-a8ed-48b4-b035-c78780a572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9f0371-3995-4fbc-9d01-f8d6f3e04a7e}" ma:internalName="TaxCatchAll" ma:showField="CatchAllData" ma:web="0966d5aa-a8ed-48b4-b035-c78780a572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FA0CB-BBD5-40CC-8BF0-9E725E828AF1}">
  <ds:schemaRefs>
    <ds:schemaRef ds:uri="http://schemas.microsoft.com/office/2006/metadata/properties"/>
    <ds:schemaRef ds:uri="http://schemas.microsoft.com/office/infopath/2007/PartnerControls"/>
    <ds:schemaRef ds:uri="0966d5aa-a8ed-48b4-b035-c78780a57260"/>
    <ds:schemaRef ds:uri="4d2e130e-4030-47bf-ad05-28e6533ff729"/>
  </ds:schemaRefs>
</ds:datastoreItem>
</file>

<file path=customXml/itemProps2.xml><?xml version="1.0" encoding="utf-8"?>
<ds:datastoreItem xmlns:ds="http://schemas.openxmlformats.org/officeDocument/2006/customXml" ds:itemID="{589D26F2-C61C-4819-90BC-E4C9AA797316}">
  <ds:schemaRefs>
    <ds:schemaRef ds:uri="http://schemas.microsoft.com/sharepoint/v3/contenttype/forms"/>
  </ds:schemaRefs>
</ds:datastoreItem>
</file>

<file path=customXml/itemProps3.xml><?xml version="1.0" encoding="utf-8"?>
<ds:datastoreItem xmlns:ds="http://schemas.openxmlformats.org/officeDocument/2006/customXml" ds:itemID="{198DA5C1-FC07-4245-84BA-7A170FE9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130e-4030-47bf-ad05-28e6533ff729"/>
    <ds:schemaRef ds:uri="0966d5aa-a8ed-48b4-b035-c78780a57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1711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Arendusosaku hindamismetoodika - ver 1</vt:lpstr>
    </vt:vector>
  </TitlesOfParts>
  <Company>EAS</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Arendusosaku hindamismetoodika - ver 1</dc:title>
  <dc:subject/>
  <dc:creator>Customer</dc:creator>
  <cp:keywords/>
  <cp:lastModifiedBy>Carmen Raudsepp</cp:lastModifiedBy>
  <cp:revision>2</cp:revision>
  <dcterms:created xsi:type="dcterms:W3CDTF">2025-10-27T10:47:00Z</dcterms:created>
  <dcterms:modified xsi:type="dcterms:W3CDTF">2025-10-27T10:47:00Z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070b25-3e51-4c49-94ac-1c89225a19f8_Enabled">
    <vt:lpwstr>true</vt:lpwstr>
  </property>
  <property fmtid="{D5CDD505-2E9C-101B-9397-08002B2CF9AE}" pid="3" name="MSIP_Label_64070b25-3e51-4c49-94ac-1c89225a19f8_SetDate">
    <vt:lpwstr>2023-02-15T15:57:53Z</vt:lpwstr>
  </property>
  <property fmtid="{D5CDD505-2E9C-101B-9397-08002B2CF9AE}" pid="4" name="MSIP_Label_64070b25-3e51-4c49-94ac-1c89225a19f8_Method">
    <vt:lpwstr>Standard</vt:lpwstr>
  </property>
  <property fmtid="{D5CDD505-2E9C-101B-9397-08002B2CF9AE}" pid="5" name="MSIP_Label_64070b25-3e51-4c49-94ac-1c89225a19f8_Name">
    <vt:lpwstr>defa4170-0d19-0005-0004-bc88714345d2</vt:lpwstr>
  </property>
  <property fmtid="{D5CDD505-2E9C-101B-9397-08002B2CF9AE}" pid="6" name="MSIP_Label_64070b25-3e51-4c49-94ac-1c89225a19f8_SiteId">
    <vt:lpwstr>3c88e4d0-0f16-4fc9-9c9d-e75d2f2a6adc</vt:lpwstr>
  </property>
  <property fmtid="{D5CDD505-2E9C-101B-9397-08002B2CF9AE}" pid="7" name="MSIP_Label_64070b25-3e51-4c49-94ac-1c89225a19f8_ActionId">
    <vt:lpwstr>002cb266-2fb4-4083-80e3-e7fa5d03cf21</vt:lpwstr>
  </property>
  <property fmtid="{D5CDD505-2E9C-101B-9397-08002B2CF9AE}" pid="8" name="MSIP_Label_64070b25-3e51-4c49-94ac-1c89225a19f8_ContentBits">
    <vt:lpwstr>0</vt:lpwstr>
  </property>
  <property fmtid="{D5CDD505-2E9C-101B-9397-08002B2CF9AE}" pid="9" name="ContentTypeId">
    <vt:lpwstr>0x010100E048025BF7C286478A9BCF93A5BA26FF</vt:lpwstr>
  </property>
  <property fmtid="{D5CDD505-2E9C-101B-9397-08002B2CF9AE}" pid="10" name="Osakond">
    <vt:lpwstr>26;#Toetuste osakond|f6aa6ec7-40ef-497a-9773-31c330b0b78c</vt:lpwstr>
  </property>
  <property fmtid="{D5CDD505-2E9C-101B-9397-08002B2CF9AE}" pid="11" name="Märksõnad">
    <vt:lpwstr/>
  </property>
  <property fmtid="{D5CDD505-2E9C-101B-9397-08002B2CF9AE}" pid="12" name="M_x00e4_rks_x00f5_nad">
    <vt:lpwstr/>
  </property>
  <property fmtid="{D5CDD505-2E9C-101B-9397-08002B2CF9AE}" pid="13" name="_ExtendedDescription">
    <vt:lpwstr/>
  </property>
  <property fmtid="{D5CDD505-2E9C-101B-9397-08002B2CF9AE}" pid="14" name="Order">
    <vt:r8>250400</vt:r8>
  </property>
  <property fmtid="{D5CDD505-2E9C-101B-9397-08002B2CF9AE}" pid="15" name="Ver">
    <vt:r8>1</vt:r8>
  </property>
  <property fmtid="{D5CDD505-2E9C-101B-9397-08002B2CF9AE}" pid="16" name="xd_Signature">
    <vt:bool>false</vt:bool>
  </property>
  <property fmtid="{D5CDD505-2E9C-101B-9397-08002B2CF9AE}" pid="17" name="Meetme tüüp">
    <vt:lpwstr>Toetus</vt:lpwstr>
  </property>
  <property fmtid="{D5CDD505-2E9C-101B-9397-08002B2CF9AE}" pid="18" name="Etapp">
    <vt:lpwstr>01 - Taotlemine</vt:lpwstr>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Teenuseomanik">
    <vt:lpwstr>147;#Carmen Raudsepp</vt:lpwstr>
  </property>
  <property fmtid="{D5CDD505-2E9C-101B-9397-08002B2CF9AE}" pid="23" name="o3cc690b0abc4fb6aaa7547d6f7ed3ce">
    <vt:lpwstr>Toetuste osakond|f6aa6ec7-40ef-497a-9773-31c330b0b78c</vt:lpwstr>
  </property>
  <property fmtid="{D5CDD505-2E9C-101B-9397-08002B2CF9AE}" pid="24" name="Periood">
    <vt:lpwstr>2021-2027</vt:lpwstr>
  </property>
  <property fmtid="{D5CDD505-2E9C-101B-9397-08002B2CF9AE}" pid="25" name="Valdkond">
    <vt:lpwstr>Tootearendus ja innovatsioon</vt:lpwstr>
  </property>
  <property fmtid="{D5CDD505-2E9C-101B-9397-08002B2CF9AE}" pid="26" name="ComplianceAssetId">
    <vt:lpwstr/>
  </property>
  <property fmtid="{D5CDD505-2E9C-101B-9397-08002B2CF9AE}" pid="27" name="TemplateUrl">
    <vt:lpwstr/>
  </property>
  <property fmtid="{D5CDD505-2E9C-101B-9397-08002B2CF9AE}" pid="28" name="Teenusevaldkond">
    <vt:lpwstr>Tootearendus ja innovatsioon</vt:lpwstr>
  </property>
  <property fmtid="{D5CDD505-2E9C-101B-9397-08002B2CF9AE}" pid="29" name="Kehtiv">
    <vt:bool>true</vt:bool>
  </property>
  <property fmtid="{D5CDD505-2E9C-101B-9397-08002B2CF9AE}" pid="30" name="Kord">
    <vt:lpwstr>Ida-Viru väike- ja keskmise suurusega ettevõtjate investeeringute toetus</vt:lpwstr>
  </property>
  <property fmtid="{D5CDD505-2E9C-101B-9397-08002B2CF9AE}" pid="31" name="TriggerFlowInfo">
    <vt:lpwstr/>
  </property>
  <property fmtid="{D5CDD505-2E9C-101B-9397-08002B2CF9AE}" pid="32" name="Otsuse link DHSi">
    <vt:lpwstr>https://dhs/active/Decisions/Forms/DispForm.aspx?ID=17121&amp;Source=https%3A%2F%2Fdhs%2Factive, https://dhs/active/Decisions/Forms/DispForm.aspx?ID=17121&amp;Source=https%3A%2F%2Fdhs%2Factive</vt:lpwstr>
  </property>
  <property fmtid="{D5CDD505-2E9C-101B-9397-08002B2CF9AE}" pid="33" name="MediaServiceImageTags">
    <vt:lpwstr/>
  </property>
</Properties>
</file>