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media/image2.bin" ContentType="image/pn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a2a6d4bb46b643ac" /><Relationship Type="http://schemas.openxmlformats.org/package/2006/relationships/metadata/core-properties" Target="/docProps/core.xml" Id="Rb3b6796bbd4b4129" /><Relationship Type="http://schemas.openxmlformats.org/officeDocument/2006/relationships/extended-properties" Target="/docProps/app.xml" Id="R5c0d492db865496f" /><Relationship Type="http://schemas.openxmlformats.org/officeDocument/2006/relationships/custom-properties" Target="/docProps/custom.xml" Id="R3e94d805196a4c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c7d06ae8b1344084"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22 June 2026</w:t>
                </w:r>
              </w:p>
              <w:p w:rsidRPr="00871A20" w:rsidR="003558E4" w:rsidP="00524601" w:rsidRDefault="003558E4" w14:paraId="072B0288" w14:textId="77777777">
                <w:pPr>
                  <w:pStyle w:val="TBNormalTechnicalBlock"/>
                  <w:rPr>
                    <w:bCs/>
                  </w:rPr>
                </w:pPr>
                <w:r w:rsidRPr="00E60683">
                  <w:rPr>
                    <w:bCs/>
                  </w:rPr>
                  <w:t xml:space="preserve">(OR. </w:t>
                </w:r>
                <w:r>
                  <w:rPr>
                    <w:bCs/>
                  </w:rPr>
                  <w:t xml:space="preserve">en, pl</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10961</w:t>
                </w:r>
                <w:r w:rsidRPr="00F65A71" w:rsidR="003558E4">
                  <w:rPr>
                    <w:bCs/>
                    <w:lang w:val="en-US"/>
                  </w:rPr>
                  <w:t>/</w:t>
                </w:r>
                <w:r>
                  <w:rPr>
                    <w:bCs/>
                    <w:lang w:val="en-US"/>
                  </w:rPr>
                  <w:t xml:space="preserve">26</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ENER 434</w:t>
                </w:r>
              </w:p>
              <w:p>
                <w:pPr>
                  <w:pStyle w:val="TBEntRefer"/>
                  <w:tabs>
                    <w:tab w:val="left" w:pos="2265"/>
                  </w:tabs>
                </w:pPr>
                <w:r>
                  <w:t xml:space="preserve">TRANS 445</w:t>
                </w:r>
              </w:p>
              <w:p>
                <w:pPr>
                  <w:pStyle w:val="TBEntRefer"/>
                  <w:tabs>
                    <w:tab w:val="left" w:pos="2265"/>
                  </w:tabs>
                </w:pPr>
                <w:r>
                  <w:t xml:space="preserve">RELEX 875</w:t>
                </w:r>
              </w:p>
              <w:p>
                <w:pPr>
                  <w:pStyle w:val="TBEntRefer"/>
                  <w:tabs>
                    <w:tab w:val="left" w:pos="2265"/>
                  </w:tabs>
                </w:pPr>
                <w:r>
                  <w:t xml:space="preserve">ECOFIN 883</w:t>
                </w:r>
              </w:p>
              <w:p>
                <w:pPr>
                  <w:pStyle w:val="TBEntRefer"/>
                  <w:tabs>
                    <w:tab w:val="left" w:pos="2265"/>
                  </w:tabs>
                </w:pPr>
                <w:r>
                  <w:t xml:space="preserve">ENV 803</w:t>
                </w:r>
              </w:p>
              <w:p>
                <w:pPr>
                  <w:pStyle w:val="TBEntRefer"/>
                  <w:tabs>
                    <w:tab w:val="left" w:pos="2265"/>
                  </w:tabs>
                </w:pPr>
                <w:r>
                  <w:t xml:space="preserve">CODEC 1281</w:t>
                </w:r>
              </w:p>
              <w:p>
                <w:pPr>
                  <w:pStyle w:val="TBEntRefer"/>
                  <w:tabs>
                    <w:tab w:val="left" w:pos="2265"/>
                  </w:tabs>
                </w:pPr>
                <w:r>
                  <w:t xml:space="preserve">INST 270</w:t>
                </w:r>
              </w:p>
              <w:p>
                <w:pPr>
                  <w:pStyle w:val="TBEntRefer"/>
                  <w:tabs>
                    <w:tab w:val="left" w:pos="2265"/>
                  </w:tabs>
                </w:pPr>
                <w:r>
                  <w:t xml:space="preserve">PARLNAT 144</w:t>
                </w:r>
              </w:p>
              <w:p w:rsidRPr="00073AB8" w:rsidR="003558E4" w:rsidP="00524601" w:rsidRDefault="00000000" w14:paraId="2553D168" w14:textId="77777777">
                <w:pPr>
                  <w:pStyle w:val="TBEntRefer"/>
                  <w:tabs>
                    <w:tab w:val="left" w:pos="2262"/>
                  </w:tabs>
                  <w:rPr>
                    <w:sz w:val="4"/>
                    <w:szCs w:val="4"/>
                  </w:rPr>
                </w:pPr>
              </w:p>
              <w:p w:rsidRPr="00AF13E4" w:rsidR="003558E4" w:rsidP="00524601" w:rsidRDefault="00000000" w14:paraId="1B9546D2" w14:textId="77777777">
                <w:pPr>
                  <w:pStyle w:val="TBDistrbMarkers"/>
                </w:pPr>
                <w:r>
                  <w:t xml:space="preserve">PARLNAT</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2025/0399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The Polish Senate </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18 June 2026</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The President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pPr>
                  <w:pStyle w:val="TBSubjectText"/>
                </w:pPr>
                <w:r>
                  <w:t xml:space="preserve">Proposal for a REGULATION OF THE EUROPEAN PARLIAMENT AND OF THE COUNCIL on guidelines for trans-European energy infrastructure, amending Regulations (EU) 2019/942, (EU) 2019/943 and (EU) 2024/1789 and repealing Regulation (EU) 2022/869</w:t>
                </w:r>
              </w:p>
              <w:p>
                <w:pPr>
                  <w:pStyle w:val="TBSubjectText"/>
                </w:pPr>
                <w:r>
                  <w:t xml:space="preserve">[doc. 16772/25 + ADD 1 - COM(2025)1006]</w:t>
                </w:r>
              </w:p>
              <w:p>
                <w:pPr>
                  <w:pStyle w:val="TBSubjectText"/>
                </w:pPr>
                <w:r>
                  <w:t xml:space="preserve">- Opinion on the application of the Principles of Subsidiarity and Proportionality</w:t>
                </w:r>
              </w:p>
            </w:tc>
          </w:tr>
        </w:tbl>
        <w:p w:rsidRPr="002D3C08" w:rsidR="002D3C08" w:rsidP="002D3C08" w:rsidRDefault="002D3C08" w14:paraId="2DF89B2C" w14:textId="77777777">
          <w:pPr>
            <w:spacing w:before="20" w:after="240" w:line="20" w:lineRule="exact"/>
            <w:rPr>
              <w:sz w:val="2"/>
              <w:szCs w:val="2"/>
              <w:lang w:val="fr-FR"/>
            </w:rPr>
          </w:pPr>
        </w:p>
      </w:sdtContent>
    </w:sdt>
    <w:p w:rsidR="00E273FA" w:rsidP="006E2CAD" w:rsidRDefault="00E273FA" w14:paraId="172CAA4D" w14:textId="77777777">
      <w:pPr>
        <w:rPr>
          <w:rFonts w:asciiTheme="majorBidi" w:hAnsiTheme="majorBidi" w:cstheme="majorBidi"/>
          <w:sz w:val="24"/>
          <w:szCs w:val="24"/>
        </w:rPr>
      </w:pPr>
    </w:p>
    <w:p w:rsidRPr="006E2CAD" w:rsidR="00E273FA" w:rsidP="008F0FC1" w:rsidRDefault="00E273FA" w14:paraId="172CAA4E" w14:textId="56E102BA">
      <w:pPr>
        <w:rPr>
          <w:rFonts w:asciiTheme="majorBidi" w:hAnsiTheme="majorBidi" w:cstheme="majorBidi"/>
          <w:sz w:val="24"/>
          <w:szCs w:val="24"/>
        </w:rPr>
      </w:pPr>
      <w:r w:rsidRPr="006E2CAD">
        <w:rPr>
          <w:rFonts w:asciiTheme="majorBidi" w:hAnsiTheme="majorBidi" w:cstheme="majorBidi"/>
          <w:sz w:val="24"/>
          <w:szCs w:val="24"/>
        </w:rPr>
        <w:t>Delegations will find enclosed the opin</w:t>
      </w:r>
      <w:r>
        <w:rPr>
          <w:rFonts w:asciiTheme="majorBidi" w:hAnsiTheme="majorBidi" w:cstheme="majorBidi"/>
          <w:sz w:val="24"/>
          <w:szCs w:val="24"/>
        </w:rPr>
        <w:t>ion</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of </w:t>
      </w:r>
      <w:r w:rsidRPr="00DE22F2">
        <w:rPr>
          <w:rFonts w:asciiTheme="majorBidi" w:hAnsiTheme="majorBidi" w:cstheme="majorBidi"/>
          <w:sz w:val="24"/>
          <w:szCs w:val="24"/>
        </w:rPr>
        <w:t xml:space="preserve">the </w:t>
      </w:r>
      <w:r w:rsidR="00E76377">
        <w:rPr>
          <w:rFonts w:asciiTheme="majorBidi" w:hAnsiTheme="majorBidi" w:cstheme="majorBidi"/>
          <w:sz w:val="24"/>
          <w:szCs w:val="24"/>
        </w:rPr>
        <w:t>Polish</w:t>
      </w:r>
      <w:r>
        <w:rPr>
          <w:rFonts w:asciiTheme="majorBidi" w:hAnsiTheme="majorBidi" w:cstheme="majorBidi"/>
          <w:sz w:val="24"/>
          <w:szCs w:val="24"/>
        </w:rPr>
        <w:t xml:space="preserve"> Senate</w:t>
      </w:r>
      <w:r>
        <w:rPr>
          <w:rFonts w:asciiTheme="majorBidi" w:hAnsiTheme="majorBidi" w:cstheme="majorBidi"/>
          <w:sz w:val="24"/>
          <w:szCs w:val="24"/>
        </w:rPr>
        <w:t xml:space="preserve"> on the above</w:t>
      </w:r>
      <w:r>
        <w:rPr>
          <w:rFonts w:asciiTheme="majorBidi" w:hAnsiTheme="majorBidi" w:cstheme="majorBidi"/>
          <w:sz w:val="24"/>
          <w:szCs w:val="24"/>
        </w:rPr>
        <w:t xml:space="preserve">, </w:t>
      </w:r>
      <w:r w:rsidRPr="0074750D">
        <w:rPr>
          <w:rFonts w:asciiTheme="majorBidi" w:hAnsiTheme="majorBidi" w:cstheme="majorBidi"/>
          <w:sz w:val="24"/>
          <w:szCs w:val="24"/>
        </w:rPr>
        <w:t>followed by a courtesy English translation</w:t>
      </w:r>
      <w:r>
        <w:rPr>
          <w:rFonts w:asciiTheme="majorBidi" w:hAnsiTheme="majorBidi" w:cstheme="majorBidi"/>
          <w:sz w:val="24"/>
          <w:szCs w:val="24"/>
        </w:rPr>
        <w:t>.</w:t>
      </w:r>
    </w:p>
    <w:p w:rsidR="00E273FA" w:rsidP="00476CF8" w:rsidRDefault="00E273FA" w14:paraId="172CAA4F" w14:textId="77777777">
      <w:pPr>
        <w:pStyle w:val="Lignefinal"/>
      </w:pPr>
    </w:p>
    <w:p w:rsidR="00E273FA" w:rsidP="00386318" w:rsidRDefault="00E273FA" w14:paraId="172CAA50" w14:textId="77777777">
      <w:pPr>
        <w:pStyle w:val="pj"/>
        <w:spacing w:before="120"/>
      </w:pPr>
    </w:p>
    <w:p w:rsidR="00E273FA" w:rsidP="00476CF8" w:rsidRDefault="00E273FA" w14:paraId="172CAA51" w14:textId="77777777">
      <w:pPr>
        <w:sectPr w:rsidR="002437F4" w:rsidSect="002F6E01">
          <w:footerReference w:type="even" r:id="R5a0b3f78120a44d0"/>
          <w:headerReference w:type="even" r:id="R4b93cda01b4d4a7e"/>
          <w:headerReference w:type="default" r:id="R43d35af661604a80"/>
          <w:footerReference w:type="default" r:id="R9bedecc2570e4d8b"/>
          <w:headerReference w:type="first" r:id="R88e6c1642f804e87"/>
          <w:footerReference w:type="first" r:id="Rcae21524c4294713"/>
          <w:pgSz w:w="11907" w:h="16840" w:code="9"/>
          <w:pgMar w:top="624" w:right="1134" w:bottom="1134" w:left="1134" w:header="567" w:footer="567" w:gutter="0"/>
          <w:pgNumType w:start="0"/>
          <w:cols w:space="708"/>
          <w:titlePg/>
          <w:docGrid w:linePitch="360"/>
          <w:pgSz w:w="11907" w:h="16840" w:code="9"/>
          <w:pgSz w:w="11907" w:h="16840" w:code="9"/>
          <w:pgSz w:w="11907" w:h="16840" w:code="9"/>
          <w:pgSz w:w="11907" w:h="16840" w:code="9"/>
        </w:sectPr>
      </w:pPr>
    </w:p>
    <w:p w:rsidR="00E76377" w:rsidP="00E76377" w:rsidRDefault="00E76377" w14:paraId="55038ED5" w14:textId="77777777">
      <w:pPr>
        <w:pStyle w:val="d-orzel"/>
        <w:rPr>
          <w:sz w:val="26"/>
        </w:rPr>
      </w:pPr>
      <w:bookmarkStart w:name="_Hlk161308430" w:id="2"/>
      <w:bookmarkStart w:name="_Hlk161308431" w:id="3"/>
      <w:bookmarkStart w:name="_Hlk161308432" w:id="4"/>
      <w:bookmarkStart w:name="_Hlk161308433" w:id="5"/>
      <w:r>
        <w:rPr>
          <w:noProof/>
        </w:rPr>
        <w:lastRenderedPageBreak/>
        <w:drawing>
          <wp:inline distT="0" distB="0" distL="0" distR="0" wp14:anchorId="1BCCCFFB" wp14:editId="1B53A23C">
            <wp:extent cx="609600" cy="6762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e9102986e7c44ca3"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p w:rsidR="00E76377" w:rsidP="00E76377" w:rsidRDefault="00E76377" w14:paraId="048B5D18" w14:textId="77777777">
      <w:pPr>
        <w:pStyle w:val="d-orzel"/>
        <w:spacing w:before="240" w:after="60"/>
        <w:ind w:right="-1"/>
      </w:pPr>
      <w:r>
        <w:t>SENAT</w:t>
      </w:r>
    </w:p>
    <w:p w:rsidR="00E76377" w:rsidP="00E76377" w:rsidRDefault="00E76377" w14:paraId="717F21C8" w14:textId="77777777">
      <w:pPr>
        <w:pStyle w:val="d-orzel"/>
        <w:spacing w:after="60"/>
      </w:pPr>
      <w:r>
        <w:t>RZECZYPOSPOLITEJ POLSKIEJ</w:t>
      </w:r>
    </w:p>
    <w:p w:rsidR="00E76377" w:rsidP="00E76377" w:rsidRDefault="00E76377" w14:paraId="353FDB1C" w14:textId="77777777">
      <w:pPr>
        <w:pStyle w:val="d-orzel"/>
        <w:spacing w:after="480"/>
        <w:rPr>
          <w:sz w:val="22"/>
        </w:rPr>
      </w:pPr>
      <w:r>
        <w:rPr>
          <w:sz w:val="22"/>
        </w:rPr>
        <w:t>XI  KADENCJA</w:t>
      </w:r>
    </w:p>
    <w:p w:rsidR="00E76377" w:rsidP="00E76377" w:rsidRDefault="00E76377" w14:paraId="6DC598E9" w14:textId="77777777">
      <w:pPr>
        <w:pStyle w:val="d-linia1"/>
        <w:rPr>
          <w:sz w:val="16"/>
        </w:rPr>
      </w:pPr>
    </w:p>
    <w:p w:rsidR="00E76377" w:rsidP="00E76377" w:rsidRDefault="00E76377" w14:paraId="50881762" w14:textId="77777777">
      <w:pPr>
        <w:pStyle w:val="d-linia2"/>
        <w:rPr>
          <w:b/>
        </w:rPr>
      </w:pPr>
      <w:r>
        <w:t xml:space="preserve">Warszawa, dnia </w:t>
      </w:r>
      <w:bookmarkStart w:name="data_druku" w:id="6"/>
      <w:bookmarkEnd w:id="6"/>
      <w:r>
        <w:t>9 czerwca 2026 r.</w:t>
      </w:r>
      <w:r>
        <w:tab/>
      </w:r>
      <w:r>
        <w:rPr>
          <w:b/>
        </w:rPr>
        <w:t xml:space="preserve">Druk nr </w:t>
      </w:r>
      <w:bookmarkStart w:name="nrdruku" w:id="7"/>
      <w:bookmarkEnd w:id="7"/>
      <w:r>
        <w:rPr>
          <w:b/>
        </w:rPr>
        <w:t>E11</w:t>
      </w:r>
    </w:p>
    <w:p w:rsidR="00E76377" w:rsidP="00E76377" w:rsidRDefault="00E76377" w14:paraId="0FF5E472" w14:textId="77777777">
      <w:pPr>
        <w:pStyle w:val="d-linia3"/>
        <w:rPr>
          <w:sz w:val="16"/>
        </w:rPr>
      </w:pPr>
    </w:p>
    <w:p w:rsidR="00E76377" w:rsidP="00E76377" w:rsidRDefault="00E76377" w14:paraId="674994B8" w14:textId="77777777">
      <w:pPr>
        <w:pStyle w:val="druk-stanard"/>
      </w:pPr>
    </w:p>
    <w:p w:rsidR="00E76377" w:rsidP="00E76377" w:rsidRDefault="00E76377" w14:paraId="0CDB569A" w14:textId="77777777">
      <w:pPr>
        <w:pStyle w:val="druk-stanard"/>
      </w:pPr>
    </w:p>
    <w:p w:rsidR="00E76377" w:rsidP="00E76377" w:rsidRDefault="00E76377" w14:paraId="5595F9CE" w14:textId="77777777">
      <w:pPr>
        <w:pStyle w:val="druk-stanard"/>
      </w:pPr>
    </w:p>
    <w:p w:rsidR="00E76377" w:rsidP="00E76377" w:rsidRDefault="00E76377" w14:paraId="759D45F3" w14:textId="77777777">
      <w:pPr>
        <w:pStyle w:val="druk-stanard"/>
      </w:pPr>
    </w:p>
    <w:p w:rsidR="00E76377" w:rsidP="00E76377" w:rsidRDefault="00E76377" w14:paraId="2D916D9F" w14:textId="77777777">
      <w:pPr>
        <w:pStyle w:val="d-sro-18"/>
        <w:rPr>
          <w:caps/>
        </w:rPr>
      </w:pPr>
      <w:r>
        <w:rPr>
          <w:caps/>
        </w:rPr>
        <w:t>opinia</w:t>
      </w:r>
    </w:p>
    <w:p w:rsidR="00E76377" w:rsidP="00E76377" w:rsidRDefault="00E76377" w14:paraId="3F27276E" w14:textId="77777777">
      <w:pPr>
        <w:pStyle w:val="d-ro-14"/>
        <w:rPr>
          <w:caps/>
        </w:rPr>
      </w:pPr>
      <w:r>
        <w:t xml:space="preserve">KOMISJI </w:t>
      </w:r>
      <w:r>
        <w:rPr>
          <w:caps/>
        </w:rPr>
        <w:t>Spraw Unii Europejskiej</w:t>
      </w:r>
    </w:p>
    <w:p w:rsidR="00E76377" w:rsidP="00E76377" w:rsidRDefault="00E76377" w14:paraId="5C20896A" w14:textId="77777777">
      <w:pPr>
        <w:pStyle w:val="d-ro-B"/>
      </w:pPr>
      <w:bookmarkStart w:name="tyt_opinii" w:id="8"/>
      <w:bookmarkEnd w:id="8"/>
      <w:r>
        <w:t>Wniosek dotyczący rozporządzenia Parlamentu Europejskiego i Rady w sprawie wytycznych dotyczących transeuropejskiej infrastruktury energetycznej, zmieniającego rozporządzenia (UE) 2019/942, (UE) 2019/943 i (UE) 2024/1789 oraz uchylającego rozporządzenie (UE) 2022/869</w:t>
      </w:r>
    </w:p>
    <w:p w:rsidR="00E76377" w:rsidP="00E76377" w:rsidRDefault="00E76377" w14:paraId="67449B45" w14:textId="77777777">
      <w:pPr>
        <w:pStyle w:val="druk-stanard"/>
        <w:jc w:val="both"/>
        <w:rPr>
          <w:rFonts w:ascii="TimesNewRoman,Bold" w:hAnsi="TimesNewRoman,Bold"/>
          <w:b/>
          <w:snapToGrid w:val="0"/>
        </w:rPr>
      </w:pPr>
    </w:p>
    <w:p w:rsidR="00E76377" w:rsidP="00E76377" w:rsidRDefault="00E76377" w14:paraId="4E059842" w14:textId="77777777">
      <w:pPr>
        <w:pStyle w:val="druk-stanard"/>
        <w:jc w:val="both"/>
        <w:rPr>
          <w:b/>
        </w:rPr>
      </w:pPr>
    </w:p>
    <w:p w:rsidR="00E76377" w:rsidP="00E76377" w:rsidRDefault="00E76377" w14:paraId="47AEEEEC" w14:textId="77777777">
      <w:pPr>
        <w:pStyle w:val="d-skier"/>
        <w:ind w:left="567"/>
      </w:pPr>
      <w:r>
        <w:t xml:space="preserve">Marszałek Senatu skierowała do komisji projekt aktu prawnego UE; projekt stanowiska RP w sprawie tego dokumentu został przekazany w dniu </w:t>
      </w:r>
      <w:bookmarkStart w:name="data_przek" w:id="9"/>
      <w:bookmarkEnd w:id="9"/>
      <w:r>
        <w:t>11 maja 2026 r.</w:t>
      </w:r>
    </w:p>
    <w:p w:rsidR="00E76377" w:rsidP="00E76377" w:rsidRDefault="00E76377" w14:paraId="1D10B080" w14:textId="77777777">
      <w:pPr>
        <w:pStyle w:val="d-poroz"/>
      </w:pPr>
      <w:r>
        <w:t xml:space="preserve">Komisja rozpatrzyła wniosek na posiedzeniu w dniu </w:t>
      </w:r>
      <w:bookmarkStart w:name="data_pos" w:id="10"/>
      <w:bookmarkEnd w:id="10"/>
      <w:r>
        <w:t>9 czerwca 2026 r.</w:t>
      </w:r>
    </w:p>
    <w:p w:rsidRPr="00E76377" w:rsidR="00E76377" w:rsidP="00E76377" w:rsidRDefault="00E76377" w14:paraId="244FCD08" w14:textId="77777777">
      <w:pPr>
        <w:pStyle w:val="BodyText"/>
        <w:rPr>
          <w:b/>
          <w:lang w:val="pl-PL"/>
        </w:rPr>
      </w:pPr>
    </w:p>
    <w:p w:rsidRPr="00E76377" w:rsidR="00E76377" w:rsidP="00E76377" w:rsidRDefault="00E76377" w14:paraId="24797E08" w14:textId="77777777">
      <w:pPr>
        <w:pStyle w:val="BodyText"/>
        <w:rPr>
          <w:b/>
          <w:sz w:val="20"/>
          <w:lang w:val="pl-P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607"/>
        <w:gridCol w:w="1890"/>
        <w:gridCol w:w="3125"/>
        <w:gridCol w:w="7"/>
      </w:tblGrid>
      <w:tr w:rsidR="00E76377" w:rsidTr="00CC61C4" w14:paraId="2103B1A1" w14:textId="77777777">
        <w:trPr>
          <w:gridAfter w:val="1"/>
          <w:wAfter w:w="7" w:type="dxa"/>
          <w:cantSplit/>
          <w:trHeight w:val="578"/>
          <w:jc w:val="center"/>
        </w:trPr>
        <w:tc>
          <w:tcPr>
            <w:tcW w:w="1607" w:type="dxa"/>
            <w:vMerge w:val="restart"/>
            <w:tcBorders>
              <w:top w:val="single" w:color="auto" w:sz="2" w:space="0"/>
              <w:left w:val="single" w:color="auto" w:sz="2" w:space="0"/>
              <w:bottom w:val="single" w:color="auto" w:sz="2" w:space="0"/>
              <w:right w:val="single" w:color="auto" w:sz="2" w:space="0"/>
            </w:tcBorders>
            <w:vAlign w:val="center"/>
          </w:tcPr>
          <w:p w:rsidR="00E76377" w:rsidP="00CC61C4" w:rsidRDefault="00E76377" w14:paraId="63E4AF61" w14:textId="77777777">
            <w:pPr>
              <w:pStyle w:val="Heading7"/>
              <w:spacing w:before="60"/>
              <w:jc w:val="center"/>
              <w:rPr>
                <w:b/>
              </w:rPr>
            </w:pPr>
            <w:proofErr w:type="spellStart"/>
            <w:r>
              <w:rPr>
                <w:b/>
              </w:rPr>
              <w:t>Sygnatura</w:t>
            </w:r>
            <w:proofErr w:type="spellEnd"/>
            <w:r>
              <w:rPr>
                <w:b/>
              </w:rPr>
              <w:t xml:space="preserve"> </w:t>
            </w:r>
            <w:proofErr w:type="spellStart"/>
            <w:r>
              <w:rPr>
                <w:b/>
              </w:rPr>
              <w:t>dokumentu</w:t>
            </w:r>
            <w:proofErr w:type="spellEnd"/>
          </w:p>
        </w:tc>
        <w:tc>
          <w:tcPr>
            <w:tcW w:w="1890" w:type="dxa"/>
            <w:tcBorders>
              <w:top w:val="single" w:color="auto" w:sz="2" w:space="0"/>
              <w:left w:val="nil"/>
              <w:bottom w:val="single" w:color="auto" w:sz="2" w:space="0"/>
              <w:right w:val="single" w:color="auto" w:sz="2" w:space="0"/>
            </w:tcBorders>
            <w:vAlign w:val="center"/>
          </w:tcPr>
          <w:p w:rsidR="00E76377" w:rsidP="00CC61C4" w:rsidRDefault="00E76377" w14:paraId="5728F819" w14:textId="77777777">
            <w:pPr>
              <w:pStyle w:val="Heading7"/>
              <w:spacing w:before="60"/>
              <w:jc w:val="center"/>
            </w:pPr>
            <w:proofErr w:type="spellStart"/>
            <w:r>
              <w:t>Komisja</w:t>
            </w:r>
            <w:proofErr w:type="spellEnd"/>
            <w:r>
              <w:t xml:space="preserve"> </w:t>
            </w:r>
            <w:proofErr w:type="spellStart"/>
            <w:r>
              <w:t>Europejska</w:t>
            </w:r>
            <w:proofErr w:type="spellEnd"/>
          </w:p>
        </w:tc>
        <w:tc>
          <w:tcPr>
            <w:tcW w:w="3125" w:type="dxa"/>
            <w:tcBorders>
              <w:top w:val="single" w:color="auto" w:sz="2" w:space="0"/>
              <w:left w:val="nil"/>
              <w:bottom w:val="nil"/>
              <w:right w:val="single" w:color="auto" w:sz="2" w:space="0"/>
            </w:tcBorders>
            <w:vAlign w:val="center"/>
          </w:tcPr>
          <w:p w:rsidRPr="00AB6276" w:rsidR="00E76377" w:rsidP="00CC61C4" w:rsidRDefault="00E76377" w14:paraId="59C2CB72" w14:textId="77777777">
            <w:pPr>
              <w:pStyle w:val="Heading7"/>
              <w:spacing w:before="60"/>
              <w:jc w:val="center"/>
            </w:pPr>
            <w:bookmarkStart w:name="sygcom" w:id="11"/>
            <w:bookmarkEnd w:id="11"/>
            <w:r>
              <w:t>COM(2025) 1006</w:t>
            </w:r>
          </w:p>
        </w:tc>
      </w:tr>
      <w:tr w:rsidR="00E76377" w:rsidTr="00CC61C4" w14:paraId="3A57945F" w14:textId="77777777">
        <w:trPr>
          <w:cantSplit/>
          <w:trHeight w:val="579"/>
          <w:jc w:val="center"/>
        </w:trPr>
        <w:tc>
          <w:tcPr>
            <w:tcW w:w="1607" w:type="dxa"/>
            <w:vMerge/>
            <w:tcBorders>
              <w:top w:val="single" w:color="auto" w:sz="2" w:space="0"/>
              <w:left w:val="single" w:color="auto" w:sz="2" w:space="0"/>
              <w:bottom w:val="single" w:color="auto" w:sz="2" w:space="0"/>
              <w:right w:val="single" w:color="auto" w:sz="2" w:space="0"/>
            </w:tcBorders>
            <w:vAlign w:val="center"/>
          </w:tcPr>
          <w:p w:rsidR="00E76377" w:rsidP="00CC61C4" w:rsidRDefault="00E76377" w14:paraId="25C21F78" w14:textId="77777777">
            <w:pPr>
              <w:jc w:val="center"/>
            </w:pPr>
          </w:p>
        </w:tc>
        <w:tc>
          <w:tcPr>
            <w:tcW w:w="1890" w:type="dxa"/>
            <w:tcBorders>
              <w:top w:val="nil"/>
              <w:left w:val="nil"/>
              <w:bottom w:val="single" w:color="auto" w:sz="2" w:space="0"/>
              <w:right w:val="single" w:color="auto" w:sz="2" w:space="0"/>
            </w:tcBorders>
            <w:vAlign w:val="center"/>
          </w:tcPr>
          <w:p w:rsidR="00E76377" w:rsidP="00CC61C4" w:rsidRDefault="00E76377" w14:paraId="233DF7FE" w14:textId="77777777">
            <w:pPr>
              <w:pStyle w:val="Heading7"/>
              <w:jc w:val="center"/>
            </w:pPr>
            <w:r>
              <w:t>Rada UE</w:t>
            </w:r>
          </w:p>
        </w:tc>
        <w:tc>
          <w:tcPr>
            <w:tcW w:w="3132" w:type="dxa"/>
            <w:gridSpan w:val="2"/>
            <w:tcBorders>
              <w:top w:val="single" w:color="auto" w:sz="2" w:space="0"/>
              <w:left w:val="nil"/>
              <w:bottom w:val="single" w:color="auto" w:sz="2" w:space="0"/>
              <w:right w:val="single" w:color="auto" w:sz="2" w:space="0"/>
            </w:tcBorders>
            <w:vAlign w:val="center"/>
          </w:tcPr>
          <w:p w:rsidRPr="00AB6276" w:rsidR="00E76377" w:rsidP="00CC61C4" w:rsidRDefault="00E76377" w14:paraId="1B5F83FF" w14:textId="77777777">
            <w:pPr>
              <w:autoSpaceDE w:val="0"/>
              <w:autoSpaceDN w:val="0"/>
              <w:adjustRightInd w:val="0"/>
              <w:jc w:val="center"/>
            </w:pPr>
          </w:p>
        </w:tc>
      </w:tr>
    </w:tbl>
    <w:p w:rsidR="00E76377" w:rsidP="00E76377" w:rsidRDefault="00E76377" w14:paraId="4CE3C5F8" w14:textId="77777777">
      <w:pPr>
        <w:pStyle w:val="BodyText"/>
        <w:rPr>
          <w:sz w:val="20"/>
        </w:rPr>
      </w:pPr>
    </w:p>
    <w:p w:rsidR="00E76377" w:rsidP="00E76377" w:rsidRDefault="00E76377" w14:paraId="592EA38B" w14:textId="77777777">
      <w:pPr>
        <w:pStyle w:val="druk-stanard"/>
      </w:pPr>
    </w:p>
    <w:p w:rsidR="00E76377" w:rsidP="00E76377" w:rsidRDefault="00E76377" w14:paraId="6D44ED46" w14:textId="77777777">
      <w:pPr>
        <w:pStyle w:val="druk-stanard"/>
      </w:pPr>
    </w:p>
    <w:p w:rsidR="00E76377" w:rsidP="00E76377" w:rsidRDefault="00E76377" w14:paraId="084F9836" w14:textId="77777777">
      <w:pPr>
        <w:pStyle w:val="druk-stanard"/>
      </w:pPr>
    </w:p>
    <w:p w:rsidR="00E76377" w:rsidP="00E76377" w:rsidRDefault="00E76377" w14:paraId="708EF3CE" w14:textId="77777777">
      <w:pPr>
        <w:pStyle w:val="d-podpis"/>
      </w:pPr>
      <w:r>
        <w:tab/>
      </w:r>
      <w:r>
        <w:tab/>
        <w:t>(-)</w:t>
      </w:r>
      <w:bookmarkStart w:name="sygrue" w:id="12"/>
      <w:bookmarkEnd w:id="12"/>
      <w:r>
        <w:t xml:space="preserve">  </w:t>
      </w:r>
      <w:bookmarkStart w:name="lider" w:id="13"/>
      <w:bookmarkEnd w:id="13"/>
      <w:r>
        <w:t>Gabriela Morawska-Stanecka</w:t>
      </w:r>
    </w:p>
    <w:p w:rsidR="00E76377" w:rsidP="00E76377" w:rsidRDefault="00E76377" w14:paraId="372C1BC6" w14:textId="77777777">
      <w:pPr>
        <w:pStyle w:val="d-podpis"/>
      </w:pPr>
      <w:r>
        <w:tab/>
      </w:r>
      <w:r>
        <w:tab/>
        <w:t>Zastępca Przewodniczącego Komisji</w:t>
      </w:r>
    </w:p>
    <w:p w:rsidR="00E76377" w:rsidP="00E76377" w:rsidRDefault="00E76377" w14:paraId="3232512C" w14:textId="77777777">
      <w:pPr>
        <w:pStyle w:val="d-podpis"/>
      </w:pPr>
      <w:r>
        <w:tab/>
      </w:r>
      <w:r>
        <w:tab/>
        <w:t>Spraw Unii Europejskiej</w:t>
      </w:r>
    </w:p>
    <w:p w:rsidR="00E76377" w:rsidP="00E76377" w:rsidRDefault="00E76377" w14:paraId="4F60E172" w14:textId="77777777">
      <w:pPr>
        <w:pStyle w:val="d-podpis"/>
      </w:pPr>
      <w:r>
        <w:tab/>
      </w:r>
      <w:r>
        <w:tab/>
      </w:r>
    </w:p>
    <w:p w:rsidR="00E76377" w:rsidP="00E76377" w:rsidRDefault="00E76377" w14:paraId="52B5B1CC" w14:textId="77777777">
      <w:pPr>
        <w:pStyle w:val="druk-stanard"/>
      </w:pPr>
    </w:p>
    <w:p w:rsidR="00E76377" w:rsidP="00E76377" w:rsidRDefault="00E76377" w14:paraId="1F72C1B8" w14:textId="77777777">
      <w:pPr>
        <w:pStyle w:val="druk-stanard"/>
        <w:sectPr w:rsidR="00E76377" w:rsidSect="00E76377">
          <w:headerReference w:type="even" r:id="R38ee7fe2e93f4c62"/>
          <w:headerReference w:type="default" r:id="R032e7bb979bc4b5b"/>
          <w:footerReference w:type="even" r:id="Rf6a17ea3d2aa4c88"/>
          <w:footerReference w:type="default" r:id="R0050790a8a9f4faa"/>
          <w:headerReference w:type="first" r:id="R65c66e9cfe444fc6"/>
          <w:footerReference w:type="first" r:id="R7dda0bbabbc64341"/>
          <w:pgSz w:w="11905" w:h="16837" w:code="9"/>
          <w:pgMar w:top="1134" w:right="964" w:bottom="1134" w:left="1134" w:header="142" w:footer="708" w:gutter="567"/>
          <w:cols w:space="60"/>
          <w:noEndnote/>
          <w:titlePg/>
        </w:sectPr>
      </w:pPr>
    </w:p>
    <w:p w:rsidRPr="00E273FA" w:rsidR="00E76377" w:rsidP="00E76377" w:rsidRDefault="00E76377" w14:paraId="5BEE8FDF" w14:textId="77777777">
      <w:pPr>
        <w:spacing w:line="278" w:lineRule="auto"/>
        <w:jc w:val="center"/>
        <w:rPr>
          <w:rFonts w:ascii="Times New Roman" w:hAnsi="Times New Roman" w:eastAsia="Calibri" w:cs="Times New Roman"/>
          <w:b/>
          <w:kern w:val="2"/>
          <w:sz w:val="24"/>
          <w:szCs w:val="24"/>
        </w:rPr>
      </w:pPr>
      <w:proofErr w:type="spellStart"/>
      <w:r w:rsidRPr="00E273FA">
        <w:rPr>
          <w:rFonts w:ascii="Times New Roman" w:hAnsi="Times New Roman" w:eastAsia="Calibri" w:cs="Times New Roman"/>
          <w:b/>
          <w:kern w:val="2"/>
          <w:sz w:val="24"/>
          <w:szCs w:val="24"/>
        </w:rPr>
        <w:lastRenderedPageBreak/>
        <w:t>Opinia</w:t>
      </w:r>
      <w:proofErr w:type="spellEnd"/>
    </w:p>
    <w:p w:rsidRPr="00E273FA" w:rsidR="00E76377" w:rsidP="00E76377" w:rsidRDefault="00E76377" w14:paraId="6A125811" w14:textId="77777777">
      <w:pPr>
        <w:spacing w:line="278" w:lineRule="auto"/>
        <w:jc w:val="center"/>
        <w:rPr>
          <w:rFonts w:ascii="Times New Roman" w:hAnsi="Times New Roman" w:eastAsia="Calibri" w:cs="Times New Roman"/>
          <w:b/>
          <w:kern w:val="2"/>
          <w:sz w:val="24"/>
          <w:szCs w:val="24"/>
          <w:lang w:val="pl-PL"/>
        </w:rPr>
      </w:pPr>
      <w:r w:rsidRPr="00E273FA">
        <w:rPr>
          <w:rFonts w:ascii="Times New Roman" w:hAnsi="Times New Roman" w:eastAsia="Calibri" w:cs="Times New Roman"/>
          <w:b/>
          <w:kern w:val="2"/>
          <w:sz w:val="24"/>
          <w:szCs w:val="24"/>
          <w:lang w:val="pl-PL"/>
        </w:rPr>
        <w:t>Komisji Spraw Unii Europejskiej Senatu RP</w:t>
      </w:r>
    </w:p>
    <w:p w:rsidRPr="00E273FA" w:rsidR="00E76377" w:rsidP="00E76377" w:rsidRDefault="00E76377" w14:paraId="5CC98041" w14:textId="77777777">
      <w:pPr>
        <w:spacing w:line="278" w:lineRule="auto"/>
        <w:jc w:val="center"/>
        <w:rPr>
          <w:rFonts w:ascii="Times New Roman" w:hAnsi="Times New Roman" w:eastAsia="Calibri" w:cs="Times New Roman"/>
          <w:b/>
          <w:kern w:val="2"/>
          <w:sz w:val="24"/>
          <w:szCs w:val="24"/>
          <w:lang w:val="pl-PL"/>
        </w:rPr>
      </w:pPr>
      <w:r w:rsidRPr="00E273FA">
        <w:rPr>
          <w:rFonts w:ascii="Times New Roman" w:hAnsi="Times New Roman" w:eastAsia="Calibri" w:cs="Times New Roman"/>
          <w:b/>
          <w:kern w:val="2"/>
          <w:sz w:val="24"/>
          <w:szCs w:val="24"/>
          <w:lang w:val="pl-PL"/>
        </w:rPr>
        <w:t>dotycząca projektu rozporządzenia Parlamentu Europejskiego i Rady w sprawie wytycznych dotyczących transeuropejskiej infrastruktury energetycznej, zmieniającego rozporządzenia (UE) 2019/942, (UE) 2019/943 i (UE) 2024/1789 oraz uchylającego rozporządzenie (UE) 2022/869</w:t>
      </w:r>
    </w:p>
    <w:p w:rsidRPr="00E273FA" w:rsidR="00E76377" w:rsidP="00E76377" w:rsidRDefault="00E76377" w14:paraId="394A3606" w14:textId="77777777">
      <w:pPr>
        <w:adjustRightInd w:val="0"/>
        <w:spacing w:line="278" w:lineRule="auto"/>
        <w:jc w:val="center"/>
        <w:rPr>
          <w:rFonts w:ascii="Times New Roman" w:hAnsi="Times New Roman" w:eastAsia="Calibri" w:cs="Times New Roman"/>
          <w:b/>
          <w:kern w:val="2"/>
          <w:sz w:val="24"/>
          <w:szCs w:val="24"/>
          <w:lang w:val="pl-PL"/>
        </w:rPr>
      </w:pPr>
      <w:r w:rsidRPr="00E273FA">
        <w:rPr>
          <w:rFonts w:ascii="Times New Roman" w:hAnsi="Times New Roman" w:eastAsia="Calibri" w:cs="Times New Roman"/>
          <w:b/>
          <w:kern w:val="2"/>
          <w:sz w:val="24"/>
          <w:szCs w:val="24"/>
          <w:lang w:val="pl-PL"/>
        </w:rPr>
        <w:t>COM(2025) 1006</w:t>
      </w:r>
    </w:p>
    <w:p w:rsidRPr="00E273FA" w:rsidR="00E76377" w:rsidP="00E76377" w:rsidRDefault="00E76377" w14:paraId="6F075A0C" w14:textId="77777777">
      <w:pPr>
        <w:adjustRightInd w:val="0"/>
        <w:spacing w:line="278" w:lineRule="auto"/>
        <w:jc w:val="center"/>
        <w:rPr>
          <w:rFonts w:ascii="Times New Roman" w:hAnsi="Times New Roman" w:eastAsia="Calibri" w:cs="Times New Roman"/>
          <w:b/>
          <w:kern w:val="2"/>
          <w:sz w:val="24"/>
          <w:szCs w:val="24"/>
          <w:lang w:val="pl-PL"/>
        </w:rPr>
      </w:pPr>
    </w:p>
    <w:p w:rsidRPr="00E273FA" w:rsidR="00E76377" w:rsidP="00E76377" w:rsidRDefault="00E76377" w14:paraId="08165E59" w14:textId="77777777">
      <w:pPr>
        <w:spacing w:before="120" w:line="278" w:lineRule="auto"/>
        <w:jc w:val="center"/>
        <w:rPr>
          <w:rFonts w:ascii="Times New Roman" w:hAnsi="Times New Roman" w:eastAsia="Calibri" w:cs="Times New Roman"/>
          <w:b/>
          <w:kern w:val="2"/>
          <w:sz w:val="24"/>
          <w:szCs w:val="24"/>
          <w:lang w:val="pl-PL"/>
        </w:rPr>
      </w:pPr>
      <w:r w:rsidRPr="00E273FA">
        <w:rPr>
          <w:rFonts w:ascii="Times New Roman" w:hAnsi="Times New Roman" w:eastAsia="Calibri" w:cs="Times New Roman"/>
          <w:b/>
          <w:kern w:val="2"/>
          <w:sz w:val="24"/>
          <w:szCs w:val="24"/>
          <w:lang w:val="pl-PL"/>
        </w:rPr>
        <w:t>przyjęta na posiedzeniu w dniu 9 czerwca 2026 r.</w:t>
      </w:r>
    </w:p>
    <w:p w:rsidRPr="00E273FA" w:rsidR="00E76377" w:rsidP="00E76377" w:rsidRDefault="00E76377" w14:paraId="5D2E23AB" w14:textId="77777777">
      <w:pPr>
        <w:spacing w:line="278" w:lineRule="auto"/>
        <w:rPr>
          <w:rFonts w:ascii="Times New Roman" w:hAnsi="Times New Roman" w:eastAsia="Calibri" w:cs="Times New Roman"/>
          <w:kern w:val="2"/>
          <w:sz w:val="24"/>
          <w:szCs w:val="24"/>
          <w:lang w:val="pl-PL"/>
        </w:rPr>
      </w:pPr>
    </w:p>
    <w:p w:rsidRPr="00E273FA" w:rsidR="00E76377" w:rsidP="00E76377" w:rsidRDefault="00E76377" w14:paraId="4E1B3ED2" w14:textId="77777777">
      <w:pPr>
        <w:numPr>
          <w:ilvl w:val="0"/>
          <w:numId w:val="1"/>
        </w:numPr>
        <w:spacing w:line="276" w:lineRule="auto"/>
        <w:ind w:left="425" w:hanging="357"/>
        <w:jc w:val="both"/>
        <w:rPr>
          <w:rFonts w:ascii="Times New Roman" w:hAnsi="Times New Roman" w:eastAsia="Calibri" w:cs="Times New Roman"/>
          <w:noProof/>
          <w:kern w:val="2"/>
          <w:sz w:val="24"/>
          <w:szCs w:val="24"/>
          <w:lang w:val="pl-PL"/>
        </w:rPr>
      </w:pPr>
      <w:r w:rsidRPr="00E273FA">
        <w:rPr>
          <w:rFonts w:ascii="Times New Roman" w:hAnsi="Times New Roman" w:eastAsia="Calibri" w:cs="Times New Roman"/>
          <w:noProof/>
          <w:kern w:val="2"/>
          <w:sz w:val="24"/>
          <w:szCs w:val="24"/>
          <w:lang w:val="pl-PL"/>
        </w:rPr>
        <w:t xml:space="preserve">Komisja Spraw Unii Europejskiej Senatu RP (KSUE) dostrzega istotną rolę transeuropejskiej infrastruktury energetycznej. Pozytywnie ocenia dążenia Komisji Europejskiej do przyspieszenia i rozbudowy infrastruktury energetycznej ze szczególnym uwzględnieniem: (1) integracji odnawialnych źródeł energii, (2) zwiększenia zdolności przyłączeniowych </w:t>
      </w:r>
      <w:r w:rsidRPr="00E273FA">
        <w:rPr>
          <w:rFonts w:ascii="Times New Roman" w:hAnsi="Times New Roman" w:eastAsia="Calibri" w:cs="Times New Roman"/>
          <w:noProof/>
          <w:kern w:val="2"/>
          <w:sz w:val="24"/>
          <w:szCs w:val="24"/>
          <w:lang w:val="pl-PL"/>
        </w:rPr>
        <w:br/>
        <w:t>i przesyłowych sieci elektroenergetycznych, (3) cyfryzacji oraz odporności systemów (zarówno na cyberzagrożenia, jak i zmiany klimatyczne) oraz (4) uproszczenia procedur administracyjnych i wydawania pozwoleń dla kluczowych projektów (projektów będących przedmiotem wspólnego zainteresowania – PCI i projektów będących przedmiotem wzajemnego zainteresowania – PMI).</w:t>
      </w:r>
    </w:p>
    <w:p w:rsidRPr="00E273FA" w:rsidR="00E76377" w:rsidP="00E76377" w:rsidRDefault="00E76377" w14:paraId="0645E71E" w14:textId="77777777">
      <w:pPr>
        <w:numPr>
          <w:ilvl w:val="0"/>
          <w:numId w:val="1"/>
        </w:numPr>
        <w:spacing w:line="276" w:lineRule="auto"/>
        <w:ind w:left="425" w:hanging="357"/>
        <w:jc w:val="both"/>
        <w:rPr>
          <w:rFonts w:ascii="Times New Roman" w:hAnsi="Times New Roman" w:eastAsia="Calibri" w:cs="Times New Roman"/>
          <w:iCs/>
          <w:kern w:val="2"/>
          <w:sz w:val="24"/>
          <w:szCs w:val="24"/>
          <w:lang w:val="pl-PL"/>
        </w:rPr>
      </w:pPr>
      <w:r w:rsidRPr="00E273FA">
        <w:rPr>
          <w:rFonts w:ascii="Times New Roman" w:hAnsi="Times New Roman" w:eastAsia="Calibri" w:cs="Times New Roman"/>
          <w:iCs/>
          <w:kern w:val="2"/>
          <w:sz w:val="24"/>
          <w:szCs w:val="24"/>
          <w:lang w:val="pl-PL"/>
        </w:rPr>
        <w:t>Projekt rozporządzenia COM(2025)1006 zakłada zmniejszenie barier biurokratycznych, które istotnie opóźniały kluczowe projekty infrastruktury energetycznej, do czego KSUE odnosi się również pozytywnie. Ponadto KSUE uznaje za korzystny kierunek zmian zawarty w proponowanym rozporządzeniu, polegający na położeniu większego nacisku na cyfryzację i elastyczność sieci energetycznych, co m.in. poprzez rozwój inteligentnych sieci pozwoli na lepsze zarządzanie rozproszonymi źródłami energii.</w:t>
      </w:r>
    </w:p>
    <w:p w:rsidRPr="00E273FA" w:rsidR="00E76377" w:rsidP="00E76377" w:rsidRDefault="00E76377" w14:paraId="42C021CC" w14:textId="77777777">
      <w:pPr>
        <w:numPr>
          <w:ilvl w:val="0"/>
          <w:numId w:val="1"/>
        </w:numPr>
        <w:spacing w:line="276" w:lineRule="auto"/>
        <w:ind w:left="425" w:hanging="357"/>
        <w:jc w:val="both"/>
        <w:rPr>
          <w:rFonts w:ascii="Times New Roman" w:hAnsi="Times New Roman" w:eastAsia="Calibri" w:cs="Times New Roman"/>
          <w:bCs/>
          <w:kern w:val="2"/>
          <w:sz w:val="24"/>
          <w:szCs w:val="24"/>
          <w:lang w:val="pl-PL"/>
        </w:rPr>
      </w:pPr>
      <w:r w:rsidRPr="00E273FA">
        <w:rPr>
          <w:rFonts w:ascii="Times New Roman" w:hAnsi="Times New Roman" w:eastAsia="Calibri" w:cs="Times New Roman"/>
          <w:noProof/>
          <w:kern w:val="2"/>
          <w:sz w:val="24"/>
          <w:szCs w:val="24"/>
          <w:lang w:val="pl-PL"/>
        </w:rPr>
        <w:t>Jednakże KSUE zgłasza zastrzeżenia wobec propozycji zmiany, przewidującej opracowywanie przez Komisję Europejską jednego centralnego scenariusza planu rozwoju sieci o zasięgu unijnym, przy ograniczeniu roli stowarzyszeń operatorów i państw członkowskich do przekazywania danych niezbędnych do jego przygotowania. Obecny oddolny system przygotowywania – przez stowarzyszenia operatorów i państwa</w:t>
      </w:r>
      <w:r w:rsidRPr="00E273FA">
        <w:rPr>
          <w:rFonts w:ascii="Times New Roman" w:hAnsi="Times New Roman" w:eastAsia="Calibri" w:cs="Times New Roman"/>
          <w:iCs/>
          <w:kern w:val="2"/>
          <w:sz w:val="24"/>
          <w:szCs w:val="24"/>
          <w:lang w:val="pl-PL"/>
        </w:rPr>
        <w:t xml:space="preserve"> członkowskie – scenariuszy na potrzeby dziesięcioletnich planów rozwoju sieci funkcjonuje prawidłowo i przynosi oczekiwane rezultaty. Stowarzyszenia operatorów </w:t>
      </w:r>
      <w:r w:rsidRPr="00E273FA">
        <w:rPr>
          <w:rFonts w:ascii="Times New Roman" w:hAnsi="Times New Roman" w:eastAsia="Calibri" w:cs="Times New Roman"/>
          <w:iCs/>
          <w:kern w:val="2"/>
          <w:sz w:val="24"/>
          <w:szCs w:val="24"/>
          <w:lang w:val="pl-PL"/>
        </w:rPr>
        <w:br/>
        <w:t>i państwa członkowskie posiadają wiedzę niezbędną do zidentyfikowania priorytetów inwestycyjnych oraz tzw. wąskich gardeł i innych słabych punktów sieci. Infrastruktura energetyczna jest zbyt złożona technicznie, zbyt regionalna i zbyt wrażliwa politycznie, aby można ją było zaprojektować za pomocą jednego centralnego scenariusza przygotowanego przez Komisję Europejską. Dlatego też KSUE proponuje pozostawić treść art. 48 rozporządzenia (UE) 2019/943 oraz art. 60 rozporządzenia (UE) 2024/1789 bez zmian, czyli zachować dotychczasowy oddolny system przygotowywania planu rozwoju sieci o zasięgu unijnym.</w:t>
      </w:r>
    </w:p>
    <w:p w:rsidRPr="00E273FA" w:rsidR="00E76377" w:rsidRDefault="00E76377" w14:paraId="39BF8B65" w14:textId="77777777">
      <w:pPr>
        <w:rPr>
          <w:rFonts w:ascii="Times New Roman" w:hAnsi="Times New Roman" w:eastAsia="Calibri" w:cs="Times New Roman"/>
          <w:noProof/>
          <w:kern w:val="2"/>
          <w:sz w:val="24"/>
          <w:szCs w:val="24"/>
          <w:lang w:val="pl-PL"/>
        </w:rPr>
      </w:pPr>
      <w:r w:rsidRPr="00E273FA">
        <w:rPr>
          <w:rFonts w:ascii="Times New Roman" w:hAnsi="Times New Roman" w:eastAsia="Calibri" w:cs="Times New Roman"/>
          <w:noProof/>
          <w:kern w:val="2"/>
          <w:sz w:val="24"/>
          <w:szCs w:val="24"/>
          <w:lang w:val="pl-PL"/>
        </w:rPr>
        <w:br w:type="page"/>
      </w:r>
    </w:p>
    <w:p w:rsidRPr="00E273FA" w:rsidR="00E76377" w:rsidP="00E76377" w:rsidRDefault="00E76377" w14:paraId="5FDD55EA" w14:textId="6D8C4853">
      <w:pPr>
        <w:numPr>
          <w:ilvl w:val="0"/>
          <w:numId w:val="1"/>
        </w:numPr>
        <w:spacing w:line="276" w:lineRule="auto"/>
        <w:ind w:left="425" w:hanging="357"/>
        <w:jc w:val="both"/>
        <w:rPr>
          <w:rFonts w:ascii="Times New Roman" w:hAnsi="Times New Roman" w:eastAsia="Calibri" w:cs="Times New Roman"/>
          <w:noProof/>
          <w:kern w:val="2"/>
          <w:sz w:val="24"/>
          <w:szCs w:val="24"/>
          <w:lang w:val="pl-PL"/>
        </w:rPr>
      </w:pPr>
      <w:r w:rsidRPr="00E273FA">
        <w:rPr>
          <w:rFonts w:ascii="Times New Roman" w:hAnsi="Times New Roman" w:eastAsia="Calibri" w:cs="Times New Roman"/>
          <w:noProof/>
          <w:kern w:val="2"/>
          <w:sz w:val="24"/>
          <w:szCs w:val="24"/>
          <w:lang w:val="pl-PL"/>
        </w:rPr>
        <w:lastRenderedPageBreak/>
        <w:t>Ponadto KSUE postuluje utrzymanie modelu, w którym państwa członkowskie, krajowe organy regulacyjne oraz operatorzy systemów odgrywają wiodącą rolę w identyfikowaniu i określaniu priorytetów inwestycyjnych w ramach infrastruktury sieciowej. Ponadto wszystkie projekty zgłaszane do umieszczenia na liście PCI/PMI muszą podlegać jednolitym zasadom kwalifikacji i oceny, w tym wymogowi uzyskania zgody właściwych państw członkowskich. KSUE wyraża sprzeciw wobec przewidzianej w projekcie rozporządzenia możliwości zgłaszania się podmiotów niebędących operatorami systemów przesyłowych do realizacji dodatkowych projektów elektroenergetycznych.</w:t>
      </w:r>
    </w:p>
    <w:p w:rsidRPr="00E273FA" w:rsidR="00E76377" w:rsidP="00E76377" w:rsidRDefault="00E76377" w14:paraId="4935E4CC" w14:textId="77777777">
      <w:pPr>
        <w:numPr>
          <w:ilvl w:val="0"/>
          <w:numId w:val="1"/>
        </w:numPr>
        <w:spacing w:line="276" w:lineRule="auto"/>
        <w:ind w:left="425" w:hanging="357"/>
        <w:jc w:val="both"/>
        <w:rPr>
          <w:rFonts w:ascii="Times New Roman" w:hAnsi="Times New Roman" w:eastAsia="Calibri" w:cs="Times New Roman"/>
          <w:bCs/>
          <w:kern w:val="2"/>
          <w:sz w:val="24"/>
          <w:szCs w:val="24"/>
          <w:lang w:val="pl-PL"/>
        </w:rPr>
      </w:pPr>
      <w:r w:rsidRPr="00E273FA">
        <w:rPr>
          <w:rFonts w:ascii="Times New Roman" w:hAnsi="Times New Roman" w:eastAsia="Calibri" w:cs="Times New Roman"/>
          <w:noProof/>
          <w:kern w:val="2"/>
          <w:sz w:val="24"/>
          <w:szCs w:val="24"/>
          <w:lang w:val="pl-PL"/>
        </w:rPr>
        <w:t xml:space="preserve">Dodatkowo KSUE wyraża wątpliwości </w:t>
      </w:r>
      <w:r w:rsidRPr="00E273FA">
        <w:rPr>
          <w:rFonts w:ascii="Times New Roman" w:hAnsi="Times New Roman" w:cs="Times New Roman"/>
          <w:sz w:val="24"/>
          <w:szCs w:val="24"/>
          <w:lang w:val="pl-PL"/>
        </w:rPr>
        <w:t>wobec proponowanych rozwiązań</w:t>
      </w:r>
      <w:r w:rsidRPr="00E273FA">
        <w:rPr>
          <w:rFonts w:ascii="Times New Roman" w:hAnsi="Times New Roman" w:eastAsia="Calibri" w:cs="Times New Roman"/>
          <w:noProof/>
          <w:kern w:val="2"/>
          <w:sz w:val="24"/>
          <w:szCs w:val="24"/>
          <w:lang w:val="pl-PL"/>
        </w:rPr>
        <w:t xml:space="preserve">, które zawężają </w:t>
      </w:r>
      <w:r w:rsidRPr="00E273FA">
        <w:rPr>
          <w:rFonts w:ascii="Times New Roman" w:hAnsi="Times New Roman" w:cs="Times New Roman"/>
          <w:sz w:val="24"/>
          <w:szCs w:val="24"/>
          <w:lang w:val="pl-PL"/>
        </w:rPr>
        <w:t xml:space="preserve">swobodę dysponowania </w:t>
      </w:r>
      <w:r w:rsidRPr="00E273FA">
        <w:rPr>
          <w:rFonts w:ascii="Times New Roman" w:hAnsi="Times New Roman" w:eastAsia="Calibri" w:cs="Times New Roman"/>
          <w:noProof/>
          <w:kern w:val="2"/>
          <w:sz w:val="24"/>
          <w:szCs w:val="24"/>
          <w:lang w:val="pl-PL"/>
        </w:rPr>
        <w:t xml:space="preserve">przychodami z ograniczeń zdolności przesyłowych </w:t>
      </w:r>
      <w:r w:rsidRPr="00E273FA">
        <w:rPr>
          <w:rFonts w:ascii="Times New Roman" w:hAnsi="Times New Roman" w:eastAsia="Calibri" w:cs="Times New Roman"/>
          <w:noProof/>
          <w:kern w:val="2"/>
          <w:sz w:val="24"/>
          <w:szCs w:val="24"/>
          <w:lang w:val="pl-PL"/>
        </w:rPr>
        <w:br/>
        <w:t xml:space="preserve">(ang. </w:t>
      </w:r>
      <w:r w:rsidRPr="00E273FA">
        <w:rPr>
          <w:rFonts w:ascii="Times New Roman" w:hAnsi="Times New Roman" w:eastAsia="Calibri" w:cs="Times New Roman"/>
          <w:i/>
          <w:iCs/>
          <w:noProof/>
          <w:kern w:val="2"/>
          <w:sz w:val="24"/>
          <w:szCs w:val="24"/>
          <w:lang w:val="pl-PL"/>
        </w:rPr>
        <w:t>congestion income</w:t>
      </w:r>
      <w:r w:rsidRPr="00E273FA">
        <w:rPr>
          <w:rFonts w:ascii="Times New Roman" w:hAnsi="Times New Roman" w:eastAsia="Calibri" w:cs="Times New Roman"/>
          <w:noProof/>
          <w:kern w:val="2"/>
          <w:sz w:val="24"/>
          <w:szCs w:val="24"/>
          <w:lang w:val="pl-PL"/>
        </w:rPr>
        <w:t xml:space="preserve">) powstającymi </w:t>
      </w:r>
      <w:r w:rsidRPr="00E273FA">
        <w:rPr>
          <w:rFonts w:ascii="Times New Roman" w:hAnsi="Times New Roman" w:cs="Times New Roman"/>
          <w:sz w:val="24"/>
          <w:szCs w:val="24"/>
          <w:lang w:val="pl-PL"/>
        </w:rPr>
        <w:t>w poszczególnych państwach członkowskich</w:t>
      </w:r>
      <w:r w:rsidRPr="00E273FA">
        <w:rPr>
          <w:rFonts w:ascii="Times New Roman" w:hAnsi="Times New Roman" w:eastAsia="Calibri" w:cs="Times New Roman"/>
          <w:noProof/>
          <w:kern w:val="2"/>
          <w:sz w:val="24"/>
          <w:szCs w:val="24"/>
          <w:lang w:val="pl-PL"/>
        </w:rPr>
        <w:t xml:space="preserve">. </w:t>
      </w:r>
      <w:r w:rsidRPr="00E273FA">
        <w:rPr>
          <w:rFonts w:ascii="Times New Roman" w:hAnsi="Times New Roman" w:eastAsia="Calibri" w:cs="Times New Roman"/>
          <w:noProof/>
          <w:kern w:val="2"/>
          <w:sz w:val="24"/>
          <w:szCs w:val="24"/>
          <w:lang w:val="pl-PL"/>
        </w:rPr>
        <w:br/>
        <w:t xml:space="preserve">W ocenie KSUE </w:t>
      </w:r>
      <w:r w:rsidRPr="00E273FA">
        <w:rPr>
          <w:rFonts w:ascii="Times New Roman" w:hAnsi="Times New Roman" w:cs="Times New Roman"/>
          <w:sz w:val="24"/>
          <w:szCs w:val="24"/>
          <w:lang w:val="pl-PL"/>
        </w:rPr>
        <w:t xml:space="preserve">przepisy te stanowią nadmierną ingerencję w uprawnienia państw członkowskich do przeznaczania tych środków na cele określone w art. 19 ust. 2 rozporządzenia (UE) 2019/943. </w:t>
      </w:r>
      <w:r w:rsidRPr="00E273FA">
        <w:rPr>
          <w:rFonts w:ascii="Times New Roman" w:hAnsi="Times New Roman" w:eastAsia="Calibri" w:cs="Times New Roman"/>
          <w:iCs/>
          <w:kern w:val="2"/>
          <w:sz w:val="24"/>
          <w:szCs w:val="24"/>
          <w:lang w:val="pl-PL"/>
        </w:rPr>
        <w:t>Dotychczasowa wiodąca rola krajowych organów regulacyjnych oraz operatorów systemu przesyłowego w optymalnym wydatkowaniu tych środków zostałaby osłabiona.</w:t>
      </w:r>
    </w:p>
    <w:p w:rsidRPr="00E273FA" w:rsidR="00E76377" w:rsidP="00E76377" w:rsidRDefault="00E76377" w14:paraId="33974A70" w14:textId="77777777">
      <w:pPr>
        <w:pStyle w:val="druk-stanard"/>
        <w:rPr>
          <w:color w:val="000080"/>
          <w:szCs w:val="24"/>
        </w:rPr>
      </w:pPr>
    </w:p>
    <w:p w:rsidRPr="00E273FA" w:rsidR="00E76377" w:rsidP="00E76377" w:rsidRDefault="00E76377" w14:paraId="4E0F8CD8" w14:textId="77777777">
      <w:pPr>
        <w:pStyle w:val="druk-stanard"/>
        <w:rPr>
          <w:color w:val="000080"/>
          <w:szCs w:val="24"/>
        </w:rPr>
      </w:pPr>
    </w:p>
    <w:p w:rsidRPr="00E273FA" w:rsidR="00E76377" w:rsidP="00E76377" w:rsidRDefault="00E76377" w14:paraId="459B125C" w14:textId="77777777">
      <w:pPr>
        <w:pStyle w:val="druk-stanard"/>
        <w:rPr>
          <w:color w:val="000080"/>
          <w:szCs w:val="24"/>
        </w:rPr>
      </w:pPr>
    </w:p>
    <w:p w:rsidRPr="00E273FA" w:rsidR="00E76377" w:rsidP="00E76377" w:rsidRDefault="00E76377" w14:paraId="691C2FBB" w14:textId="77777777">
      <w:pPr>
        <w:pStyle w:val="druk-stanard"/>
        <w:rPr>
          <w:color w:val="000080"/>
          <w:szCs w:val="24"/>
        </w:rPr>
      </w:pPr>
    </w:p>
    <w:p w:rsidRPr="00E273FA" w:rsidR="00E76377" w:rsidP="00E76377" w:rsidRDefault="00E76377" w14:paraId="796010BE" w14:textId="77777777">
      <w:pPr>
        <w:pStyle w:val="druk-stanard"/>
        <w:rPr>
          <w:color w:val="000080"/>
          <w:szCs w:val="24"/>
        </w:rPr>
      </w:pPr>
    </w:p>
    <w:p w:rsidRPr="00E273FA" w:rsidR="00E76377" w:rsidP="00E76377" w:rsidRDefault="00E76377" w14:paraId="756F33DE" w14:textId="77777777">
      <w:pPr>
        <w:pStyle w:val="druk-stanard"/>
        <w:rPr>
          <w:color w:val="000080"/>
          <w:szCs w:val="24"/>
        </w:rPr>
      </w:pPr>
    </w:p>
    <w:p w:rsidRPr="00E273FA" w:rsidR="00E76377" w:rsidP="00E76377" w:rsidRDefault="00E76377" w14:paraId="4625CCC0" w14:textId="77777777">
      <w:pPr>
        <w:pStyle w:val="druk-stanard"/>
        <w:rPr>
          <w:color w:val="000080"/>
          <w:szCs w:val="24"/>
        </w:rPr>
      </w:pPr>
    </w:p>
    <w:p w:rsidRPr="00E273FA" w:rsidR="00E76377" w:rsidP="00E76377" w:rsidRDefault="00E76377" w14:paraId="332CBA64" w14:textId="77777777">
      <w:pPr>
        <w:pStyle w:val="druk-stanard"/>
        <w:rPr>
          <w:szCs w:val="24"/>
        </w:rPr>
      </w:pPr>
    </w:p>
    <w:p w:rsidRPr="00E273FA" w:rsidR="00E76377" w:rsidP="00E76377" w:rsidRDefault="00E76377" w14:paraId="55F76398" w14:textId="77777777">
      <w:pPr>
        <w:pStyle w:val="druk-stanard"/>
        <w:rPr>
          <w:szCs w:val="24"/>
        </w:rPr>
      </w:pPr>
    </w:p>
    <w:p w:rsidR="00E76377" w:rsidP="00E76377" w:rsidRDefault="00E76377" w14:paraId="0EB4B32F" w14:textId="77777777">
      <w:pPr>
        <w:pStyle w:val="druk-stanard"/>
      </w:pPr>
    </w:p>
    <w:p w:rsidR="00E76377" w:rsidP="00E76377" w:rsidRDefault="00E76377" w14:paraId="454ADA4E" w14:textId="77777777">
      <w:pPr>
        <w:pStyle w:val="druk-stanard"/>
      </w:pPr>
    </w:p>
    <w:p w:rsidR="00E76377" w:rsidP="00E76377" w:rsidRDefault="00E76377" w14:paraId="63A5C012" w14:textId="77777777">
      <w:pPr>
        <w:pStyle w:val="druk-stanard"/>
      </w:pPr>
    </w:p>
    <w:p w:rsidR="00E76377" w:rsidP="00E76377" w:rsidRDefault="00E76377" w14:paraId="68C6554B" w14:textId="77777777">
      <w:pPr>
        <w:pStyle w:val="druk-stanard"/>
      </w:pPr>
    </w:p>
    <w:p w:rsidR="00E76377" w:rsidP="00E76377" w:rsidRDefault="00E76377" w14:paraId="1BC30786" w14:textId="77777777">
      <w:pPr>
        <w:pStyle w:val="druk-stanard"/>
      </w:pPr>
    </w:p>
    <w:p w:rsidR="00E76377" w:rsidP="00E76377" w:rsidRDefault="00E76377" w14:paraId="24045B06" w14:textId="77777777">
      <w:pPr>
        <w:pStyle w:val="druk-stanard"/>
      </w:pPr>
    </w:p>
    <w:p w:rsidR="00E76377" w:rsidP="00E76377" w:rsidRDefault="00E76377" w14:paraId="5624C99F" w14:textId="77777777">
      <w:pPr>
        <w:pStyle w:val="druk-stanard"/>
      </w:pPr>
    </w:p>
    <w:p w:rsidR="00E76377" w:rsidP="00E76377" w:rsidRDefault="00E76377" w14:paraId="5C57CDCC" w14:textId="77777777">
      <w:pPr>
        <w:pStyle w:val="druk-stanard"/>
      </w:pPr>
    </w:p>
    <w:p w:rsidR="00E76377" w:rsidP="00E76377" w:rsidRDefault="00E76377" w14:paraId="2F7F00AC" w14:textId="77777777">
      <w:pPr>
        <w:pStyle w:val="druk-stanard"/>
      </w:pPr>
    </w:p>
    <w:p w:rsidR="00E76377" w:rsidP="00E76377" w:rsidRDefault="00E76377" w14:paraId="3649A019" w14:textId="77777777">
      <w:pPr>
        <w:pStyle w:val="druk-stanard"/>
      </w:pPr>
    </w:p>
    <w:p w:rsidR="00E76377" w:rsidP="00E76377" w:rsidRDefault="00E76377" w14:paraId="418FC236" w14:textId="77777777">
      <w:pPr>
        <w:pStyle w:val="druk-stanard"/>
      </w:pPr>
    </w:p>
    <w:p w:rsidR="00E76377" w:rsidP="00E76377" w:rsidRDefault="00E76377" w14:paraId="431A775F" w14:textId="77777777">
      <w:pPr>
        <w:pStyle w:val="druk-stanard"/>
      </w:pPr>
    </w:p>
    <w:p w:rsidR="00E76377" w:rsidP="00E76377" w:rsidRDefault="00E76377" w14:paraId="6962449C" w14:textId="77777777">
      <w:pPr>
        <w:pStyle w:val="druk-stanard"/>
      </w:pPr>
    </w:p>
    <w:p w:rsidR="00E76377" w:rsidP="00E76377" w:rsidRDefault="00E76377" w14:paraId="79EF1159" w14:textId="77777777">
      <w:pPr>
        <w:pStyle w:val="druk-stanard"/>
      </w:pPr>
    </w:p>
    <w:p w:rsidR="00E76377" w:rsidP="00E76377" w:rsidRDefault="00E76377" w14:paraId="63798D20" w14:textId="77777777">
      <w:pPr>
        <w:pStyle w:val="druk-stanard"/>
      </w:pPr>
    </w:p>
    <w:p w:rsidRPr="00E76377" w:rsidR="00E76377" w:rsidP="00E76377" w:rsidRDefault="00E76377" w14:paraId="4927DFF6" w14:textId="77777777">
      <w:pPr>
        <w:pStyle w:val="d-tocz1"/>
        <w:rPr>
          <w:lang w:val="pt-PT"/>
        </w:rPr>
      </w:pPr>
      <w:r w:rsidRPr="00E76377">
        <w:rPr>
          <w:lang w:val="pt-PT"/>
        </w:rPr>
        <w:t>..........................................................................................................................................................</w:t>
      </w:r>
    </w:p>
    <w:p w:rsidRPr="00E76377" w:rsidR="00E76377" w:rsidP="00E76377" w:rsidRDefault="00E76377" w14:paraId="19C7CA52" w14:textId="77777777">
      <w:pPr>
        <w:pStyle w:val="d-tocz2"/>
        <w:rPr>
          <w:color w:val="000000"/>
          <w:lang w:val="pt-PT"/>
        </w:rPr>
      </w:pPr>
      <w:r w:rsidRPr="00E76377">
        <w:rPr>
          <w:color w:val="000000"/>
          <w:lang w:val="pt-PT"/>
        </w:rPr>
        <w:t>T ł o c z o n o   z   p o l e c e n i a   M a r s z a ł k a   S e n a t u</w:t>
      </w:r>
    </w:p>
    <w:p w:rsidRPr="00E76377" w:rsidR="00E76377" w:rsidP="00E76377" w:rsidRDefault="00E76377" w14:paraId="20A9591F" w14:textId="77777777">
      <w:pPr>
        <w:pStyle w:val="druk-stanard"/>
        <w:rPr>
          <w:color w:val="000000"/>
          <w:lang w:val="en-GB"/>
        </w:rPr>
      </w:pPr>
      <w:r w:rsidRPr="00E76377">
        <w:rPr>
          <w:color w:val="000000"/>
          <w:lang w:val="en-GB"/>
        </w:rPr>
        <w:t>..........................................................................................................................................................</w:t>
      </w:r>
    </w:p>
    <w:p w:rsidRPr="00E76377" w:rsidR="00E76377" w:rsidRDefault="00E76377" w14:paraId="7236917F" w14:textId="77777777">
      <w:pPr>
        <w:rPr>
          <w:rFonts w:ascii="Times New Roman" w:hAnsi="Times New Roman" w:cs="Times New Roman"/>
          <w:sz w:val="24"/>
          <w:szCs w:val="24"/>
          <w:lang w:val="en-GB"/>
        </w:rPr>
      </w:pPr>
    </w:p>
    <w:p w:rsidR="00E76377" w:rsidRDefault="00E76377" w14:paraId="11E630C0" w14:textId="46E8F61D">
      <w:pPr>
        <w:rPr>
          <w:rFonts w:ascii="Times New Roman" w:hAnsi="Times New Roman" w:cs="Times New Roman"/>
          <w:i/>
          <w:iCs/>
          <w:sz w:val="24"/>
          <w:szCs w:val="24"/>
          <w:lang w:val="en-GB"/>
        </w:rPr>
      </w:pPr>
      <w:r>
        <w:rPr>
          <w:rFonts w:ascii="Times New Roman" w:hAnsi="Times New Roman" w:cs="Times New Roman"/>
          <w:i/>
          <w:iCs/>
          <w:sz w:val="24"/>
          <w:szCs w:val="24"/>
          <w:lang w:val="en-GB"/>
        </w:rPr>
        <w:br w:type="page"/>
      </w:r>
    </w:p>
    <w:p w:rsidRPr="00E76377" w:rsidR="00E76377" w:rsidP="00E76377" w:rsidRDefault="00E273FA" w14:paraId="16B17644" w14:textId="09834E62">
      <w:pPr>
        <w:tabs>
          <w:tab w:val="left" w:pos="1210"/>
        </w:tabs>
        <w:spacing w:line="360" w:lineRule="auto"/>
        <w:rPr>
          <w:rFonts w:ascii="Times New Roman" w:hAnsi="Times New Roman" w:cs="Times New Roman"/>
          <w:i/>
          <w:iCs/>
          <w:sz w:val="24"/>
          <w:szCs w:val="24"/>
          <w:lang w:val="en-GB"/>
        </w:rPr>
      </w:pPr>
      <w:r w:rsidRPr="008C701E">
        <w:rPr>
          <w:rFonts w:ascii="Times New Roman" w:hAnsi="Times New Roman" w:cs="Times New Roman"/>
          <w:i/>
          <w:iCs/>
          <w:sz w:val="24"/>
          <w:szCs w:val="24"/>
          <w:lang w:val="en-GB"/>
        </w:rPr>
        <w:lastRenderedPageBreak/>
        <w:t>Courtesy translation</w:t>
      </w:r>
      <w:bookmarkEnd w:id="2"/>
      <w:bookmarkEnd w:id="3"/>
      <w:bookmarkEnd w:id="4"/>
      <w:bookmarkEnd w:id="5"/>
    </w:p>
    <w:p w:rsidRPr="00400642" w:rsidR="00E76377" w:rsidP="00E76377" w:rsidRDefault="00E76377" w14:paraId="3112CD0B" w14:textId="77777777"/>
    <w:p w:rsidRPr="00E273FA" w:rsidR="00E76377" w:rsidP="00E76377" w:rsidRDefault="00E76377" w14:paraId="3950FDA2" w14:textId="77777777">
      <w:pPr>
        <w:spacing w:line="276" w:lineRule="auto"/>
        <w:jc w:val="center"/>
        <w:rPr>
          <w:rFonts w:ascii="Times New Roman" w:hAnsi="Times New Roman" w:eastAsia="Calibri" w:cs="Times New Roman"/>
          <w:b/>
          <w:kern w:val="2"/>
          <w:sz w:val="24"/>
          <w:szCs w:val="24"/>
        </w:rPr>
      </w:pPr>
      <w:r w:rsidRPr="00E273FA">
        <w:rPr>
          <w:rFonts w:ascii="Times New Roman" w:hAnsi="Times New Roman" w:eastAsia="Calibri" w:cs="Times New Roman"/>
          <w:b/>
          <w:bCs/>
          <w:kern w:val="2"/>
          <w:sz w:val="24"/>
          <w:szCs w:val="24"/>
          <w:lang w:val="en-GB"/>
        </w:rPr>
        <w:t>Opinion</w:t>
      </w:r>
    </w:p>
    <w:p w:rsidRPr="00E273FA" w:rsidR="00E76377" w:rsidP="00E76377" w:rsidRDefault="00E76377" w14:paraId="731EF322" w14:textId="77777777">
      <w:pPr>
        <w:spacing w:line="276" w:lineRule="auto"/>
        <w:jc w:val="center"/>
        <w:rPr>
          <w:rFonts w:ascii="Times New Roman" w:hAnsi="Times New Roman" w:eastAsia="Calibri" w:cs="Times New Roman"/>
          <w:b/>
          <w:kern w:val="2"/>
          <w:sz w:val="24"/>
          <w:szCs w:val="24"/>
        </w:rPr>
      </w:pPr>
      <w:r w:rsidRPr="00E273FA">
        <w:rPr>
          <w:rFonts w:ascii="Times New Roman" w:hAnsi="Times New Roman" w:eastAsia="Calibri" w:cs="Times New Roman"/>
          <w:b/>
          <w:bCs/>
          <w:kern w:val="2"/>
          <w:sz w:val="24"/>
          <w:szCs w:val="24"/>
          <w:lang w:val="en-GB"/>
        </w:rPr>
        <w:t>of the European Union Affairs Committee of the Senate of the Republic of Poland</w:t>
      </w:r>
    </w:p>
    <w:p w:rsidRPr="00E273FA" w:rsidR="00E76377" w:rsidP="00E76377" w:rsidRDefault="00E76377" w14:paraId="056263E7" w14:textId="77777777">
      <w:pPr>
        <w:spacing w:line="276" w:lineRule="auto"/>
        <w:jc w:val="center"/>
        <w:rPr>
          <w:rFonts w:ascii="Times New Roman" w:hAnsi="Times New Roman" w:eastAsia="Calibri" w:cs="Times New Roman"/>
          <w:b/>
          <w:kern w:val="2"/>
          <w:sz w:val="24"/>
          <w:szCs w:val="24"/>
        </w:rPr>
      </w:pPr>
      <w:r w:rsidRPr="00E273FA">
        <w:rPr>
          <w:rFonts w:ascii="Times New Roman" w:hAnsi="Times New Roman" w:eastAsia="Calibri" w:cs="Times New Roman"/>
          <w:b/>
          <w:bCs/>
          <w:kern w:val="2"/>
          <w:sz w:val="24"/>
          <w:szCs w:val="24"/>
          <w:lang w:val="en-GB"/>
        </w:rPr>
        <w:t>on the proposal for a Regulation of the European Parliament and of the Council on guidelines for trans-European energy infrastructure, amending Regulations (EU) 2019/942, (EU) 2019/943 and (EU) 2024/1789 and repealing Regulation (EU) 2022/869</w:t>
      </w:r>
    </w:p>
    <w:p w:rsidRPr="00E273FA" w:rsidR="00E76377" w:rsidP="00E76377" w:rsidRDefault="00E76377" w14:paraId="2A9F54D5" w14:textId="77777777">
      <w:pPr>
        <w:adjustRightInd w:val="0"/>
        <w:spacing w:line="276" w:lineRule="auto"/>
        <w:jc w:val="center"/>
        <w:rPr>
          <w:rFonts w:ascii="Times New Roman" w:hAnsi="Times New Roman" w:eastAsia="Calibri" w:cs="Times New Roman"/>
          <w:b/>
          <w:kern w:val="2"/>
          <w:sz w:val="24"/>
          <w:szCs w:val="24"/>
        </w:rPr>
      </w:pPr>
      <w:r w:rsidRPr="00E273FA">
        <w:rPr>
          <w:rFonts w:ascii="Times New Roman" w:hAnsi="Times New Roman" w:eastAsia="Calibri" w:cs="Times New Roman"/>
          <w:b/>
          <w:bCs/>
          <w:kern w:val="2"/>
          <w:sz w:val="24"/>
          <w:szCs w:val="24"/>
          <w:lang w:val="en-GB"/>
        </w:rPr>
        <w:t>COM(2025)1006</w:t>
      </w:r>
    </w:p>
    <w:p w:rsidRPr="00E273FA" w:rsidR="00E76377" w:rsidP="00E76377" w:rsidRDefault="00E76377" w14:paraId="3D8646E5" w14:textId="77777777">
      <w:pPr>
        <w:adjustRightInd w:val="0"/>
        <w:spacing w:line="276" w:lineRule="auto"/>
        <w:jc w:val="center"/>
        <w:rPr>
          <w:rFonts w:ascii="Times New Roman" w:hAnsi="Times New Roman" w:eastAsia="Calibri" w:cs="Times New Roman"/>
          <w:b/>
          <w:kern w:val="2"/>
          <w:sz w:val="24"/>
          <w:szCs w:val="24"/>
        </w:rPr>
      </w:pPr>
    </w:p>
    <w:p w:rsidRPr="00E273FA" w:rsidR="00E76377" w:rsidP="00E76377" w:rsidRDefault="00E76377" w14:paraId="635A9F06" w14:textId="77777777">
      <w:pPr>
        <w:spacing w:before="120" w:line="276" w:lineRule="auto"/>
        <w:jc w:val="center"/>
        <w:rPr>
          <w:rFonts w:ascii="Times New Roman" w:hAnsi="Times New Roman" w:eastAsia="Calibri" w:cs="Times New Roman"/>
          <w:b/>
          <w:kern w:val="2"/>
          <w:sz w:val="24"/>
          <w:szCs w:val="24"/>
        </w:rPr>
      </w:pPr>
      <w:r w:rsidRPr="00E273FA">
        <w:rPr>
          <w:rFonts w:ascii="Times New Roman" w:hAnsi="Times New Roman" w:eastAsia="Calibri" w:cs="Times New Roman"/>
          <w:b/>
          <w:bCs/>
          <w:kern w:val="2"/>
          <w:sz w:val="24"/>
          <w:szCs w:val="24"/>
          <w:lang w:val="en-GB"/>
        </w:rPr>
        <w:t>adopted at the meeting of 9 June 2026</w:t>
      </w:r>
    </w:p>
    <w:p w:rsidRPr="00E273FA" w:rsidR="00E76377" w:rsidP="00E76377" w:rsidRDefault="00E76377" w14:paraId="26938F3C" w14:textId="77777777">
      <w:pPr>
        <w:spacing w:line="276" w:lineRule="auto"/>
        <w:rPr>
          <w:rFonts w:ascii="Times New Roman" w:hAnsi="Times New Roman" w:eastAsia="Calibri" w:cs="Times New Roman"/>
          <w:kern w:val="2"/>
          <w:sz w:val="24"/>
          <w:szCs w:val="24"/>
        </w:rPr>
      </w:pPr>
    </w:p>
    <w:p w:rsidRPr="00E273FA" w:rsidR="00E76377" w:rsidP="00E76377" w:rsidRDefault="00E76377" w14:paraId="05EAB369" w14:textId="77777777">
      <w:pPr>
        <w:numPr>
          <w:ilvl w:val="0"/>
          <w:numId w:val="2"/>
        </w:numPr>
        <w:spacing w:line="276" w:lineRule="auto"/>
        <w:ind w:left="425" w:hanging="357"/>
        <w:jc w:val="both"/>
        <w:rPr>
          <w:rFonts w:ascii="Times New Roman" w:hAnsi="Times New Roman" w:eastAsia="Calibri" w:cs="Times New Roman"/>
          <w:noProof/>
          <w:kern w:val="2"/>
          <w:sz w:val="24"/>
          <w:szCs w:val="24"/>
        </w:rPr>
      </w:pPr>
      <w:r w:rsidRPr="00E273FA">
        <w:rPr>
          <w:rFonts w:ascii="Times New Roman" w:hAnsi="Times New Roman" w:eastAsia="Calibri" w:cs="Times New Roman"/>
          <w:noProof/>
          <w:kern w:val="2"/>
          <w:sz w:val="24"/>
          <w:szCs w:val="24"/>
          <w:lang w:val="en-GB"/>
        </w:rPr>
        <w:t>The European Union Affairs Committee of the Senate of the Republic of Poland (EUAC) recognises the vital role of trans-European energy infrastructure. It views positively the European Commission’s efforts to accelerate and expand energy infrastructure, with particular emphasis on: (1) the integration of renewable energy sources, (2) increasing the connection and transmission capacities of electricity networks, (3) the digitalisation and resilience of systems (to both cyber threats and climate change); and (4) the simplification of administrative and permitting procedures for key projects (Projects of Common Interest – PCIs and Projects of Mutual Interest – PMIs).</w:t>
      </w:r>
    </w:p>
    <w:p w:rsidRPr="00E273FA" w:rsidR="00E76377" w:rsidP="00E76377" w:rsidRDefault="00E76377" w14:paraId="17F188FB" w14:textId="77777777">
      <w:pPr>
        <w:numPr>
          <w:ilvl w:val="0"/>
          <w:numId w:val="2"/>
        </w:numPr>
        <w:spacing w:line="276" w:lineRule="auto"/>
        <w:ind w:left="425" w:hanging="357"/>
        <w:jc w:val="both"/>
        <w:rPr>
          <w:rFonts w:ascii="Times New Roman" w:hAnsi="Times New Roman" w:eastAsia="Calibri" w:cs="Times New Roman"/>
          <w:iCs/>
          <w:kern w:val="2"/>
          <w:sz w:val="24"/>
          <w:szCs w:val="24"/>
        </w:rPr>
      </w:pPr>
      <w:r w:rsidRPr="00E273FA">
        <w:rPr>
          <w:rFonts w:ascii="Times New Roman" w:hAnsi="Times New Roman" w:eastAsia="Calibri" w:cs="Times New Roman"/>
          <w:kern w:val="2"/>
          <w:sz w:val="24"/>
          <w:szCs w:val="24"/>
          <w:lang w:val="en-GB"/>
        </w:rPr>
        <w:t xml:space="preserve">The proposal for a Regulation, COM(2025)1006, aims to reduce the bureaucratic barriers that have significantly delayed key energy infrastructure projects, which the EUAC also views positively. Furthermore, the EUAC considers the shift set out in the proposed Regulation towards greater digitalisation and flexibility of energy networks to be beneficial, as it will, among other things, enable better management of distributed energy sources through the development of smart grids. </w:t>
      </w:r>
    </w:p>
    <w:p w:rsidRPr="00E273FA" w:rsidR="00E76377" w:rsidP="00E273FA" w:rsidRDefault="00E76377" w14:paraId="2103D330" w14:textId="54838DE1">
      <w:pPr>
        <w:numPr>
          <w:ilvl w:val="0"/>
          <w:numId w:val="2"/>
        </w:numPr>
        <w:spacing w:line="276" w:lineRule="auto"/>
        <w:ind w:left="425" w:hanging="357"/>
        <w:jc w:val="both"/>
        <w:rPr>
          <w:rFonts w:ascii="Times New Roman" w:hAnsi="Times New Roman" w:eastAsia="Calibri" w:cs="Times New Roman"/>
          <w:bCs/>
          <w:kern w:val="2"/>
          <w:sz w:val="24"/>
          <w:szCs w:val="24"/>
        </w:rPr>
      </w:pPr>
      <w:r w:rsidRPr="00E273FA">
        <w:rPr>
          <w:rFonts w:ascii="Times New Roman" w:hAnsi="Times New Roman" w:eastAsia="Calibri" w:cs="Times New Roman"/>
          <w:noProof/>
          <w:kern w:val="2"/>
          <w:sz w:val="24"/>
          <w:szCs w:val="24"/>
          <w:lang w:val="en-GB"/>
        </w:rPr>
        <w:t xml:space="preserve">However, the EUAC raises reservations regarding the proposed amendment providing for the European Commission to develop a single central scenario for an EU-wide network development plan, while limiting the roles of operators’ associations and Member States to providing the data necessary for its preparation. The current bottom-up system, under which operators’ associations and Member </w:t>
      </w:r>
      <w:r w:rsidRPr="00E273FA">
        <w:rPr>
          <w:rFonts w:ascii="Times New Roman" w:hAnsi="Times New Roman" w:eastAsia="Calibri" w:cs="Times New Roman"/>
          <w:kern w:val="2"/>
          <w:sz w:val="24"/>
          <w:szCs w:val="24"/>
          <w:lang w:val="en-GB"/>
        </w:rPr>
        <w:t>States draw up scenarios for the purposes of ten-year network development plans, functions properly and delivers the expected results. Associations of operators and Member States possess the necessary expertise to identify investment priorities as well as bottlenecks and other vulnerabilities within the networks. Energy infrastructure is too technically complex, too regional, and too politically sensitive to be designed on the basis of a single central scenario drawn up by the European Commission. Therefore, the EUAC proposes that Article 48 of Regulation (EU) 2019/943 and Article 60 of Regulation (EU) 2024/1789 remain unchanged, i.e., maintaining the current bottom-up system for drawing up the EU-wide network development plan.</w:t>
      </w:r>
    </w:p>
    <w:p w:rsidRPr="00E273FA" w:rsidR="00E76377" w:rsidP="00E76377" w:rsidRDefault="00E76377" w14:paraId="0C0269EE" w14:textId="0D62C3F2">
      <w:pPr>
        <w:numPr>
          <w:ilvl w:val="0"/>
          <w:numId w:val="2"/>
        </w:numPr>
        <w:spacing w:line="276" w:lineRule="auto"/>
        <w:ind w:left="425" w:hanging="357"/>
        <w:jc w:val="both"/>
        <w:rPr>
          <w:rFonts w:ascii="Times New Roman" w:hAnsi="Times New Roman" w:eastAsia="Calibri" w:cs="Times New Roman"/>
          <w:noProof/>
          <w:kern w:val="2"/>
          <w:sz w:val="24"/>
          <w:szCs w:val="24"/>
        </w:rPr>
      </w:pPr>
      <w:r w:rsidRPr="00E273FA">
        <w:rPr>
          <w:rFonts w:ascii="Times New Roman" w:hAnsi="Times New Roman" w:eastAsia="Calibri" w:cs="Times New Roman"/>
          <w:noProof/>
          <w:kern w:val="2"/>
          <w:sz w:val="24"/>
          <w:szCs w:val="24"/>
          <w:lang w:val="en-GB"/>
        </w:rPr>
        <w:lastRenderedPageBreak/>
        <w:t>Furthermore, the EUAC calls for maintaining a model in which Member States, national regulatory authorities, and system operators play a leading role in identifying and defining investment priorities within network infrastructure. In addition, all projects submitted for inclusion on the PCI/PMI list must be subject to uniform eligibility and assessment rules, including the requirement to obtain the consent of the relevant Member States. The EUAC objects to the possibility, provided for in the proposed Regulation, that allows non-transmission system operators to apply for the implementation of additional electricity projects.</w:t>
      </w:r>
    </w:p>
    <w:p w:rsidRPr="00E273FA" w:rsidR="00E76377" w:rsidP="00E76377" w:rsidRDefault="00E76377" w14:paraId="53A68662" w14:textId="77777777">
      <w:pPr>
        <w:numPr>
          <w:ilvl w:val="0"/>
          <w:numId w:val="2"/>
        </w:numPr>
        <w:spacing w:line="276" w:lineRule="auto"/>
        <w:ind w:left="425" w:hanging="357"/>
        <w:jc w:val="both"/>
        <w:rPr>
          <w:rFonts w:ascii="Times New Roman" w:hAnsi="Times New Roman" w:eastAsia="Calibri" w:cs="Times New Roman"/>
          <w:bCs/>
          <w:kern w:val="2"/>
          <w:sz w:val="24"/>
          <w:szCs w:val="24"/>
        </w:rPr>
      </w:pPr>
      <w:r w:rsidRPr="00E273FA">
        <w:rPr>
          <w:rFonts w:ascii="Times New Roman" w:hAnsi="Times New Roman" w:cs="Times New Roman"/>
          <w:noProof/>
          <w:kern w:val="2"/>
          <w:sz w:val="24"/>
          <w:szCs w:val="24"/>
          <w:lang w:val="en-GB"/>
        </w:rPr>
        <w:t xml:space="preserve">In addition, the EUAC expresses doubts </w:t>
      </w:r>
      <w:r w:rsidRPr="00E273FA">
        <w:rPr>
          <w:rFonts w:ascii="Times New Roman" w:hAnsi="Times New Roman" w:cs="Times New Roman"/>
          <w:sz w:val="24"/>
          <w:szCs w:val="24"/>
          <w:lang w:val="en-GB"/>
        </w:rPr>
        <w:t>regarding the proposed measures</w:t>
      </w:r>
      <w:r w:rsidRPr="00E273FA">
        <w:rPr>
          <w:rFonts w:ascii="Times New Roman" w:hAnsi="Times New Roman" w:cs="Times New Roman"/>
          <w:noProof/>
          <w:kern w:val="2"/>
          <w:sz w:val="24"/>
          <w:szCs w:val="24"/>
          <w:lang w:val="en-GB"/>
        </w:rPr>
        <w:t xml:space="preserve"> that restrict the freedom to dispose of the congestion income generated </w:t>
      </w:r>
      <w:r w:rsidRPr="00E273FA">
        <w:rPr>
          <w:rFonts w:ascii="Times New Roman" w:hAnsi="Times New Roman" w:cs="Times New Roman"/>
          <w:sz w:val="24"/>
          <w:szCs w:val="24"/>
          <w:lang w:val="en-GB"/>
        </w:rPr>
        <w:t>within individual Member States</w:t>
      </w:r>
      <w:r w:rsidRPr="00E273FA">
        <w:rPr>
          <w:rFonts w:ascii="Times New Roman" w:hAnsi="Times New Roman" w:cs="Times New Roman"/>
          <w:noProof/>
          <w:kern w:val="2"/>
          <w:sz w:val="24"/>
          <w:szCs w:val="24"/>
          <w:lang w:val="en-GB"/>
        </w:rPr>
        <w:t xml:space="preserve">. In the EUAC’s view, </w:t>
      </w:r>
      <w:r w:rsidRPr="00E273FA">
        <w:rPr>
          <w:rFonts w:ascii="Times New Roman" w:hAnsi="Times New Roman" w:cs="Times New Roman"/>
          <w:sz w:val="24"/>
          <w:szCs w:val="24"/>
          <w:lang w:val="en-GB"/>
        </w:rPr>
        <w:t xml:space="preserve">these provisions constitute excessive interference with the Member States’ powers to allocate such funds for the purposes specified in Article 19(2) of Regulation (EU) 2019/943. </w:t>
      </w:r>
      <w:r w:rsidRPr="00E273FA">
        <w:rPr>
          <w:rFonts w:ascii="Times New Roman" w:hAnsi="Times New Roman" w:cs="Times New Roman"/>
          <w:kern w:val="2"/>
          <w:sz w:val="24"/>
          <w:szCs w:val="24"/>
          <w:lang w:val="en-GB"/>
        </w:rPr>
        <w:t>The current leading role of national regulatory authorities and transmission system operators in ensuring the optimal use of these funds would thereby be weakened.</w:t>
      </w:r>
    </w:p>
    <w:p w:rsidRPr="00E273FA" w:rsidR="00E76377" w:rsidP="00E76377" w:rsidRDefault="00E76377" w14:paraId="367E3CE9" w14:textId="77777777">
      <w:pPr>
        <w:pStyle w:val="druk-stanard"/>
        <w:rPr>
          <w:color w:val="000080"/>
          <w:szCs w:val="24"/>
          <w:lang w:val="en-US"/>
        </w:rPr>
      </w:pPr>
    </w:p>
    <w:p w:rsidRPr="00E76377" w:rsidR="00E273FA" w:rsidP="008C701E" w:rsidRDefault="00E273FA" w14:paraId="172CAA56" w14:textId="6CE5F011">
      <w:pPr>
        <w:tabs>
          <w:tab w:val="left" w:pos="1210"/>
        </w:tabs>
        <w:spacing w:line="360" w:lineRule="auto"/>
        <w:rPr>
          <w:rFonts w:ascii="Times New Roman" w:hAnsi="Times New Roman" w:cs="Times New Roman"/>
          <w:sz w:val="24"/>
          <w:szCs w:val="24"/>
        </w:rPr>
      </w:pPr>
    </w:p>
    <w:p w:rsidRPr="00E76377" w:rsidR="00E273FA" w:rsidP="0053332B" w:rsidRDefault="00E273FA" w14:paraId="172CAA57" w14:textId="4C37BA6E">
      <w:pPr>
        <w:tabs>
          <w:tab w:val="left" w:pos="1210"/>
        </w:tabs>
        <w:spacing w:line="360" w:lineRule="auto"/>
        <w:rPr>
          <w:rFonts w:ascii="Times New Roman" w:hAnsi="Times New Roman" w:cs="Times New Roman"/>
          <w:noProof/>
          <w:sz w:val="24"/>
          <w:szCs w:val="24"/>
          <w:lang w:val="en-GB"/>
        </w:rPr>
      </w:pPr>
    </w:p>
    <w:p w:rsidRPr="008C701E" w:rsidR="00E273FA" w:rsidP="008C701E" w:rsidRDefault="00E273FA" w14:paraId="172CAA58" w14:textId="77777777">
      <w:pPr>
        <w:tabs>
          <w:tab w:val="left" w:pos="1210"/>
        </w:tabs>
        <w:jc w:val="center"/>
        <w:rPr>
          <w:rFonts w:ascii="Times New Roman" w:hAnsi="Times New Roman" w:cs="Times New Roman"/>
          <w:sz w:val="24"/>
          <w:szCs w:val="24"/>
          <w:lang w:val="it-IT"/>
        </w:rPr>
      </w:pPr>
      <w:r>
        <w:rPr>
          <w:rFonts w:ascii="Times New Roman" w:hAnsi="Times New Roman" w:cs="Times New Roman"/>
          <w:sz w:val="24"/>
          <w:szCs w:val="24"/>
          <w:lang w:val="it-IT"/>
        </w:rPr>
        <w:t>_______________</w:t>
      </w:r>
    </w:p>
    <w:sectPr w:rsidRPr="008C701E" w:rsidR="008C701E" w:rsidSect="00A54E42">
      <w:headerReference w:type="even" r:id="Ra8d7fe9d085944a0"/>
      <w:headerReference w:type="default" r:id="R71c1e8edb3bc40dc"/>
      <w:footerReference w:type="even" r:id="Ra99461d4d34243f3"/>
      <w:footerReference w:type="default" r:id="R57d2afcb249747db"/>
      <w:headerReference w:type="first" r:id="Rb7d087d6c9ac40ff"/>
      <w:footerReference w:type="first" r:id="R68fd926414e4428a"/>
      <w:pgSz w:w="11907" w:h="1683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E42" w:rsidR="00E273FA" w:rsidP="00A54E42" w:rsidRDefault="00E273FA" w14:paraId="172CAA9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A54E42" w:rsidTr="00A54E42" w14:paraId="172CAA95" w14:textId="77777777">
      <w:trPr>
        <w:jc w:val="center"/>
      </w:trPr>
      <w:tc>
        <w:tcPr>
          <w:tcW w:w="5000" w:type="pct"/>
          <w:gridSpan w:val="7"/>
          <w:shd w:val="clear" w:color="auto" w:fill="auto"/>
          <w:tcMar>
            <w:top w:w="57" w:type="dxa"/>
          </w:tcMar>
        </w:tcPr>
        <w:p w:rsidRPr="00D94637" w:rsidR="00E273FA" w:rsidP="00D94637" w:rsidRDefault="00E273FA" w14:paraId="172CAA94" w14:textId="77777777">
          <w:pPr>
            <w:pStyle w:val="FooterText"/>
            <w:pBdr>
              <w:top w:val="single" w:color="auto" w:sz="4" w:space="1"/>
            </w:pBdr>
            <w:spacing w:before="200"/>
            <w:rPr>
              <w:sz w:val="2"/>
              <w:szCs w:val="2"/>
            </w:rPr>
          </w:pPr>
          <w:bookmarkStart w:name="FOOTER_STANDARD" w:id="13"/>
        </w:p>
      </w:tc>
    </w:tr>
    <w:tr w:rsidRPr="00B310DC" w:rsidR="00A54E42" w:rsidTr="00A54E42" w14:paraId="172CAA9A" w14:textId="77777777">
      <w:trPr>
        <w:jc w:val="center"/>
      </w:trPr>
      <w:tc>
        <w:tcPr>
          <w:tcW w:w="2500" w:type="pct"/>
          <w:gridSpan w:val="2"/>
          <w:shd w:val="clear" w:color="auto" w:fill="auto"/>
          <w:tcMar>
            <w:top w:w="0" w:type="dxa"/>
          </w:tcMar>
        </w:tcPr>
        <w:p w:rsidRPr="00AD7BF2" w:rsidR="00E273FA" w:rsidP="004F54B2" w:rsidRDefault="002F6E01" w14:paraId="172CAA96" w14:textId="4D1A7D42">
          <w:pPr>
            <w:pStyle w:val="FooterText"/>
          </w:pPr>
          <w:r>
            <w:t>10961</w:t>
          </w:r>
          <w:r w:rsidR="00E273FA">
            <w:t>/26</w:t>
          </w:r>
        </w:p>
      </w:tc>
      <w:tc>
        <w:tcPr>
          <w:tcW w:w="625" w:type="pct"/>
          <w:shd w:val="clear" w:color="auto" w:fill="auto"/>
          <w:tcMar>
            <w:top w:w="0" w:type="dxa"/>
          </w:tcMar>
        </w:tcPr>
        <w:p w:rsidRPr="00AD7BF2" w:rsidR="00E273FA" w:rsidP="00D94637" w:rsidRDefault="00E273FA" w14:paraId="172CAA97" w14:textId="77777777">
          <w:pPr>
            <w:pStyle w:val="FooterText"/>
            <w:jc w:val="center"/>
          </w:pPr>
        </w:p>
      </w:tc>
      <w:tc>
        <w:tcPr>
          <w:tcW w:w="1286" w:type="pct"/>
          <w:gridSpan w:val="3"/>
          <w:shd w:val="clear" w:color="auto" w:fill="auto"/>
          <w:tcMar>
            <w:top w:w="0" w:type="dxa"/>
          </w:tcMar>
        </w:tcPr>
        <w:p w:rsidRPr="002511D8" w:rsidR="00E273FA" w:rsidP="00D94637" w:rsidRDefault="00E273FA" w14:paraId="172CAA98" w14:textId="77777777">
          <w:pPr>
            <w:pStyle w:val="FooterText"/>
            <w:jc w:val="center"/>
          </w:pPr>
        </w:p>
      </w:tc>
      <w:tc>
        <w:tcPr>
          <w:tcW w:w="589" w:type="pct"/>
          <w:shd w:val="clear" w:color="auto" w:fill="auto"/>
          <w:tcMar>
            <w:top w:w="0" w:type="dxa"/>
          </w:tcMar>
        </w:tcPr>
        <w:p w:rsidRPr="00B310DC" w:rsidR="00E273FA" w:rsidP="00D94637" w:rsidRDefault="00E273FA" w14:paraId="172CAA99"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A54E42" w:rsidTr="00A54E42" w14:paraId="172CAA9F" w14:textId="77777777">
      <w:trPr>
        <w:jc w:val="center"/>
      </w:trPr>
      <w:tc>
        <w:tcPr>
          <w:tcW w:w="1774" w:type="pct"/>
          <w:shd w:val="clear" w:color="auto" w:fill="auto"/>
        </w:tcPr>
        <w:p w:rsidRPr="00AD7BF2" w:rsidR="00E273FA" w:rsidP="00D94637" w:rsidRDefault="00E273FA" w14:paraId="172CAA9B" w14:textId="77777777">
          <w:pPr>
            <w:pStyle w:val="FooterText"/>
            <w:spacing w:before="40"/>
          </w:pPr>
        </w:p>
      </w:tc>
      <w:tc>
        <w:tcPr>
          <w:tcW w:w="1455" w:type="pct"/>
          <w:gridSpan w:val="3"/>
          <w:shd w:val="clear" w:color="auto" w:fill="auto"/>
        </w:tcPr>
        <w:p w:rsidRPr="00AD7BF2" w:rsidR="00E273FA" w:rsidP="00D204D6" w:rsidRDefault="00E273FA" w14:paraId="172CAA9C" w14:textId="77777777">
          <w:pPr>
            <w:pStyle w:val="FooterText"/>
            <w:spacing w:before="40"/>
            <w:jc w:val="center"/>
          </w:pPr>
          <w:r>
            <w:t>TREE.2.B</w:t>
          </w:r>
        </w:p>
      </w:tc>
      <w:tc>
        <w:tcPr>
          <w:tcW w:w="742" w:type="pct"/>
          <w:shd w:val="clear" w:color="auto" w:fill="auto"/>
        </w:tcPr>
        <w:p w:rsidRPr="00D94637" w:rsidR="00E273FA" w:rsidP="002F0099" w:rsidRDefault="00E273FA" w14:paraId="172CAA9D" w14:textId="77777777">
          <w:pPr>
            <w:pStyle w:val="FooterText"/>
            <w:jc w:val="center"/>
            <w:rPr>
              <w:b/>
              <w:position w:val="-4"/>
              <w:sz w:val="36"/>
            </w:rPr>
          </w:pPr>
        </w:p>
      </w:tc>
      <w:tc>
        <w:tcPr>
          <w:tcW w:w="1029" w:type="pct"/>
          <w:gridSpan w:val="2"/>
          <w:shd w:val="clear" w:color="auto" w:fill="auto"/>
        </w:tcPr>
        <w:p w:rsidRPr="00695BAF" w:rsidR="00E273FA" w:rsidP="00D94637" w:rsidRDefault="00E273FA" w14:paraId="172CAA9E" w14:textId="66177DAC">
          <w:pPr>
            <w:pStyle w:val="FooterText"/>
            <w:jc w:val="right"/>
            <w:rPr>
              <w:caps/>
              <w:spacing w:val="-20"/>
              <w:sz w:val="16"/>
            </w:rPr>
          </w:pPr>
          <w:r>
            <w:rPr>
              <w:b/>
              <w:caps/>
              <w:spacing w:val="-20"/>
              <w:position w:val="-4"/>
              <w:sz w:val="36"/>
            </w:rPr>
            <w:t>EN‌/</w:t>
          </w:r>
          <w:r w:rsidR="00E76377">
            <w:rPr>
              <w:b/>
              <w:caps/>
              <w:spacing w:val="-20"/>
              <w:position w:val="-4"/>
              <w:sz w:val="36"/>
            </w:rPr>
            <w:t>PL</w:t>
          </w:r>
        </w:p>
      </w:tc>
    </w:tr>
    <w:bookmarkEnd w:id="13"/>
  </w:tbl>
  <w:p w:rsidRPr="00A54E42" w:rsidR="00E273FA" w:rsidP="00A54E42" w:rsidRDefault="00E273FA" w14:paraId="172CAAA0" w14:textId="77777777">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E42" w:rsidR="00E273FA" w:rsidP="00A54E42" w:rsidRDefault="00E273FA" w14:paraId="172CAAA2"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10961</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10961</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2F6E01" w:rsidTr="002F6E01" w14:paraId="67757786" w14:textId="77777777">
      <w:trPr>
        <w:jc w:val="center"/>
      </w:trPr>
      <w:tc>
        <w:tcPr>
          <w:tcW w:w="5000" w:type="pct"/>
          <w:gridSpan w:val="7"/>
          <w:shd w:val="clear" w:color="auto" w:fill="auto"/>
          <w:tcMar>
            <w:top w:w="57" w:type="dxa"/>
          </w:tcMar>
        </w:tcPr>
        <w:p w:rsidRPr="00D94637" w:rsidR="002F6E01" w:rsidP="00D94637" w:rsidRDefault="002F6E01" w14:paraId="7D8B6382" w14:textId="77777777">
          <w:pPr>
            <w:pStyle w:val="FooterText"/>
            <w:pBdr>
              <w:top w:val="single" w:color="auto" w:sz="4" w:space="1"/>
            </w:pBdr>
            <w:spacing w:before="200"/>
            <w:rPr>
              <w:sz w:val="2"/>
              <w:szCs w:val="2"/>
            </w:rPr>
          </w:pPr>
        </w:p>
      </w:tc>
    </w:tr>
    <w:tr w:rsidRPr="00B310DC" w:rsidR="002F6E01" w:rsidTr="002F6E01" w14:paraId="5BAE49D9" w14:textId="77777777">
      <w:trPr>
        <w:jc w:val="center"/>
      </w:trPr>
      <w:tc>
        <w:tcPr>
          <w:tcW w:w="2500" w:type="pct"/>
          <w:gridSpan w:val="2"/>
          <w:shd w:val="clear" w:color="auto" w:fill="auto"/>
          <w:tcMar>
            <w:top w:w="0" w:type="dxa"/>
          </w:tcMar>
        </w:tcPr>
        <w:p w:rsidRPr="00AD7BF2" w:rsidR="002F6E01" w:rsidP="004F54B2" w:rsidRDefault="002F6E01" w14:paraId="20772EEA" w14:textId="2CF0631A">
          <w:pPr>
            <w:pStyle w:val="FooterText"/>
          </w:pPr>
          <w:r>
            <w:t>10961/26</w:t>
          </w:r>
          <w:r w:rsidRPr="002511D8">
            <w:t xml:space="preserve"> </w:t>
          </w:r>
        </w:p>
      </w:tc>
      <w:tc>
        <w:tcPr>
          <w:tcW w:w="625" w:type="pct"/>
          <w:shd w:val="clear" w:color="auto" w:fill="auto"/>
          <w:tcMar>
            <w:top w:w="0" w:type="dxa"/>
          </w:tcMar>
        </w:tcPr>
        <w:p w:rsidRPr="00AD7BF2" w:rsidR="002F6E01" w:rsidP="00D94637" w:rsidRDefault="002F6E01" w14:paraId="174F9BAE" w14:textId="77777777">
          <w:pPr>
            <w:pStyle w:val="FooterText"/>
            <w:jc w:val="center"/>
          </w:pPr>
        </w:p>
      </w:tc>
      <w:tc>
        <w:tcPr>
          <w:tcW w:w="1286" w:type="pct"/>
          <w:gridSpan w:val="3"/>
          <w:shd w:val="clear" w:color="auto" w:fill="auto"/>
          <w:tcMar>
            <w:top w:w="0" w:type="dxa"/>
          </w:tcMar>
        </w:tcPr>
        <w:p w:rsidRPr="002511D8" w:rsidR="002F6E01" w:rsidP="00D94637" w:rsidRDefault="002F6E01" w14:paraId="64141F6D" w14:textId="77777777">
          <w:pPr>
            <w:pStyle w:val="FooterText"/>
            <w:jc w:val="center"/>
          </w:pPr>
        </w:p>
      </w:tc>
      <w:tc>
        <w:tcPr>
          <w:tcW w:w="589" w:type="pct"/>
          <w:shd w:val="clear" w:color="auto" w:fill="auto"/>
          <w:tcMar>
            <w:top w:w="0" w:type="dxa"/>
          </w:tcMar>
        </w:tcPr>
        <w:p w:rsidRPr="00B310DC" w:rsidR="002F6E01" w:rsidP="00D94637" w:rsidRDefault="002F6E01" w14:paraId="730681CB" w14:textId="595336F6">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2F6E01" w:rsidTr="002F6E01" w14:paraId="6EDDEC37" w14:textId="77777777">
      <w:trPr>
        <w:jc w:val="center"/>
      </w:trPr>
      <w:tc>
        <w:tcPr>
          <w:tcW w:w="1774" w:type="pct"/>
          <w:shd w:val="clear" w:color="auto" w:fill="auto"/>
        </w:tcPr>
        <w:p w:rsidRPr="00AD7BF2" w:rsidR="002F6E01" w:rsidP="00D94637" w:rsidRDefault="002F6E01" w14:paraId="4853E279" w14:textId="2EB63067">
          <w:pPr>
            <w:pStyle w:val="FooterText"/>
            <w:spacing w:before="40"/>
          </w:pPr>
        </w:p>
      </w:tc>
      <w:tc>
        <w:tcPr>
          <w:tcW w:w="1455" w:type="pct"/>
          <w:gridSpan w:val="3"/>
          <w:shd w:val="clear" w:color="auto" w:fill="auto"/>
        </w:tcPr>
        <w:p w:rsidRPr="00AD7BF2" w:rsidR="002F6E01" w:rsidP="00D204D6" w:rsidRDefault="002F6E01" w14:paraId="55241139" w14:textId="3304C504">
          <w:pPr>
            <w:pStyle w:val="FooterText"/>
            <w:spacing w:before="40"/>
            <w:jc w:val="center"/>
          </w:pPr>
          <w:r>
            <w:t>TREE.2.B</w:t>
          </w:r>
        </w:p>
      </w:tc>
      <w:tc>
        <w:tcPr>
          <w:tcW w:w="742" w:type="pct"/>
          <w:shd w:val="clear" w:color="auto" w:fill="auto"/>
        </w:tcPr>
        <w:p w:rsidRPr="00D94637" w:rsidR="002F6E01" w:rsidP="002F0099" w:rsidRDefault="002F6E01" w14:paraId="63B5ACAB" w14:textId="251543A4">
          <w:pPr>
            <w:pStyle w:val="FooterText"/>
            <w:jc w:val="center"/>
            <w:rPr>
              <w:b/>
              <w:position w:val="-4"/>
              <w:sz w:val="36"/>
            </w:rPr>
          </w:pPr>
        </w:p>
      </w:tc>
      <w:tc>
        <w:tcPr>
          <w:tcW w:w="1029" w:type="pct"/>
          <w:gridSpan w:val="2"/>
          <w:shd w:val="clear" w:color="auto" w:fill="auto"/>
        </w:tcPr>
        <w:p w:rsidRPr="00695BAF" w:rsidR="002F6E01" w:rsidP="00D94637" w:rsidRDefault="002F6E01" w14:paraId="4BAE0AB7" w14:textId="1398B607">
          <w:pPr>
            <w:pStyle w:val="FooterText"/>
            <w:jc w:val="right"/>
            <w:rPr>
              <w:caps/>
              <w:spacing w:val="-20"/>
              <w:sz w:val="16"/>
            </w:rPr>
          </w:pPr>
          <w:r>
            <w:rPr>
              <w:b/>
              <w:caps/>
              <w:spacing w:val="-20"/>
              <w:position w:val="-4"/>
              <w:sz w:val="36"/>
            </w:rPr>
            <w:t>EN‌/PL</w:t>
          </w:r>
        </w:p>
      </w:tc>
    </w:tr>
  </w:tbl>
  <w:p w:rsidRPr="002F6E01" w:rsidR="00855703" w:rsidP="002F6E01" w:rsidRDefault="00855703" w14:paraId="172CAA82" w14:textId="77777777">
    <w:pPr>
      <w:pStyle w:val="FooterCounci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10961</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10961</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TREE.2.B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2F6E01" w:rsidTr="00233D66" w14:paraId="5BD44782" w14:textId="77777777">
      <w:trPr>
        <w:jc w:val="center"/>
      </w:trPr>
      <w:tc>
        <w:tcPr>
          <w:tcW w:w="5000" w:type="pct"/>
          <w:gridSpan w:val="7"/>
          <w:shd w:val="clear" w:color="auto" w:fill="auto"/>
          <w:tcMar>
            <w:top w:w="57" w:type="dxa"/>
          </w:tcMar>
        </w:tcPr>
        <w:p w:rsidRPr="00D94637" w:rsidR="002F6E01" w:rsidP="00D94637" w:rsidRDefault="002F6E01" w14:paraId="4E45838B" w14:textId="77777777">
          <w:pPr>
            <w:pStyle w:val="FooterText"/>
            <w:pBdr>
              <w:top w:val="single" w:color="auto" w:sz="4" w:space="1"/>
            </w:pBdr>
            <w:spacing w:before="200"/>
            <w:rPr>
              <w:sz w:val="2"/>
              <w:szCs w:val="2"/>
            </w:rPr>
          </w:pPr>
        </w:p>
      </w:tc>
    </w:tr>
    <w:tr w:rsidRPr="00B310DC" w:rsidR="002F6E01" w:rsidTr="00233D66" w14:paraId="4A61B5B1" w14:textId="77777777">
      <w:trPr>
        <w:jc w:val="center"/>
      </w:trPr>
      <w:tc>
        <w:tcPr>
          <w:tcW w:w="2500" w:type="pct"/>
          <w:gridSpan w:val="2"/>
          <w:shd w:val="clear" w:color="auto" w:fill="auto"/>
          <w:tcMar>
            <w:top w:w="0" w:type="dxa"/>
          </w:tcMar>
        </w:tcPr>
        <w:p w:rsidRPr="00AD7BF2" w:rsidR="002F6E01" w:rsidP="004F54B2" w:rsidRDefault="002F6E01" w14:paraId="79C82229" w14:textId="77777777">
          <w:pPr>
            <w:pStyle w:val="FooterText"/>
          </w:pPr>
          <w:r>
            <w:t>8852/26</w:t>
          </w:r>
          <w:r w:rsidRPr="002511D8">
            <w:t xml:space="preserve"> </w:t>
          </w:r>
        </w:p>
      </w:tc>
      <w:tc>
        <w:tcPr>
          <w:tcW w:w="625" w:type="pct"/>
          <w:shd w:val="clear" w:color="auto" w:fill="auto"/>
          <w:tcMar>
            <w:top w:w="0" w:type="dxa"/>
          </w:tcMar>
        </w:tcPr>
        <w:p w:rsidRPr="00AD7BF2" w:rsidR="002F6E01" w:rsidP="00D94637" w:rsidRDefault="002F6E01" w14:paraId="0DD37A3B" w14:textId="77777777">
          <w:pPr>
            <w:pStyle w:val="FooterText"/>
            <w:jc w:val="center"/>
          </w:pPr>
        </w:p>
      </w:tc>
      <w:tc>
        <w:tcPr>
          <w:tcW w:w="1286" w:type="pct"/>
          <w:gridSpan w:val="3"/>
          <w:shd w:val="clear" w:color="auto" w:fill="auto"/>
          <w:tcMar>
            <w:top w:w="0" w:type="dxa"/>
          </w:tcMar>
        </w:tcPr>
        <w:p w:rsidRPr="002511D8" w:rsidR="002F6E01" w:rsidP="00D94637" w:rsidRDefault="002F6E01" w14:paraId="0504DC50" w14:textId="77777777">
          <w:pPr>
            <w:pStyle w:val="FooterText"/>
            <w:jc w:val="center"/>
          </w:pPr>
        </w:p>
      </w:tc>
      <w:tc>
        <w:tcPr>
          <w:tcW w:w="589" w:type="pct"/>
          <w:shd w:val="clear" w:color="auto" w:fill="auto"/>
          <w:tcMar>
            <w:top w:w="0" w:type="dxa"/>
          </w:tcMar>
        </w:tcPr>
        <w:p w:rsidRPr="00B310DC" w:rsidR="002F6E01" w:rsidP="00D94637" w:rsidRDefault="002F6E01" w14:paraId="2684A95A" w14:textId="77777777">
          <w:pPr>
            <w:pStyle w:val="FooterText"/>
            <w:jc w:val="right"/>
          </w:pPr>
          <w:r>
            <w:fldChar w:fldCharType="begin"/>
          </w:r>
          <w:r>
            <w:instrText xml:space="preserve"> PAGE  \* MERGEFORMAT </w:instrText>
          </w:r>
          <w:r>
            <w:fldChar w:fldCharType="separate"/>
          </w:r>
          <w:r>
            <w:rPr>
              <w:noProof/>
            </w:rPr>
            <w:t>0</w:t>
          </w:r>
          <w:r>
            <w:fldChar w:fldCharType="end"/>
          </w:r>
        </w:p>
      </w:tc>
    </w:tr>
    <w:tr w:rsidRPr="00D94637" w:rsidR="002F6E01" w:rsidTr="00233D66" w14:paraId="3084CC23" w14:textId="77777777">
      <w:trPr>
        <w:jc w:val="center"/>
      </w:trPr>
      <w:tc>
        <w:tcPr>
          <w:tcW w:w="1774" w:type="pct"/>
          <w:shd w:val="clear" w:color="auto" w:fill="auto"/>
        </w:tcPr>
        <w:p w:rsidRPr="00AD7BF2" w:rsidR="002F6E01" w:rsidP="00D94637" w:rsidRDefault="002F6E01" w14:paraId="21841288" w14:textId="77777777">
          <w:pPr>
            <w:pStyle w:val="FooterText"/>
            <w:spacing w:before="40"/>
          </w:pPr>
        </w:p>
      </w:tc>
      <w:tc>
        <w:tcPr>
          <w:tcW w:w="1455" w:type="pct"/>
          <w:gridSpan w:val="3"/>
          <w:shd w:val="clear" w:color="auto" w:fill="auto"/>
        </w:tcPr>
        <w:p w:rsidRPr="00AD7BF2" w:rsidR="002F6E01" w:rsidP="00D204D6" w:rsidRDefault="002F6E01" w14:paraId="62C7ACF7" w14:textId="77777777">
          <w:pPr>
            <w:pStyle w:val="FooterText"/>
            <w:spacing w:before="40"/>
            <w:jc w:val="center"/>
          </w:pPr>
          <w:r>
            <w:t>TREE.2.B</w:t>
          </w:r>
        </w:p>
      </w:tc>
      <w:tc>
        <w:tcPr>
          <w:tcW w:w="742" w:type="pct"/>
          <w:shd w:val="clear" w:color="auto" w:fill="auto"/>
        </w:tcPr>
        <w:p w:rsidRPr="00D94637" w:rsidR="002F6E01" w:rsidP="002F0099" w:rsidRDefault="002F6E01" w14:paraId="21437D76" w14:textId="77777777">
          <w:pPr>
            <w:pStyle w:val="FooterText"/>
            <w:jc w:val="center"/>
            <w:rPr>
              <w:b/>
              <w:position w:val="-4"/>
              <w:sz w:val="36"/>
            </w:rPr>
          </w:pPr>
        </w:p>
      </w:tc>
      <w:tc>
        <w:tcPr>
          <w:tcW w:w="1029" w:type="pct"/>
          <w:gridSpan w:val="2"/>
          <w:shd w:val="clear" w:color="auto" w:fill="auto"/>
        </w:tcPr>
        <w:p w:rsidRPr="00695BAF" w:rsidR="002F6E01" w:rsidP="00D94637" w:rsidRDefault="002F6E01" w14:paraId="3530E9C4" w14:textId="77777777">
          <w:pPr>
            <w:pStyle w:val="FooterText"/>
            <w:jc w:val="right"/>
            <w:rPr>
              <w:caps/>
              <w:spacing w:val="-20"/>
              <w:sz w:val="16"/>
            </w:rPr>
          </w:pPr>
          <w:r>
            <w:rPr>
              <w:b/>
              <w:caps/>
              <w:spacing w:val="-20"/>
              <w:position w:val="-4"/>
              <w:sz w:val="36"/>
            </w:rPr>
            <w:t>EN‌/IT</w:t>
          </w:r>
        </w:p>
      </w:tc>
    </w:tr>
  </w:tbl>
  <w:p w:rsidRPr="00233D66" w:rsidR="002F6E01" w:rsidP="00233D66" w:rsidRDefault="002F6E01" w14:paraId="71981C93" w14:textId="77777777">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279"/>
      <w:gridCol w:w="1342"/>
      <w:gridCol w:w="1155"/>
      <w:gridCol w:w="192"/>
      <w:gridCol w:w="1371"/>
      <w:gridCol w:w="813"/>
      <w:gridCol w:w="1088"/>
    </w:tblGrid>
    <w:tr w:rsidRPr="00D94637" w:rsidR="002F6E01" w:rsidTr="00D94637" w14:paraId="111D8ED5" w14:textId="77777777">
      <w:trPr>
        <w:jc w:val="center"/>
      </w:trPr>
      <w:tc>
        <w:tcPr>
          <w:tcW w:w="5000" w:type="pct"/>
          <w:gridSpan w:val="7"/>
          <w:shd w:val="clear" w:color="auto" w:fill="auto"/>
          <w:tcMar>
            <w:top w:w="57" w:type="dxa"/>
          </w:tcMar>
        </w:tcPr>
        <w:p w:rsidRPr="00D94637" w:rsidR="002F6E01" w:rsidP="00D94637" w:rsidRDefault="002F6E01" w14:paraId="1F6F6FB7" w14:textId="77777777">
          <w:pPr>
            <w:pStyle w:val="FooterText"/>
            <w:pBdr>
              <w:top w:val="single" w:color="auto" w:sz="4" w:space="1"/>
            </w:pBdr>
            <w:spacing w:before="200"/>
            <w:rPr>
              <w:sz w:val="2"/>
              <w:szCs w:val="2"/>
            </w:rPr>
          </w:pPr>
        </w:p>
      </w:tc>
    </w:tr>
    <w:tr w:rsidRPr="00B310DC" w:rsidR="002F6E01" w:rsidTr="00842D7E" w14:paraId="622A8704" w14:textId="77777777">
      <w:trPr>
        <w:jc w:val="center"/>
      </w:trPr>
      <w:tc>
        <w:tcPr>
          <w:tcW w:w="2500" w:type="pct"/>
          <w:gridSpan w:val="2"/>
          <w:shd w:val="clear" w:color="auto" w:fill="auto"/>
          <w:tcMar>
            <w:top w:w="0" w:type="dxa"/>
          </w:tcMar>
        </w:tcPr>
        <w:p w:rsidRPr="00AD7BF2" w:rsidR="002F6E01" w:rsidP="004F54B2" w:rsidRDefault="002F6E01" w14:paraId="35FD4291" w14:textId="77777777">
          <w:pPr>
            <w:pStyle w:val="FooterText"/>
          </w:pPr>
          <w:r>
            <w:t>10961/26</w:t>
          </w:r>
          <w:r w:rsidRPr="002511D8">
            <w:t xml:space="preserve"> </w:t>
          </w:r>
        </w:p>
      </w:tc>
      <w:tc>
        <w:tcPr>
          <w:tcW w:w="625" w:type="pct"/>
          <w:shd w:val="clear" w:color="auto" w:fill="auto"/>
          <w:tcMar>
            <w:top w:w="0" w:type="dxa"/>
          </w:tcMar>
        </w:tcPr>
        <w:p w:rsidRPr="00AD7BF2" w:rsidR="002F6E01" w:rsidP="00D94637" w:rsidRDefault="002F6E01" w14:paraId="4FEF8F90" w14:textId="77777777">
          <w:pPr>
            <w:pStyle w:val="FooterText"/>
            <w:jc w:val="center"/>
          </w:pPr>
        </w:p>
      </w:tc>
      <w:tc>
        <w:tcPr>
          <w:tcW w:w="1286" w:type="pct"/>
          <w:gridSpan w:val="3"/>
          <w:shd w:val="clear" w:color="auto" w:fill="auto"/>
          <w:tcMar>
            <w:top w:w="0" w:type="dxa"/>
          </w:tcMar>
        </w:tcPr>
        <w:p w:rsidRPr="002511D8" w:rsidR="002F6E01" w:rsidP="00D94637" w:rsidRDefault="002F6E01" w14:paraId="34636DD1" w14:textId="77777777">
          <w:pPr>
            <w:pStyle w:val="FooterText"/>
            <w:jc w:val="center"/>
          </w:pPr>
        </w:p>
      </w:tc>
      <w:tc>
        <w:tcPr>
          <w:tcW w:w="589" w:type="pct"/>
          <w:shd w:val="clear" w:color="auto" w:fill="auto"/>
          <w:tcMar>
            <w:top w:w="0" w:type="dxa"/>
          </w:tcMar>
        </w:tcPr>
        <w:p w:rsidRPr="00B310DC" w:rsidR="002F6E01" w:rsidP="00D94637" w:rsidRDefault="002F6E01" w14:paraId="6578B0FB"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2F6E01" w:rsidTr="00430704" w14:paraId="30EB569C" w14:textId="77777777">
      <w:trPr>
        <w:jc w:val="center"/>
      </w:trPr>
      <w:tc>
        <w:tcPr>
          <w:tcW w:w="1774" w:type="pct"/>
          <w:shd w:val="clear" w:color="auto" w:fill="auto"/>
        </w:tcPr>
        <w:p w:rsidRPr="00AD7BF2" w:rsidR="002F6E01" w:rsidP="00D94637" w:rsidRDefault="002F6E01" w14:paraId="148A8BA2" w14:textId="77777777">
          <w:pPr>
            <w:pStyle w:val="FooterText"/>
            <w:spacing w:before="40"/>
          </w:pPr>
        </w:p>
      </w:tc>
      <w:tc>
        <w:tcPr>
          <w:tcW w:w="1455" w:type="pct"/>
          <w:gridSpan w:val="3"/>
          <w:shd w:val="clear" w:color="auto" w:fill="auto"/>
        </w:tcPr>
        <w:p w:rsidRPr="00AD7BF2" w:rsidR="002F6E01" w:rsidP="00D204D6" w:rsidRDefault="002F6E01" w14:paraId="221B7DE6" w14:textId="77777777">
          <w:pPr>
            <w:pStyle w:val="FooterText"/>
            <w:spacing w:before="40"/>
            <w:jc w:val="center"/>
          </w:pPr>
          <w:r>
            <w:t>TREE.2.B</w:t>
          </w:r>
        </w:p>
      </w:tc>
      <w:tc>
        <w:tcPr>
          <w:tcW w:w="742" w:type="pct"/>
          <w:shd w:val="clear" w:color="auto" w:fill="auto"/>
        </w:tcPr>
        <w:p w:rsidRPr="00D94637" w:rsidR="002F6E01" w:rsidP="002F0099" w:rsidRDefault="002F6E01" w14:paraId="13B9B54D" w14:textId="77777777">
          <w:pPr>
            <w:pStyle w:val="FooterText"/>
            <w:jc w:val="center"/>
            <w:rPr>
              <w:b/>
              <w:position w:val="-4"/>
              <w:sz w:val="36"/>
            </w:rPr>
          </w:pPr>
        </w:p>
      </w:tc>
      <w:tc>
        <w:tcPr>
          <w:tcW w:w="1029" w:type="pct"/>
          <w:gridSpan w:val="2"/>
          <w:shd w:val="clear" w:color="auto" w:fill="auto"/>
        </w:tcPr>
        <w:p w:rsidRPr="00695BAF" w:rsidR="002F6E01" w:rsidP="00D94637" w:rsidRDefault="002F6E01" w14:paraId="566D0F28" w14:textId="77777777">
          <w:pPr>
            <w:pStyle w:val="FooterText"/>
            <w:jc w:val="right"/>
            <w:rPr>
              <w:caps/>
              <w:spacing w:val="-20"/>
              <w:sz w:val="16"/>
            </w:rPr>
          </w:pPr>
          <w:r>
            <w:rPr>
              <w:b/>
              <w:caps/>
              <w:spacing w:val="-20"/>
              <w:position w:val="-4"/>
              <w:sz w:val="36"/>
            </w:rPr>
            <w:t>EN‌/PL</w:t>
          </w:r>
        </w:p>
      </w:tc>
    </w:tr>
  </w:tbl>
  <w:p w:rsidR="002F6E01" w:rsidRDefault="002F6E01" w14:paraId="4F6679C9" w14:textId="77777777">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279"/>
      <w:gridCol w:w="1342"/>
      <w:gridCol w:w="1155"/>
      <w:gridCol w:w="192"/>
      <w:gridCol w:w="1371"/>
      <w:gridCol w:w="813"/>
      <w:gridCol w:w="1088"/>
    </w:tblGrid>
    <w:tr w:rsidRPr="00D94637" w:rsidR="002F6E01" w:rsidTr="00D94637" w14:paraId="31816304" w14:textId="77777777">
      <w:trPr>
        <w:jc w:val="center"/>
      </w:trPr>
      <w:tc>
        <w:tcPr>
          <w:tcW w:w="5000" w:type="pct"/>
          <w:gridSpan w:val="7"/>
          <w:shd w:val="clear" w:color="auto" w:fill="auto"/>
          <w:tcMar>
            <w:top w:w="57" w:type="dxa"/>
          </w:tcMar>
        </w:tcPr>
        <w:p w:rsidRPr="00D94637" w:rsidR="002F6E01" w:rsidP="00D94637" w:rsidRDefault="002F6E01" w14:paraId="6F6930C8" w14:textId="77777777">
          <w:pPr>
            <w:pStyle w:val="FooterText"/>
            <w:pBdr>
              <w:top w:val="single" w:color="auto" w:sz="4" w:space="1"/>
            </w:pBdr>
            <w:spacing w:before="200"/>
            <w:rPr>
              <w:sz w:val="2"/>
              <w:szCs w:val="2"/>
            </w:rPr>
          </w:pPr>
        </w:p>
      </w:tc>
    </w:tr>
    <w:tr w:rsidRPr="00B310DC" w:rsidR="002F6E01" w:rsidTr="00842D7E" w14:paraId="542C0D58" w14:textId="77777777">
      <w:trPr>
        <w:jc w:val="center"/>
      </w:trPr>
      <w:tc>
        <w:tcPr>
          <w:tcW w:w="2500" w:type="pct"/>
          <w:gridSpan w:val="2"/>
          <w:shd w:val="clear" w:color="auto" w:fill="auto"/>
          <w:tcMar>
            <w:top w:w="0" w:type="dxa"/>
          </w:tcMar>
        </w:tcPr>
        <w:p w:rsidRPr="00AD7BF2" w:rsidR="002F6E01" w:rsidP="004F54B2" w:rsidRDefault="002F6E01" w14:paraId="4BC05BC1" w14:textId="77777777">
          <w:pPr>
            <w:pStyle w:val="FooterText"/>
          </w:pPr>
          <w:r>
            <w:t>10961/26</w:t>
          </w:r>
          <w:r w:rsidRPr="002511D8">
            <w:t xml:space="preserve"> </w:t>
          </w:r>
        </w:p>
      </w:tc>
      <w:tc>
        <w:tcPr>
          <w:tcW w:w="625" w:type="pct"/>
          <w:shd w:val="clear" w:color="auto" w:fill="auto"/>
          <w:tcMar>
            <w:top w:w="0" w:type="dxa"/>
          </w:tcMar>
        </w:tcPr>
        <w:p w:rsidRPr="00AD7BF2" w:rsidR="002F6E01" w:rsidP="00D94637" w:rsidRDefault="002F6E01" w14:paraId="2D8CEA02" w14:textId="77777777">
          <w:pPr>
            <w:pStyle w:val="FooterText"/>
            <w:jc w:val="center"/>
          </w:pPr>
        </w:p>
      </w:tc>
      <w:tc>
        <w:tcPr>
          <w:tcW w:w="1286" w:type="pct"/>
          <w:gridSpan w:val="3"/>
          <w:shd w:val="clear" w:color="auto" w:fill="auto"/>
          <w:tcMar>
            <w:top w:w="0" w:type="dxa"/>
          </w:tcMar>
        </w:tcPr>
        <w:p w:rsidRPr="002511D8" w:rsidR="002F6E01" w:rsidP="00D94637" w:rsidRDefault="002F6E01" w14:paraId="11FA21FA" w14:textId="77777777">
          <w:pPr>
            <w:pStyle w:val="FooterText"/>
            <w:jc w:val="center"/>
          </w:pPr>
        </w:p>
      </w:tc>
      <w:tc>
        <w:tcPr>
          <w:tcW w:w="589" w:type="pct"/>
          <w:shd w:val="clear" w:color="auto" w:fill="auto"/>
          <w:tcMar>
            <w:top w:w="0" w:type="dxa"/>
          </w:tcMar>
        </w:tcPr>
        <w:p w:rsidRPr="00B310DC" w:rsidR="002F6E01" w:rsidP="00D94637" w:rsidRDefault="002F6E01" w14:paraId="43F61FBA" w14:textId="77777777">
          <w:pPr>
            <w:pStyle w:val="FooterText"/>
            <w:jc w:val="right"/>
          </w:pPr>
        </w:p>
      </w:tc>
    </w:tr>
    <w:tr w:rsidRPr="00D94637" w:rsidR="002F6E01" w:rsidTr="00430704" w14:paraId="3A16CF11" w14:textId="77777777">
      <w:trPr>
        <w:jc w:val="center"/>
      </w:trPr>
      <w:tc>
        <w:tcPr>
          <w:tcW w:w="1774" w:type="pct"/>
          <w:shd w:val="clear" w:color="auto" w:fill="auto"/>
        </w:tcPr>
        <w:p w:rsidRPr="00AD7BF2" w:rsidR="002F6E01" w:rsidP="00D94637" w:rsidRDefault="002F6E01" w14:paraId="3908BC97" w14:textId="77777777">
          <w:pPr>
            <w:pStyle w:val="FooterText"/>
            <w:spacing w:before="40"/>
          </w:pPr>
        </w:p>
      </w:tc>
      <w:tc>
        <w:tcPr>
          <w:tcW w:w="1455" w:type="pct"/>
          <w:gridSpan w:val="3"/>
          <w:shd w:val="clear" w:color="auto" w:fill="auto"/>
        </w:tcPr>
        <w:p w:rsidRPr="00AD7BF2" w:rsidR="002F6E01" w:rsidP="00D204D6" w:rsidRDefault="002F6E01" w14:paraId="1F37BB9C" w14:textId="77777777">
          <w:pPr>
            <w:pStyle w:val="FooterText"/>
            <w:spacing w:before="40"/>
            <w:jc w:val="center"/>
          </w:pPr>
          <w:r>
            <w:t>TREE.2.B</w:t>
          </w:r>
        </w:p>
      </w:tc>
      <w:tc>
        <w:tcPr>
          <w:tcW w:w="742" w:type="pct"/>
          <w:shd w:val="clear" w:color="auto" w:fill="auto"/>
        </w:tcPr>
        <w:p w:rsidRPr="00D94637" w:rsidR="002F6E01" w:rsidP="002F0099" w:rsidRDefault="002F6E01" w14:paraId="3824FF7A" w14:textId="77777777">
          <w:pPr>
            <w:pStyle w:val="FooterText"/>
            <w:jc w:val="center"/>
            <w:rPr>
              <w:b/>
              <w:position w:val="-4"/>
              <w:sz w:val="36"/>
            </w:rPr>
          </w:pPr>
        </w:p>
      </w:tc>
      <w:tc>
        <w:tcPr>
          <w:tcW w:w="1029" w:type="pct"/>
          <w:gridSpan w:val="2"/>
          <w:shd w:val="clear" w:color="auto" w:fill="auto"/>
        </w:tcPr>
        <w:p w:rsidRPr="00695BAF" w:rsidR="002F6E01" w:rsidP="00D94637" w:rsidRDefault="002F6E01" w14:paraId="7E69C0CF" w14:textId="77777777">
          <w:pPr>
            <w:pStyle w:val="FooterText"/>
            <w:jc w:val="right"/>
            <w:rPr>
              <w:caps/>
              <w:spacing w:val="-20"/>
              <w:sz w:val="16"/>
            </w:rPr>
          </w:pPr>
          <w:r>
            <w:rPr>
              <w:b/>
              <w:caps/>
              <w:spacing w:val="-20"/>
              <w:position w:val="-4"/>
              <w:sz w:val="36"/>
            </w:rPr>
            <w:t>EN‌/PL</w:t>
          </w:r>
        </w:p>
      </w:tc>
    </w:tr>
  </w:tbl>
  <w:p w:rsidR="002F6E01" w:rsidRDefault="002F6E01" w14:paraId="1812A169" w14:textId="77777777">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FA" w:rsidP="00476CF8" w:rsidRDefault="00E273FA" w14:paraId="172CAA63" w14:textId="77777777">
      <w:pPr>
        <w:spacing w:after="0" w:line="240" w:lineRule="auto"/>
      </w:pPr>
      <w:r>
        <w:separator/>
      </w:r>
    </w:p>
  </w:footnote>
  <w:footnote w:type="continuationSeparator" w:id="0">
    <w:p w:rsidR="00E273FA" w:rsidP="00476CF8" w:rsidRDefault="00E273FA" w14:paraId="172CAA64" w14:textId="77777777">
      <w:pPr>
        <w:spacing w:after="0" w:line="240" w:lineRule="auto"/>
      </w:pPr>
      <w:r>
        <w:continuationSeparator/>
      </w:r>
    </w:p>
  </w:footnote>
  <w:footnote w:id="2">
    <w:p w:rsidRPr="008D7401" w:rsidR="00E273FA" w:rsidP="00E76377" w:rsidRDefault="00E273FA" w14:paraId="172CAAA4" w14:textId="5B51C11E">
      <w:pPr>
        <w:pStyle w:val="FootnoteText"/>
        <w:ind w:left="360" w:hanging="360"/>
        <w:rPr>
          <w:rFonts w:asciiTheme="majorBidi" w:hAnsiTheme="majorBidi" w:cstheme="majorBidi"/>
          <w:lang w:val="en-GB"/>
        </w:rPr>
      </w:pPr>
      <w:r w:rsidRPr="000336D4">
        <w:rPr>
          <w:rStyle w:val="FootnoteReference"/>
          <w:rFonts w:asciiTheme="majorBidi" w:hAnsiTheme="majorBidi" w:cstheme="majorBidi"/>
        </w:rPr>
        <w:footnoteRef/>
      </w:r>
      <w:r>
        <w:rPr>
          <w:rFonts w:asciiTheme="majorBidi" w:hAnsiTheme="majorBidi" w:cstheme="majorBidi"/>
          <w:lang w:val="en-GB"/>
        </w:rPr>
        <w:tab/>
      </w:r>
      <w:r w:rsidR="00E76377">
        <w:rPr>
          <w:rFonts w:asciiTheme="majorBidi" w:hAnsiTheme="majorBidi" w:cstheme="majorBidi"/>
          <w:lang w:val="en-GB"/>
        </w:rPr>
        <w:t>T</w:t>
      </w:r>
      <w:r w:rsidRPr="00E76377" w:rsidR="00E76377">
        <w:rPr>
          <w:rFonts w:asciiTheme="majorBidi" w:hAnsiTheme="majorBidi" w:cstheme="majorBidi"/>
          <w:lang w:val="en-GB"/>
        </w:rPr>
        <w:t xml:space="preserve">ranslation(s) of the opinion may be available on the Interparliamentary EU Information Exchange website (IPEX) at the following address: </w:t>
      </w:r>
      <w:hyperlink w:history="1" r:id="rId1">
        <w:r w:rsidRPr="00E76377" w:rsidR="00E76377">
          <w:rPr>
            <w:rStyle w:val="Hyperlink"/>
            <w:rFonts w:asciiTheme="majorBidi" w:hAnsiTheme="majorBidi" w:cstheme="majorBidi"/>
            <w:lang w:val="en-GB"/>
          </w:rPr>
          <w:t>https://secure.ipex.eu/IPEXL-WEB/document/COM-2025-1006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E42" w:rsidR="00E273FA" w:rsidP="00A54E42" w:rsidRDefault="00E273FA" w14:paraId="172CAA9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E42" w:rsidR="00E273FA" w:rsidP="00A54E42" w:rsidRDefault="00E273FA" w14:paraId="172CAA92"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E42" w:rsidR="00E273FA" w:rsidP="00A54E42" w:rsidRDefault="00E273FA" w14:paraId="172CAAA1"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6E01" w:rsidR="00855703" w:rsidP="002F6E01" w:rsidRDefault="002F6E01" w14:paraId="172CAA68" w14:textId="0024A102">
    <w:pPr>
      <w:pStyle w:val="HeaderCouncilLarge"/>
    </w:pPr>
    <w:r>
      <w: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77" w:rsidRDefault="00E76377" w14:paraId="7283874C"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377" w:rsidRDefault="00E76377" w14:paraId="3AEA74F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77" w:rsidRDefault="00E76377" w14:paraId="3B75E918"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76377" w:rsidRDefault="00E76377" w14:paraId="357C002E" w14:textId="77777777">
    <w:pPr>
      <w:pStyle w:val="Header"/>
      <w:spacing w:before="240" w:after="360"/>
      <w:jc w:val="center"/>
    </w:pPr>
    <w:r>
      <w:rPr>
        <w:snapToGrid w:val="0"/>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01" w:rsidRDefault="002F6E01" w14:paraId="35902E40" w14:textId="77777777">
    <w:pPr>
      <w:pStyle w:val="HeaderCouncil"/>
    </w:pPr>
    <w:r>
      <w:t> </w:t>
    </w:r>
  </w:p>
</w:hdr>
</file>

<file path=word/numbering.xml><?xml version="1.0" encoding="utf-8"?>
<w:numbering xmlns:p16="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p16="http://schemas.microsoft.com/office/word/2012/wordml" w:abstractNumId="0" p16:restartNumberingAfterBreak="0">
    <w:nsid w:val="24E51173"/>
    <w:multiLevelType w:val="hybridMultilevel"/>
    <w:tmpl w:val="01FEC450"/>
    <w:lvl w:ilvl="0" w:tplc="BDFE45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xmlns:p16="http://schemas.microsoft.com/office/word/2016/wordml/cid" w:numId="1">
    <w:abstractNumId w:val="0"/>
  </w:num>
  <w:num xmlns:p16="http://schemas.microsoft.com/office/word/2016/wordml/cid"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4.2&quot; technicalblockguid=&quot;5568692986073102431&quot;&gt;&#13;&#10;  &lt;metadata key=&quot;md_DocumentLanguages&quot;&gt;&#13;&#10;    &lt;basicdatatypelist&gt;&#13;&#10;      &lt;language key=&quot;EN&quot; text=&quot;EN&quot; /&gt;&#13;&#10;      &lt;language key=&quot;PL&quot; text=&quot;PL&quot; /&gt;&#13;&#10;    &lt;/basicdatatypelist&gt;&#13;&#10;  &lt;/metadata&gt;&#13;&#10;  &lt;metadata key=&quot;md_OriginalLanguages&quot;&gt;&#13;&#10;    &lt;basicdatatypelist&gt;&#13;&#10;      &lt;language key=&quot;EN&quot; text=&quot;EN&quot; /&gt;&#13;&#10;      &lt;language key=&quot;PL&quot; text=&quot;PL&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6-06-22&lt;/text&gt;&#13;&#10;  &lt;/metadata&gt;&#13;&#10;  &lt;metadata key=&quot;md_Prefix&quot;&gt;&#13;&#10;    &lt;text&gt;&lt;/text&gt;&#13;&#10;  &lt;/metadata&gt;&#13;&#10;  &lt;metadata key=&quot;md_DocumentNumber&quot;&gt;&#13;&#10;    &lt;text&gt;10961&lt;/text&gt;&#13;&#10;  &lt;/metadata&gt;&#13;&#10;  &lt;metadata key=&quot;md_YearDocumentNumber&quot;&gt;&#13;&#10;    &lt;text&gt;2026&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ENER 434&lt;/text&gt;&#13;&#10;      &lt;text&gt;TRANS 445&lt;/text&gt;&#13;&#10;      &lt;text&gt;RELEX 875&lt;/text&gt;&#13;&#10;      &lt;text&gt;ECOFIN 883&lt;/text&gt;&#13;&#10;      &lt;text&gt;ENV 803&lt;/text&gt;&#13;&#10;      &lt;text&gt;CODEC 1281&lt;/text&gt;&#13;&#10;      &lt;text&gt;INST 270&lt;/text&gt;&#13;&#10;      &lt;text&gt;PARLNAT 144&lt;/text&gt;&#13;&#10;    &lt;/textlist&gt;&#13;&#10;  &lt;/metadata&gt;&#13;&#10;  &lt;metadata key=&quot;md_ThirdPartyDistributionMarkers&quot;&gt;&#13;&#10;    &lt;textlist&gt;&#13;&#10;      &lt;text&gt;PARLNAT&lt;/text&gt;&#13;&#10;    &lt;/textlist&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gt;&#13;&#10;      &lt;text&gt;2025/0399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xaml text=&quot;The Polish Senate &quot;&gt;&amp;lt;FlowDocument xmlns=&quot;http://schemas.microsoft.com/winfx/2006/xaml/presentation&quot;&amp;gt;&amp;lt;Paragraph&amp;gt;The Polish Senate &amp;lt;/Paragraph&amp;gt;&amp;lt;/FlowDocument&amp;gt;&lt;/xaml&gt;&#13;&#10;    &lt;/basicdatatype&gt;&#13;&#10;  &lt;/metadata&gt;&#13;&#10;  &lt;metadata key=&quot;md_Recipient&quot;&gt;&#13;&#10;    &lt;basicdatatype&gt;&#13;&#10;      &lt;xaml text=&quot;The President of the Council of the European Union&quot;&gt;&amp;lt;FlowDocument xmlns=&quot;http://schemas.microsoft.com/winfx/2006/xaml/presentation&quot;&amp;gt;&amp;lt;Paragraph&amp;gt;The President of the Council of the European Union&amp;lt;/Paragraph&amp;gt;&amp;lt;/FlowDocument&amp;gt;&lt;/xaml&gt;&#13;&#10;    &lt;/basicdatatype&gt;&#13;&#10;  &lt;/metadata&gt;&#13;&#10;  &lt;metadata key=&quot;md_DateOfReceipt&quot;&gt;&#13;&#10;    &lt;text&gt;2026-06-18&lt;/text&gt;&#13;&#10;  &lt;/metadata&gt;&#13;&#10;  &lt;metadata key=&quot;md_FreeDate&quot;&gt;&#13;&#10;    &lt;textlist /&gt;&#13;&#10;  &lt;/metadata&gt;&#13;&#10;  &lt;metadata key=&quot;md_PrecedingDocuments&quot;&gt;&#13;&#10;    &lt;textlist /&gt;&#13;&#10;  &lt;/metadata&gt;&#13;&#10;  &lt;metadata key=&quot;md_CommissionDocuments&quot;&gt;&#13;&#10;    &lt;textlist /&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oposal for a REGULATION OF THE EUROPEAN PARLIAMENT AND OF THE COUNCIL on guidelines for trans-European energy infrastructure, amending Regulations (EU) 2019/942, (EU) 2019/943 and (EU) 2024/1789 and repealing Regulation (EU) 2022/869 [doc. 16772/25 + ADD 1 - COM(2025)1006] - Opinion on the application of the Principles of Subsidiarity and Proportionality&quot;&gt;&amp;lt;FlowDocument xmlns=&quot;http://schemas.microsoft.com/winfx/2006/xaml/presentation&quot;&amp;gt;&amp;lt;Paragraph&amp;gt;Proposal for a REGULATION OF THE EUROPEAN PARLIAMENT AND OF THE COUNCIL on guidelines for trans-European energy infrastructure, amending Regulations (EU) 2019/942, (EU) 2019/943 and (EU) 2024/1789 and repealing Regulation (EU) 2022/869&amp;lt;/Paragraph&amp;gt;&amp;lt;Paragraph&amp;gt;[doc. 16772/25 + ADD 1 - COM(2025)1006]&amp;lt;/Paragraph&amp;gt;&amp;lt;Paragraph&amp;gt;- Opinion on the application of the Principles of Subsidiarity and Proportionality&amp;lt;/Paragraph&amp;gt;&amp;lt;/FlowDocument&amp;gt;&lt;/xaml&gt;&#13;&#10;  &lt;/metadata&gt;&#13;&#10;  &lt;metadata key=&quot;md_SubjectFootnote&quot;&gt;&#13;&#10;    &lt;text&gt;&lt;/text&gt;&#13;&#10;  &lt;/metadata&gt;&#13;&#10;  &lt;metadata key=&quot;md_DG&quot;&gt;&#13;&#10;    &lt;text&gt;TREE.2.B&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gt;&#13;&#10;    &lt;basicdatatype&gt;&#13;&#10;      &lt;rectifprocedure key=&quot;&quot; /&gt;&#13;&#10;    &lt;/basicdatatype&gt;&#13;&#10;  &lt;/metadata&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overPageOnWordDoc" w:val="true"/>
    <w:docVar w:name="DW_TechnicalBlockHash" w:val="410114db9e4ca050399f27c16627159ad4adee0cc0af33fe8673de22ba2b21c4"/>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86151"/>
    <w:pPr>
      <w:keepNext/>
      <w:keepLines/>
      <w:spacing w:before="360" w:after="80"/>
      <w:outlineLvl w:val="0"/>
    </w:pPr>
    <w:rPr>
      <w:rFonts w:asciiTheme="majorHAnsi" w:hAnsiTheme="majorHAnsi" w:eastAsiaTheme="majorEastAsia"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A86151"/>
    <w:pPr>
      <w:keepNext/>
      <w:keepLines/>
      <w:spacing w:before="160" w:after="80"/>
      <w:outlineLvl w:val="1"/>
    </w:pPr>
    <w:rPr>
      <w:rFonts w:asciiTheme="majorHAnsi" w:hAnsiTheme="majorHAnsi" w:eastAsiaTheme="majorEastAsia"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A86151"/>
    <w:pPr>
      <w:keepNext/>
      <w:keepLines/>
      <w:spacing w:before="160" w:after="80"/>
      <w:outlineLvl w:val="2"/>
    </w:pPr>
    <w:rPr>
      <w:rFonts w:eastAsiaTheme="majorEastAsia"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A86151"/>
    <w:pPr>
      <w:keepNext/>
      <w:keepLines/>
      <w:spacing w:before="80" w:after="40"/>
      <w:outlineLvl w:val="3"/>
    </w:pPr>
    <w:rPr>
      <w:rFonts w:eastAsiaTheme="majorEastAsia" w:cstheme="majorBidi"/>
      <w:i/>
      <w:iCs/>
      <w:color w:val="2E74B5" w:themeColor="accent1" w:themeShade="BF"/>
      <w:kern w:val="2"/>
    </w:rPr>
  </w:style>
  <w:style w:type="paragraph" w:styleId="Heading5">
    <w:name w:val="heading 5"/>
    <w:basedOn w:val="Normal"/>
    <w:next w:val="Normal"/>
    <w:link w:val="Heading5Char"/>
    <w:uiPriority w:val="9"/>
    <w:semiHidden/>
    <w:unhideWhenUsed/>
    <w:qFormat/>
    <w:rsid w:val="00A86151"/>
    <w:pPr>
      <w:keepNext/>
      <w:keepLines/>
      <w:spacing w:before="80" w:after="40"/>
      <w:outlineLvl w:val="4"/>
    </w:pPr>
    <w:rPr>
      <w:rFonts w:eastAsiaTheme="majorEastAsia" w:cstheme="majorBidi"/>
      <w:color w:val="2E74B5" w:themeColor="accent1" w:themeShade="BF"/>
      <w:kern w:val="2"/>
    </w:rPr>
  </w:style>
  <w:style w:type="paragraph" w:styleId="Heading6">
    <w:name w:val="heading 6"/>
    <w:basedOn w:val="Normal"/>
    <w:next w:val="Normal"/>
    <w:link w:val="Heading6Char"/>
    <w:uiPriority w:val="9"/>
    <w:semiHidden/>
    <w:unhideWhenUsed/>
    <w:qFormat/>
    <w:rsid w:val="00A86151"/>
    <w:pPr>
      <w:keepNext/>
      <w:keepLines/>
      <w:spacing w:before="4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86151"/>
    <w:pPr>
      <w:keepNext/>
      <w:keepLines/>
      <w:spacing w:before="4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A86151"/>
    <w:pPr>
      <w:keepNext/>
      <w:keepLines/>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86151"/>
    <w:pPr>
      <w:keepNext/>
      <w:keepLines/>
      <w:outlineLvl w:val="8"/>
    </w:pPr>
    <w:rPr>
      <w:rFonts w:eastAsiaTheme="majorEastAsia" w:cstheme="majorBidi"/>
      <w:color w:val="272727" w:themeColor="text1" w:themeTint="D8"/>
      <w:kern w:val="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6151"/>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A86151"/>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A86151"/>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A86151"/>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A86151"/>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A861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61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pPr>
    <w:rPr>
      <w:rFonts w:eastAsiaTheme="majorEastAsia" w:cstheme="majorBidi"/>
      <w:color w:val="595959" w:themeColor="text1" w:themeTint="A6"/>
      <w:spacing w:val="15"/>
      <w:kern w:val="2"/>
      <w:sz w:val="28"/>
      <w:szCs w:val="28"/>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jc w:val="center"/>
    </w:pPr>
    <w:rPr>
      <w:i/>
      <w:iCs/>
      <w:color w:val="404040" w:themeColor="text1" w:themeTint="BF"/>
      <w:kern w:val="2"/>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2E74B5" w:themeColor="accent1" w:themeShade="BF"/>
    </w:rPr>
  </w:style>
  <w:style w:type="paragraph" w:styleId="IntenseQuote">
    <w:name w:val="Intense Quote"/>
    <w:basedOn w:val="Normal"/>
    <w:next w:val="Normal"/>
    <w:link w:val="IntenseQuoteChar"/>
    <w:uiPriority w:val="30"/>
    <w:qFormat/>
    <w:rsid w:val="00A86151"/>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kern w:val="2"/>
    </w:rPr>
  </w:style>
  <w:style w:type="character" w:styleId="IntenseQuoteChar" w:customStyle="1">
    <w:name w:val="Intense Quote Char"/>
    <w:basedOn w:val="DefaultParagraphFont"/>
    <w:link w:val="IntenseQuote"/>
    <w:uiPriority w:val="30"/>
    <w:rsid w:val="00A86151"/>
    <w:rPr>
      <w:i/>
      <w:iCs/>
      <w:color w:val="2E74B5" w:themeColor="accent1" w:themeShade="BF"/>
    </w:rPr>
  </w:style>
  <w:style w:type="character" w:styleId="IntenseReference">
    <w:name w:val="Intense Reference"/>
    <w:basedOn w:val="DefaultParagraphFont"/>
    <w:uiPriority w:val="32"/>
    <w:qFormat/>
    <w:rsid w:val="00A86151"/>
    <w:rPr>
      <w:b/>
      <w:bCs/>
      <w:smallCaps/>
      <w:color w:val="2E74B5" w:themeColor="accent1" w:themeShade="BF"/>
      <w:spacing w:val="5"/>
    </w:rPr>
  </w:style>
  <w:style w:type="character" w:styleId="EntReferChar" w:customStyle="1">
    <w:name w:val="EntRefer Char"/>
    <w:basedOn w:val="DefaultParagraphFont"/>
    <w:rsid w:val="00A43C50"/>
    <w:rPr>
      <w:rFonts w:ascii="Arial" w:hAnsi="Arial" w:eastAsia="Times New Roman" w:cs="Arial"/>
      <w:b/>
      <w:kern w:val="0"/>
      <w:sz w:val="23"/>
      <w:szCs w:val="20"/>
      <w:u w:color="606060"/>
      <w:lang w:val="en-GB" w:eastAsia="fr-BE"/>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DocumentGroup" w:customStyle="1">
    <w:name w:val="TBDocumentGroup"/>
    <w:basedOn w:val="TechnicalBlockBase"/>
    <w:rsid w:val="00233D66"/>
    <w:pPr>
      <w:widowControl/>
      <w:spacing w:before="560" w:after="480" w:line="240" w:lineRule="auto"/>
      <w:ind w:left="0" w:right="0"/>
      <w:jc w:val="center"/>
    </w:pPr>
    <w:rPr>
      <w:rFonts w:ascii="Arial" w:hAnsi="Arial"/>
      <w:i w:val="0"/>
      <w:caps/>
      <w:dstrike w:val="0"/>
      <w:color w:val="auto"/>
      <w:w w:val="100"/>
      <w:sz w:val="23"/>
      <w:u w:val="single"/>
    </w:rPr>
  </w:style>
  <w:style w:type="paragraph" w:styleId="TBSubjectBold" w:customStyle="1">
    <w:name w:val="TBSubjectBold"/>
    <w:basedOn w:val="TechnicalBlockBase"/>
    <w:rsid w:val="00233D66"/>
    <w:pPr>
      <w:widowControl/>
      <w:spacing w:before="160" w:after="0" w:line="360" w:lineRule="auto"/>
      <w:ind w:left="0" w:right="0"/>
      <w:jc w:val="center"/>
    </w:pPr>
    <w:rPr>
      <w:rFonts w:ascii="Arial" w:hAnsi="Arial"/>
      <w:i w:val="0"/>
      <w:dstrike w:val="0"/>
      <w:color w:val="auto"/>
      <w:w w:val="100"/>
      <w:sz w:val="23"/>
      <w:u w:val="none"/>
    </w:rPr>
  </w:style>
  <w:style w:type="paragraph" w:styleId="Header">
    <w:name w:val="header"/>
    <w:basedOn w:val="Normal"/>
    <w:link w:val="HeaderChar"/>
    <w:unhideWhenUsed/>
    <w:rsid w:val="00476CF8"/>
    <w:pPr>
      <w:tabs>
        <w:tab w:val="center" w:pos="4536"/>
        <w:tab w:val="right" w:pos="9072"/>
      </w:tabs>
      <w:spacing w:after="0" w:line="240" w:lineRule="auto"/>
    </w:pPr>
  </w:style>
  <w:style w:type="character" w:styleId="HeaderChar" w:customStyle="1">
    <w:name w:val="Header Char"/>
    <w:basedOn w:val="DefaultParagraphFont"/>
    <w:link w:val="Header"/>
    <w:uiPriority w:val="99"/>
    <w:rsid w:val="00476CF8"/>
  </w:style>
  <w:style w:type="paragraph" w:styleId="Footer">
    <w:name w:val="footer"/>
    <w:basedOn w:val="Normal"/>
    <w:link w:val="FooterChar"/>
    <w:uiPriority w:val="99"/>
    <w:unhideWhenUsed/>
    <w:rsid w:val="00476CF8"/>
    <w:pPr>
      <w:tabs>
        <w:tab w:val="center" w:pos="4536"/>
        <w:tab w:val="right" w:pos="9072"/>
      </w:tabs>
      <w:spacing w:after="0" w:line="240" w:lineRule="auto"/>
    </w:pPr>
  </w:style>
  <w:style w:type="character" w:styleId="FooterChar" w:customStyle="1">
    <w:name w:val="Footer Char"/>
    <w:basedOn w:val="DefaultParagraphFont"/>
    <w:link w:val="Footer"/>
    <w:uiPriority w:val="99"/>
    <w:rsid w:val="00476CF8"/>
  </w:style>
  <w:style w:type="paragraph" w:styleId="TechnicalBlock" w:customStyle="1">
    <w:name w:val="Technical Block"/>
    <w:basedOn w:val="Normal"/>
    <w:link w:val="TechnicalBlockChar"/>
    <w:rsid w:val="00476CF8"/>
    <w:pPr>
      <w:spacing w:after="240" w:line="240" w:lineRule="auto"/>
      <w:jc w:val="center"/>
    </w:pPr>
  </w:style>
  <w:style w:type="character" w:styleId="TechnicalBlockChar" w:customStyle="1">
    <w:name w:val="Technical Block Char"/>
    <w:basedOn w:val="DefaultParagraphFont"/>
    <w:link w:val="TechnicalBlock"/>
    <w:rsid w:val="00476CF8"/>
  </w:style>
  <w:style w:type="paragraph" w:styleId="EntText" w:customStyle="1">
    <w:name w:val="EntText"/>
    <w:basedOn w:val="Normal"/>
    <w:rsid w:val="00476CF8"/>
    <w:pPr>
      <w:spacing w:before="120" w:after="120" w:line="360" w:lineRule="auto"/>
    </w:pPr>
    <w:rPr>
      <w:rFonts w:ascii="Times New Roman" w:hAnsi="Times New Roman" w:cs="Times New Roman"/>
      <w:sz w:val="24"/>
    </w:rPr>
  </w:style>
  <w:style w:type="paragraph" w:styleId="Lignefinal" w:customStyle="1">
    <w:name w:val="Ligne final"/>
    <w:basedOn w:val="Normal"/>
    <w:next w:val="Normal"/>
    <w:rsid w:val="00476CF8"/>
    <w:pPr>
      <w:pBdr>
        <w:bottom w:val="single" w:color="000000" w:sz="4" w:space="0"/>
      </w:pBdr>
      <w:spacing w:before="360" w:after="120" w:line="360" w:lineRule="auto"/>
      <w:ind w:left="3400" w:right="3400"/>
      <w:jc w:val="center"/>
    </w:pPr>
    <w:rPr>
      <w:rFonts w:ascii="Times New Roman" w:hAnsi="Times New Roman" w:cs="Times New Roman"/>
      <w:b/>
      <w:sz w:val="24"/>
    </w:rPr>
  </w:style>
  <w:style w:type="character" w:styleId="Marker" w:customStyle="1">
    <w:name w:val="Marker"/>
    <w:basedOn w:val="DefaultParagraphFont"/>
    <w:rsid w:val="00476CF8"/>
    <w:rPr>
      <w:color w:val="0000FF"/>
      <w:shd w:val="clear" w:color="auto" w:fill="auto"/>
    </w:rPr>
  </w:style>
  <w:style w:type="paragraph" w:styleId="pj" w:customStyle="1">
    <w:name w:val="p.j."/>
    <w:basedOn w:val="Normal"/>
    <w:link w:val="pjChar"/>
    <w:rsid w:val="00476CF8"/>
    <w:pPr>
      <w:spacing w:before="1200" w:after="120" w:line="240" w:lineRule="auto"/>
      <w:ind w:left="1440" w:hanging="1440"/>
    </w:pPr>
    <w:rPr>
      <w:rFonts w:ascii="Times New Roman" w:hAnsi="Times New Roman" w:cs="Times New Roman"/>
      <w:sz w:val="24"/>
    </w:rPr>
  </w:style>
  <w:style w:type="character" w:styleId="pjChar" w:customStyle="1">
    <w:name w:val="p.j. Char"/>
    <w:basedOn w:val="TechnicalBlockChar"/>
    <w:link w:val="pj"/>
    <w:rsid w:val="00476CF8"/>
    <w:rPr>
      <w:rFonts w:ascii="Times New Roman" w:hAnsi="Times New Roman" w:cs="Times New Roman"/>
      <w:sz w:val="24"/>
    </w:rPr>
  </w:style>
  <w:style w:type="paragraph" w:styleId="nbbordered" w:customStyle="1">
    <w:name w:val="nb bordered"/>
    <w:basedOn w:val="Normal"/>
    <w:link w:val="nbborderedChar"/>
    <w:rsid w:val="00476CF8"/>
    <w:pPr>
      <w:pBdr>
        <w:top w:val="single" w:color="auto" w:sz="4" w:space="1"/>
        <w:left w:val="single" w:color="auto" w:sz="4" w:space="4"/>
        <w:bottom w:val="single" w:color="auto" w:sz="4" w:space="1"/>
        <w:right w:val="single" w:color="auto" w:sz="4" w:space="4"/>
        <w:between w:val="single" w:color="auto" w:sz="4" w:space="0"/>
      </w:pBdr>
      <w:spacing w:line="240" w:lineRule="auto"/>
      <w:ind w:left="480" w:hanging="480"/>
    </w:pPr>
    <w:rPr>
      <w:rFonts w:ascii="Times New Roman" w:hAnsi="Times New Roman" w:cs="Times New Roman"/>
      <w:b/>
      <w:sz w:val="24"/>
    </w:rPr>
  </w:style>
  <w:style w:type="character" w:styleId="nbborderedChar" w:customStyle="1">
    <w:name w:val="nb bordered Char"/>
    <w:basedOn w:val="TechnicalBlockChar"/>
    <w:link w:val="nbbordered"/>
    <w:rsid w:val="00476CF8"/>
    <w:rPr>
      <w:rFonts w:ascii="Times New Roman" w:hAnsi="Times New Roman" w:cs="Times New Roman"/>
      <w:b/>
      <w:sz w:val="24"/>
    </w:rPr>
  </w:style>
  <w:style w:type="paragraph" w:styleId="HeaderCouncil" w:customStyle="1">
    <w:name w:val="Header Council"/>
    <w:basedOn w:val="Normal"/>
    <w:link w:val="HeaderCouncilChar"/>
    <w:rsid w:val="00476CF8"/>
    <w:pPr>
      <w:spacing w:before="0" w:after="0"/>
    </w:pPr>
    <w:rPr>
      <w:sz w:val="2"/>
      <w:rFonts w:ascii="Times New Roman" w:hAnsi="Times New Roman"/>
    </w:rPr>
  </w:style>
  <w:style w:type="character" w:styleId="HeaderCouncilChar" w:customStyle="1">
    <w:name w:val="Header Council Char"/>
    <w:basedOn w:val="DefaultParagraphFont"/>
    <w:link w:val="HeaderCouncil"/>
    <w:rsid w:val="00476CF8"/>
    <w:rPr>
      <w:sz w:val="2"/>
    </w:rPr>
  </w:style>
  <w:style w:type="paragraph" w:styleId="HeaderCouncilLarge" w:customStyle="1">
    <w:name w:val="Header Council Large"/>
    <w:basedOn w:val="Normal"/>
    <w:link w:val="HeaderCouncilLargeChar"/>
    <w:rsid w:val="00476CF8"/>
    <w:pPr>
      <w:spacing w:before="0" w:after="440"/>
    </w:pPr>
    <w:rPr>
      <w:sz w:val="2"/>
      <w:rFonts w:ascii="Times New Roman" w:hAnsi="Times New Roman"/>
    </w:rPr>
  </w:style>
  <w:style w:type="character" w:styleId="HeaderCouncilLargeChar" w:customStyle="1">
    <w:name w:val="Header Council Large Char"/>
    <w:basedOn w:val="DefaultParagraphFont"/>
    <w:link w:val="HeaderCouncilLarge"/>
    <w:rsid w:val="00476CF8"/>
    <w:rPr>
      <w:sz w:val="2"/>
    </w:rPr>
  </w:style>
  <w:style w:type="paragraph" w:styleId="FooterCouncil" w:customStyle="1">
    <w:name w:val="Footer Council"/>
    <w:basedOn w:val="Normal"/>
    <w:link w:val="FooterCouncilChar"/>
    <w:rsid w:val="00476CF8"/>
    <w:pPr>
      <w:spacing w:before="0" w:after="0"/>
    </w:pPr>
    <w:rPr>
      <w:sz w:val="2"/>
      <w:rFonts w:ascii="Times New Roman" w:hAnsi="Times New Roman"/>
    </w:rPr>
  </w:style>
  <w:style w:type="character" w:styleId="FooterCouncilChar" w:customStyle="1">
    <w:name w:val="Footer Council Char"/>
    <w:basedOn w:val="DefaultParagraphFont"/>
    <w:link w:val="FooterCouncil"/>
    <w:rsid w:val="00476CF8"/>
    <w:rPr>
      <w:sz w:val="2"/>
    </w:rPr>
  </w:style>
  <w:style w:type="paragraph" w:styleId="FooterText" w:customStyle="1">
    <w:name w:val="Footer Text"/>
    <w:basedOn w:val="Normal"/>
    <w:rsid w:val="00476CF8"/>
    <w:pPr>
      <w:spacing w:before="0" w:after="0" w:line="240" w:lineRule="auto"/>
    </w:pPr>
    <w:rPr>
      <w:rFonts w:ascii="Times New Roman" w:hAnsi="Times New Roman" w:eastAsia="Times New Roman" w:cs="Times New Roman"/>
      <w:sz w:val="24"/>
      <w:szCs w:val="24"/>
      <w:lang w:val="en-GB"/>
      <w:color w:val="auto"/>
    </w:rPr>
  </w:style>
  <w:style w:type="character" w:styleId="PlaceholderText">
    <w:name w:val="Placeholder Text"/>
    <w:basedOn w:val="DefaultParagraphFont"/>
    <w:uiPriority w:val="99"/>
    <w:semiHidden/>
    <w:rsid w:val="00476CF8"/>
    <w:rPr>
      <w:color w:val="808080"/>
    </w:rPr>
  </w:style>
  <w:style w:type="paragraph" w:styleId="FootnoteText">
    <w:name w:val="footnote text"/>
    <w:basedOn w:val="Normal"/>
    <w:link w:val="FootnoteTextChar"/>
    <w:uiPriority w:val="99"/>
    <w:unhideWhenUsed/>
    <w:rsid w:val="000B67E1"/>
    <w:pPr>
      <w:spacing w:after="0" w:line="240" w:lineRule="auto"/>
    </w:pPr>
    <w:rPr>
      <w:sz w:val="20"/>
      <w:szCs w:val="20"/>
    </w:rPr>
  </w:style>
  <w:style w:type="character" w:styleId="FootnoteTextChar" w:customStyle="1">
    <w:name w:val="Footnote Text Char"/>
    <w:basedOn w:val="DefaultParagraphFont"/>
    <w:link w:val="FootnoteText"/>
    <w:uiPriority w:val="99"/>
    <w:rsid w:val="000B67E1"/>
    <w:rPr>
      <w:sz w:val="20"/>
      <w:szCs w:val="20"/>
    </w:rPr>
  </w:style>
  <w:style w:type="character" w:styleId="FootnoteReference">
    <w:name w:val="footnote reference"/>
    <w:basedOn w:val="DefaultParagraphFont"/>
    <w:uiPriority w:val="99"/>
    <w:semiHidden/>
    <w:unhideWhenUsed/>
    <w:rsid w:val="000B67E1"/>
    <w:rPr>
      <w:vertAlign w:val="superscript"/>
    </w:rPr>
  </w:style>
  <w:style w:type="character" w:styleId="Hyperlink">
    <w:name w:val="Hyperlink"/>
    <w:basedOn w:val="DefaultParagraphFont"/>
    <w:uiPriority w:val="99"/>
    <w:unhideWhenUsed/>
    <w:rsid w:val="005803A8"/>
    <w:rPr>
      <w:color w:val="0563C1" w:themeColor="hyperlink"/>
      <w:u w:val="single"/>
    </w:rPr>
  </w:style>
  <w:style w:type="character" w:styleId="FollowedHyperlink">
    <w:name w:val="FollowedHyperlink"/>
    <w:basedOn w:val="DefaultParagraphFont"/>
    <w:uiPriority w:val="99"/>
    <w:semiHidden/>
    <w:unhideWhenUsed/>
    <w:rsid w:val="006C71D2"/>
    <w:rPr>
      <w:color w:val="954F72" w:themeColor="followedHyperlink"/>
      <w:u w:val="single"/>
    </w:rPr>
  </w:style>
  <w:style w:type="paragraph" w:styleId="ListParagraph">
    <w:name w:val="List Paragraph"/>
    <w:basedOn w:val="Normal"/>
    <w:uiPriority w:val="34"/>
    <w:qFormat/>
    <w:rsid w:val="006B5E38"/>
    <w:pPr>
      <w:spacing w:after="0" w:line="240" w:lineRule="auto"/>
      <w:ind w:left="720"/>
      <w:contextualSpacing/>
    </w:pPr>
    <w:rPr>
      <w:rFonts w:ascii="Times New Roman" w:hAnsi="Times New Roman" w:eastAsia="Times New Roman" w:cs="Times New Roman"/>
      <w:sz w:val="24"/>
      <w:szCs w:val="24"/>
      <w:lang w:val="cs-CZ"/>
    </w:rPr>
  </w:style>
  <w:style w:type="paragraph" w:styleId="Default" w:customStyle="1">
    <w:name w:val="Default"/>
    <w:rsid w:val="006F1BFC"/>
    <w:pPr>
      <w:autoSpaceDE w:val="0"/>
      <w:autoSpaceDN w:val="0"/>
      <w:adjustRightInd w:val="0"/>
      <w:spacing w:after="0" w:line="240" w:lineRule="auto"/>
    </w:pPr>
    <w:rPr>
      <w:rFonts w:ascii="Times New Roman" w:hAnsi="Times New Roman" w:eastAsia="Times New Roman" w:cs="Times New Roman"/>
      <w:color w:val="000000"/>
      <w:sz w:val="24"/>
      <w:szCs w:val="24"/>
      <w:lang w:val="cs-CZ" w:eastAsia="cs-CZ"/>
    </w:rPr>
  </w:style>
  <w:style w:type="character" w:styleId="UnresolvedMention">
    <w:name w:val="Unresolved Mention"/>
    <w:basedOn w:val="DefaultParagraphFont"/>
    <w:uiPriority w:val="99"/>
    <w:semiHidden/>
    <w:unhideWhenUsed/>
    <w:rsid w:val="003A6528"/>
    <w:rPr>
      <w:color w:val="605E5C"/>
      <w:shd w:val="clear" w:color="auto" w:fill="E1DFDD"/>
    </w:rPr>
  </w:style>
  <w:style w:type="paragraph" w:styleId="TBEntInstit" w:customStyle="1">
    <w:name w:val="TBEntInstit"/>
    <w:basedOn w:val="TechnicalBlockBase"/>
    <w:link w:val="EntInstitChar"/>
    <w:rsid w:val="00233D66"/>
    <w:pPr>
      <w:spacing w:before="0" w:after="60" w:line="240" w:lineRule="auto"/>
      <w:ind w:left="0" w:right="0"/>
      <w:jc w:val="right"/>
    </w:pPr>
    <w:rPr>
      <w:rFonts w:ascii="Arial" w:hAnsi="Arial"/>
      <w:i w:val="0"/>
      <w:dstrike w:val="0"/>
      <w:color w:val="auto"/>
      <w:w w:val="100"/>
      <w:sz w:val="23"/>
      <w:u w:val="none"/>
    </w:rPr>
  </w:style>
  <w:style w:type="paragraph" w:styleId="TBEntRefer" w:customStyle="1">
    <w:name w:val="TBEntRefer"/>
    <w:basedOn w:val="TechnicalBlockBase"/>
    <w:rsid w:val="00233D66"/>
    <w:pPr>
      <w:spacing w:before="0" w:after="0" w:line="240" w:lineRule="auto"/>
      <w:ind w:left="0" w:right="0"/>
    </w:pPr>
    <w:rPr>
      <w:rFonts w:ascii="Arial" w:hAnsi="Arial"/>
      <w:i w:val="0"/>
      <w:dstrike w:val="0"/>
      <w:color w:val="auto"/>
      <w:w w:val="100"/>
      <w:sz w:val="23"/>
      <w:u w:val="none"/>
    </w:rPr>
  </w:style>
  <w:style w:type="paragraph" w:styleId="TBEntReferNew" w:customStyle="1">
    <w:name w:val="TBEntReferNew"/>
    <w:basedOn w:val="TechnicalBlockBase"/>
    <w:rsid w:val="00233D66"/>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233D66"/>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233D66"/>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233D66"/>
    <w:pPr>
      <w:spacing w:before="0" w:after="0" w:line="204" w:lineRule="auto"/>
      <w:ind w:left="0" w:right="0"/>
    </w:pPr>
    <w:rPr>
      <w:rFonts w:ascii="Arial" w:hAnsi="Arial"/>
      <w:b w:val="0"/>
      <w:i w:val="0"/>
      <w:dstrike w:val="0"/>
      <w:color w:val="626262"/>
      <w:spacing w:val="4"/>
      <w:w w:val="100"/>
      <w:sz w:val="24"/>
      <w:u w:val="none"/>
    </w:rPr>
  </w:style>
  <w:style w:type="paragraph" w:styleId="TBSousEmbargo" w:customStyle="1">
    <w:name w:val="TBSousEmbargo"/>
    <w:basedOn w:val="TechnicalBlockBase"/>
    <w:qFormat/>
    <w:rsid w:val="00233D66"/>
    <w:pPr>
      <w:spacing w:before="360" w:after="360" w:line="240" w:lineRule="auto"/>
      <w:ind w:left="0" w:right="0"/>
      <w:jc w:val="center"/>
    </w:pPr>
    <w:rPr>
      <w:rFonts w:ascii="Arial" w:hAnsi="Arial"/>
      <w:i w:val="0"/>
      <w:dstrike w:val="0"/>
      <w:color w:val="auto"/>
      <w:w w:val="100"/>
      <w:sz w:val="23"/>
      <w:szCs w:val="23"/>
      <w:u w:val="double"/>
    </w:rPr>
  </w:style>
  <w:style w:type="character" w:styleId="EntInstitChar" w:customStyle="1">
    <w:name w:val="EntInstit Char"/>
    <w:basedOn w:val="DefaultParagraphFont"/>
    <w:link w:val="TBEntInstit"/>
    <w:rsid w:val="00233D66"/>
    <w:rPr>
      <w:rFonts w:ascii="Arial" w:hAnsi="Arial" w:eastAsia="Times New Roman" w:cs="Arial"/>
      <w:b/>
      <w:sz w:val="23"/>
      <w:szCs w:val="20"/>
      <w:u w:color="606060"/>
      <w:lang w:eastAsia="fr-BE"/>
    </w:rPr>
  </w:style>
  <w:style w:type="paragraph" w:styleId="TBDistrbMarkers" w:customStyle="1">
    <w:name w:val="TBDistrbMarkers"/>
    <w:basedOn w:val="TBEntRefer"/>
    <w:qFormat/>
    <w:rsid w:val="00233D66"/>
    <w:pPr>
      <w:tabs>
        <w:tab w:val="left" w:pos="2262"/>
      </w:tabs>
    </w:pPr>
    <w:rPr>
      <w:i/>
      <w:iCs/>
      <w:szCs w:val="23"/>
    </w:rPr>
  </w:style>
  <w:style w:type="paragraph" w:styleId="TBSubjectTable" w:customStyle="1">
    <w:name w:val="TBSubjectTable"/>
    <w:basedOn w:val="TechnicalBlockBase"/>
    <w:rsid w:val="00233D66"/>
    <w:pPr>
      <w:widowControl/>
      <w:spacing w:before="40" w:after="40" w:line="240" w:lineRule="auto"/>
      <w:ind w:left="0" w:right="0"/>
    </w:pPr>
    <w:rPr>
      <w:rFonts w:ascii="Arial" w:hAnsi="Arial"/>
      <w:b w:val="0"/>
      <w:i w:val="0"/>
      <w:dstrike w:val="0"/>
      <w:color w:val="auto"/>
      <w:w w:val="100"/>
      <w:sz w:val="23"/>
      <w:u w:val="none"/>
    </w:rPr>
  </w:style>
  <w:style w:type="paragraph" w:styleId="TBHeadingTable" w:customStyle="1">
    <w:name w:val="TBHeadingTable"/>
    <w:basedOn w:val="TechnicalBlockBase"/>
    <w:rsid w:val="00233D66"/>
    <w:pPr>
      <w:widowControl/>
      <w:spacing w:before="240" w:after="40" w:line="240" w:lineRule="auto"/>
      <w:ind w:left="0" w:right="0"/>
    </w:pPr>
    <w:rPr>
      <w:rFonts w:ascii="Arial" w:hAnsi="Arial"/>
      <w:i w:val="0"/>
      <w:dstrike w:val="0"/>
      <w:color w:val="auto"/>
      <w:w w:val="100"/>
      <w:sz w:val="23"/>
      <w:u w:val="none"/>
    </w:rPr>
  </w:style>
  <w:style w:type="paragraph" w:styleId="TBSubjectText" w:customStyle="1">
    <w:name w:val="TBSubjectText"/>
    <w:basedOn w:val="TechnicalBlockBase"/>
    <w:qFormat/>
    <w:rsid w:val="00233D66"/>
    <w:pPr>
      <w:widowControl/>
      <w:spacing w:before="40" w:after="40" w:line="240" w:lineRule="auto"/>
      <w:ind w:left="0" w:right="0"/>
    </w:pPr>
    <w:rPr>
      <w:rFonts w:ascii="Arial" w:hAnsi="Arial"/>
      <w:b w:val="0"/>
      <w:i w:val="0"/>
      <w:dstrike w:val="0"/>
      <w:color w:val="auto"/>
      <w:w w:val="100"/>
      <w:sz w:val="23"/>
      <w:u w:val="none"/>
    </w:rPr>
  </w:style>
  <w:style w:type="paragraph" w:styleId="TechnicalBlockBase" w:customStyle="1">
    <w:name w:val="TechnicalBlockBase"/>
    <w:link w:val="TechnicalBlockBaseChar"/>
    <w:rsid w:val="00233D66"/>
    <w:pPr>
      <w:widowControl w:val="0"/>
      <w:spacing w:before="140" w:after="140" w:line="185" w:lineRule="auto"/>
      <w:ind w:left="260" w:right="260"/>
    </w:pPr>
    <w:rPr>
      <w:rFonts w:ascii="Arial New Roman" w:hAnsi="Arial New Roman" w:eastAsia="Times New Roman" w:cs="Arial"/>
      <w:b/>
      <w:i/>
      <w:dstrike/>
      <w:color w:val="606060"/>
      <w:w w:val="98"/>
      <w:sz w:val="10"/>
      <w:szCs w:val="20"/>
      <w:u w:val="words" w:color="606060"/>
      <w:lang w:eastAsia="fr-BE"/>
    </w:rPr>
  </w:style>
  <w:style w:type="character" w:styleId="TechnicalBlockBaseChar" w:customStyle="1">
    <w:name w:val="TechnicalBlockBase Char"/>
    <w:basedOn w:val="EntInstitChar"/>
    <w:link w:val="TechnicalBlockBase"/>
    <w:rsid w:val="00233D66"/>
    <w:rPr>
      <w:rFonts w:ascii="Arial New Roman" w:hAnsi="Arial New Roman" w:eastAsia="Times New Roman" w:cs="Arial"/>
      <w:b/>
      <w:i/>
      <w:dstrike/>
      <w:color w:val="606060"/>
      <w:w w:val="98"/>
      <w:sz w:val="10"/>
      <w:szCs w:val="20"/>
      <w:u w:val="words" w:color="606060"/>
      <w:lang w:eastAsia="fr-BE"/>
    </w:rPr>
  </w:style>
  <w:style w:type="paragraph" w:styleId="BodyTextIndent">
    <w:name w:val="Body Text Indent"/>
    <w:basedOn w:val="Normal"/>
    <w:link w:val="BodyTextIndentChar"/>
    <w:rsid w:val="0053332B"/>
    <w:pPr>
      <w:spacing w:after="0" w:line="240" w:lineRule="auto"/>
      <w:ind w:firstLine="567"/>
      <w:jc w:val="both"/>
    </w:pPr>
    <w:rPr>
      <w:rFonts w:ascii="Times New Roman" w:hAnsi="Times New Roman" w:eastAsia="Times New Roman" w:cs="Times New Roman"/>
      <w:b/>
      <w:sz w:val="24"/>
      <w:szCs w:val="20"/>
      <w:lang w:val="cs-CZ" w:eastAsia="cs-CZ"/>
    </w:rPr>
  </w:style>
  <w:style w:type="character" w:styleId="BodyTextIndentChar" w:customStyle="1">
    <w:name w:val="Body Text Indent Char"/>
    <w:basedOn w:val="DefaultParagraphFont"/>
    <w:link w:val="BodyTextIndent"/>
    <w:rsid w:val="0053332B"/>
    <w:rPr>
      <w:rFonts w:ascii="Times New Roman" w:hAnsi="Times New Roman" w:eastAsia="Times New Roman" w:cs="Times New Roman"/>
      <w:b/>
      <w:sz w:val="24"/>
      <w:szCs w:val="20"/>
      <w:lang w:val="cs-CZ" w:eastAsia="cs-CZ"/>
    </w:rPr>
  </w:style>
  <w:style w:type="paragraph" w:styleId="BodyText">
    <w:name w:val="Body Text"/>
    <w:basedOn w:val="Normal"/>
    <w:link w:val="BodyTextChar"/>
    <w:uiPriority w:val="99"/>
    <w:semiHidden/>
    <w:unhideWhenUsed/>
    <w:rsid w:val="00E76377"/>
    <w:pPr>
      <w:spacing w:after="120"/>
    </w:pPr>
  </w:style>
  <w:style w:type="character" w:styleId="BodyTextChar" w:customStyle="1">
    <w:name w:val="Body Text Char"/>
    <w:basedOn w:val="DefaultParagraphFont"/>
    <w:link w:val="BodyText"/>
    <w:uiPriority w:val="99"/>
    <w:semiHidden/>
    <w:rsid w:val="00E76377"/>
  </w:style>
  <w:style w:type="paragraph" w:styleId="d-orzel" w:customStyle="1">
    <w:name w:val="d-orzel"/>
    <w:rsid w:val="00E76377"/>
    <w:pPr>
      <w:spacing w:after="0" w:line="240" w:lineRule="auto"/>
      <w:jc w:val="center"/>
    </w:pPr>
    <w:rPr>
      <w:rFonts w:ascii="Times New Roman" w:hAnsi="Times New Roman" w:eastAsia="Times New Roman" w:cs="Times New Roman"/>
      <w:b/>
      <w:sz w:val="24"/>
      <w:szCs w:val="20"/>
      <w:lang w:val="pl-PL" w:eastAsia="pl-PL"/>
    </w:rPr>
  </w:style>
  <w:style w:type="paragraph" w:styleId="d-linia1" w:customStyle="1">
    <w:name w:val="d-linia1"/>
    <w:rsid w:val="00E76377"/>
    <w:pPr>
      <w:pBdr>
        <w:top w:val="single" w:color="auto" w:sz="4" w:space="1"/>
      </w:pBdr>
      <w:spacing w:after="0" w:line="240" w:lineRule="auto"/>
      <w:jc w:val="both"/>
    </w:pPr>
    <w:rPr>
      <w:rFonts w:ascii="Times New Roman" w:hAnsi="Times New Roman" w:eastAsia="Times New Roman" w:cs="Times New Roman"/>
      <w:sz w:val="24"/>
      <w:szCs w:val="20"/>
      <w:lang w:val="pl-PL" w:eastAsia="pl-PL"/>
    </w:rPr>
  </w:style>
  <w:style w:type="paragraph" w:styleId="d-linia2" w:customStyle="1">
    <w:name w:val="d-linia2"/>
    <w:next w:val="d-linia1"/>
    <w:rsid w:val="00E76377"/>
    <w:pPr>
      <w:tabs>
        <w:tab w:val="right" w:pos="9072"/>
      </w:tabs>
      <w:spacing w:after="60" w:line="240" w:lineRule="auto"/>
      <w:ind w:left="284"/>
    </w:pPr>
    <w:rPr>
      <w:rFonts w:ascii="Times New Roman" w:hAnsi="Times New Roman" w:eastAsia="Times New Roman" w:cs="Times New Roman"/>
      <w:sz w:val="24"/>
      <w:szCs w:val="20"/>
      <w:lang w:val="pl-PL" w:eastAsia="pl-PL"/>
    </w:rPr>
  </w:style>
  <w:style w:type="paragraph" w:styleId="d-sro-18" w:customStyle="1">
    <w:name w:val="d-sro-18"/>
    <w:next w:val="d-ro-14"/>
    <w:rsid w:val="00E76377"/>
    <w:pPr>
      <w:spacing w:after="120" w:line="240" w:lineRule="auto"/>
      <w:jc w:val="center"/>
    </w:pPr>
    <w:rPr>
      <w:rFonts w:ascii="Times New Roman" w:hAnsi="Times New Roman" w:eastAsia="Times New Roman" w:cs="Times New Roman"/>
      <w:b/>
      <w:sz w:val="36"/>
      <w:szCs w:val="20"/>
      <w:lang w:val="pl-PL" w:eastAsia="pl-PL"/>
    </w:rPr>
  </w:style>
  <w:style w:type="paragraph" w:styleId="d-ro-14" w:customStyle="1">
    <w:name w:val="d-śro-14"/>
    <w:next w:val="d-ro-B"/>
    <w:rsid w:val="00E76377"/>
    <w:pPr>
      <w:spacing w:before="120" w:after="120" w:line="240" w:lineRule="auto"/>
      <w:jc w:val="center"/>
    </w:pPr>
    <w:rPr>
      <w:rFonts w:ascii="Times New Roman" w:hAnsi="Times New Roman" w:eastAsia="Times New Roman" w:cs="Times New Roman"/>
      <w:b/>
      <w:sz w:val="28"/>
      <w:szCs w:val="20"/>
      <w:lang w:val="pl-PL" w:eastAsia="pl-PL"/>
    </w:rPr>
  </w:style>
  <w:style w:type="paragraph" w:styleId="d-ro-B" w:customStyle="1">
    <w:name w:val="d-śro-B"/>
    <w:rsid w:val="00E76377"/>
    <w:pPr>
      <w:spacing w:before="120" w:after="120" w:line="240" w:lineRule="auto"/>
      <w:ind w:left="567"/>
      <w:jc w:val="center"/>
    </w:pPr>
    <w:rPr>
      <w:rFonts w:ascii="Times New Roman" w:hAnsi="Times New Roman" w:eastAsia="Times New Roman" w:cs="Times New Roman"/>
      <w:b/>
      <w:sz w:val="24"/>
      <w:szCs w:val="20"/>
      <w:lang w:val="pl-PL" w:eastAsia="pl-PL"/>
    </w:rPr>
  </w:style>
  <w:style w:type="paragraph" w:styleId="d-skier" w:customStyle="1">
    <w:name w:val="d-skier"/>
    <w:rsid w:val="00E76377"/>
    <w:pPr>
      <w:spacing w:after="120" w:line="240" w:lineRule="auto"/>
      <w:ind w:left="851"/>
    </w:pPr>
    <w:rPr>
      <w:rFonts w:ascii="Times New Roman" w:hAnsi="Times New Roman" w:eastAsia="Times New Roman" w:cs="Times New Roman"/>
      <w:sz w:val="24"/>
      <w:szCs w:val="20"/>
      <w:lang w:val="pl-PL" w:eastAsia="pl-PL"/>
    </w:rPr>
  </w:style>
  <w:style w:type="paragraph" w:styleId="d-poroz" w:customStyle="1">
    <w:name w:val="d-poroz"/>
    <w:rsid w:val="00E76377"/>
    <w:pPr>
      <w:spacing w:before="240" w:after="0" w:line="240" w:lineRule="auto"/>
      <w:ind w:left="1418"/>
    </w:pPr>
    <w:rPr>
      <w:rFonts w:ascii="Times New Roman" w:hAnsi="Times New Roman" w:eastAsia="Times New Roman" w:cs="Times New Roman"/>
      <w:sz w:val="24"/>
      <w:szCs w:val="20"/>
      <w:lang w:val="pl-PL" w:eastAsia="pl-PL"/>
    </w:rPr>
  </w:style>
  <w:style w:type="paragraph" w:styleId="d-podpis" w:customStyle="1">
    <w:name w:val="d-podpis"/>
    <w:rsid w:val="00E76377"/>
    <w:pPr>
      <w:tabs>
        <w:tab w:val="center" w:pos="2835"/>
        <w:tab w:val="center" w:pos="7088"/>
      </w:tabs>
      <w:spacing w:after="60" w:line="240" w:lineRule="auto"/>
    </w:pPr>
    <w:rPr>
      <w:rFonts w:ascii="Times New Roman" w:hAnsi="Times New Roman" w:eastAsia="Times New Roman" w:cs="Times New Roman"/>
      <w:sz w:val="24"/>
      <w:szCs w:val="20"/>
      <w:lang w:val="pl-PL" w:eastAsia="pl-PL"/>
    </w:rPr>
  </w:style>
  <w:style w:type="paragraph" w:styleId="d-tocz1" w:customStyle="1">
    <w:name w:val="d-tłocz1"/>
    <w:rsid w:val="00E76377"/>
    <w:pPr>
      <w:keepNext/>
      <w:spacing w:after="0" w:line="240" w:lineRule="auto"/>
    </w:pPr>
    <w:rPr>
      <w:rFonts w:ascii="Times New Roman" w:hAnsi="Times New Roman" w:eastAsia="Times New Roman" w:cs="Times New Roman"/>
      <w:sz w:val="24"/>
      <w:szCs w:val="20"/>
      <w:lang w:val="pl-PL" w:eastAsia="pl-PL"/>
    </w:rPr>
  </w:style>
  <w:style w:type="paragraph" w:styleId="druk-stanard" w:customStyle="1">
    <w:name w:val="druk-stanard"/>
    <w:rsid w:val="00E76377"/>
    <w:pPr>
      <w:spacing w:after="0" w:line="240" w:lineRule="auto"/>
    </w:pPr>
    <w:rPr>
      <w:rFonts w:ascii="Times New Roman" w:hAnsi="Times New Roman" w:eastAsia="Times New Roman" w:cs="Times New Roman"/>
      <w:sz w:val="24"/>
      <w:szCs w:val="20"/>
      <w:lang w:val="pl-PL" w:eastAsia="pl-PL"/>
    </w:rPr>
  </w:style>
  <w:style w:type="paragraph" w:styleId="d-linia3" w:customStyle="1">
    <w:name w:val="d-linia3"/>
    <w:next w:val="druk-stanard"/>
    <w:rsid w:val="00E76377"/>
    <w:pPr>
      <w:pBdr>
        <w:bottom w:val="single" w:color="auto" w:sz="4" w:space="1"/>
      </w:pBdr>
      <w:spacing w:after="0" w:line="240" w:lineRule="auto"/>
    </w:pPr>
    <w:rPr>
      <w:rFonts w:ascii="Times New Roman" w:hAnsi="Times New Roman" w:eastAsia="Times New Roman" w:cs="Times New Roman"/>
      <w:noProof/>
      <w:sz w:val="24"/>
      <w:szCs w:val="20"/>
      <w:lang w:val="pl-PL" w:eastAsia="pl-PL"/>
    </w:rPr>
  </w:style>
  <w:style w:type="paragraph" w:styleId="d-tocz2" w:customStyle="1">
    <w:name w:val="d-tłocz2"/>
    <w:rsid w:val="00E76377"/>
    <w:pPr>
      <w:keepNext/>
      <w:spacing w:before="120" w:after="120" w:line="240" w:lineRule="auto"/>
      <w:jc w:val="center"/>
    </w:pPr>
    <w:rPr>
      <w:rFonts w:ascii="Times New Roman" w:hAnsi="Times New Roman" w:eastAsia="Times New Roman" w:cs="Times New Roman"/>
      <w:sz w:val="24"/>
      <w:szCs w:val="20"/>
      <w:lang w:val="pl-PL" w:eastAsia="pl-PL"/>
    </w:rPr>
  </w:style>
  <w:style w:type="character" w:styleId="PageNumber">
    <w:name w:val="page number"/>
    <w:basedOn w:val="DefaultParagraphFont"/>
    <w:rsid w:val="00E7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f55bf8261f5c40d9" Type="http://schemas.openxmlformats.org/officeDocument/2006/relationships/footnotes" Target="/word/footnotes.xml"/><Relationship Id="Ra274dce5631842a7" Type="http://schemas.openxmlformats.org/officeDocument/2006/relationships/webSettings" Target="/word/webSettings.xml"/><Relationship Id="R43d35af661604a80" Type="http://schemas.openxmlformats.org/officeDocument/2006/relationships/header" Target="/word/header5.xml"/><Relationship Id="Re5fd668c13734c4e" Type="http://schemas.openxmlformats.org/officeDocument/2006/relationships/fontTable" Target="/word/fontTable.xml"/><Relationship Id="R250c8043aeca4bdb" Type="http://schemas.openxmlformats.org/officeDocument/2006/relationships/footer" Target="/word/footer2.xml"/><Relationship Id="R88e6c1642f804e87" Type="http://schemas.openxmlformats.org/officeDocument/2006/relationships/header" Target="/word/header6.xml"/><Relationship Id="R9bedecc2570e4d8b" Type="http://schemas.openxmlformats.org/officeDocument/2006/relationships/footer" Target="/word/footer5.xml"/><Relationship Id="R57d2afcb249747db" Type="http://schemas.openxmlformats.org/officeDocument/2006/relationships/footer" Target="/word/footer11.xml"/><Relationship Id="R834ef3bf9cdb4f9f" Type="http://schemas.openxmlformats.org/officeDocument/2006/relationships/footer" Target="/word/footer1.xml"/><Relationship Id="Re9102986e7c44ca3" Type="http://schemas.openxmlformats.org/officeDocument/2006/relationships/image" Target="/media/image2.bin"/><Relationship Id="R5a0b3f78120a44d0" Type="http://schemas.openxmlformats.org/officeDocument/2006/relationships/footer" Target="/word/footer4.xml"/><Relationship Id="Rf6a17ea3d2aa4c88" Type="http://schemas.openxmlformats.org/officeDocument/2006/relationships/footer" Target="/word/footer7.xml"/><Relationship Id="R0050790a8a9f4faa" Type="http://schemas.openxmlformats.org/officeDocument/2006/relationships/footer" Target="/word/footer8.xml"/><Relationship Id="R7dda0bbabbc64341" Type="http://schemas.openxmlformats.org/officeDocument/2006/relationships/footer" Target="/word/footer9.xml"/><Relationship Id="Rb7d087d6c9ac40ff" Type="http://schemas.openxmlformats.org/officeDocument/2006/relationships/header" Target="/word/header12.xml"/><Relationship Id="rId2" Type="http://schemas.openxmlformats.org/officeDocument/2006/relationships/customXml" Target="../customXml/item2.xml"/><Relationship Id="R448e3691c264489c" Type="http://schemas.openxmlformats.org/officeDocument/2006/relationships/settings" Target="/word/settings.xml"/><Relationship Id="R27332558adc2469c" Type="http://schemas.openxmlformats.org/officeDocument/2006/relationships/header" Target="/word/header1.xml"/><Relationship Id="R032e7bb979bc4b5b" Type="http://schemas.openxmlformats.org/officeDocument/2006/relationships/header" Target="/word/header8.xml"/><Relationship Id="R65c66e9cfe444fc6" Type="http://schemas.openxmlformats.org/officeDocument/2006/relationships/header" Target="/word/header9.xml"/><Relationship Id="R68fd926414e4428a" Type="http://schemas.openxmlformats.org/officeDocument/2006/relationships/footer" Target="/word/footer12.xml"/><Relationship Id="R91fdfebde9af4061" Type="http://schemas.openxmlformats.org/officeDocument/2006/relationships/numbering" Target="/word/numbering.xml"/><Relationship Id="rId1" Type="http://schemas.openxmlformats.org/officeDocument/2006/relationships/customXml" Target="../customXml/item1.xml"/><Relationship Id="Rcae21524c4294713" Type="http://schemas.openxmlformats.org/officeDocument/2006/relationships/footer" Target="/word/footer6.xml"/><Relationship Id="R71c1e8edb3bc40dc" Type="http://schemas.openxmlformats.org/officeDocument/2006/relationships/header" Target="/word/header11.xml"/><Relationship Id="Re8cfffef6b2844fb" Type="http://schemas.openxmlformats.org/officeDocument/2006/relationships/styles" Target="/word/styles.xml"/><Relationship Id="R4b93cda01b4d4a7e" Type="http://schemas.openxmlformats.org/officeDocument/2006/relationships/header" Target="/word/header4.xml"/><Relationship Id="R38ee7fe2e93f4c62" Type="http://schemas.openxmlformats.org/officeDocument/2006/relationships/header" Target="/word/header7.xml"/><Relationship Id="Re981cd1cb11e4488" Type="http://schemas.openxmlformats.org/officeDocument/2006/relationships/glossaryDocument" Target="/word/glossary/document.xml"/><Relationship Id="Rac8db299dab64ff3" Type="http://schemas.openxmlformats.org/officeDocument/2006/relationships/theme" Target="/word/theme/theme1.xml"/><Relationship Id="Rc7d06ae8b1344084" Type="http://schemas.openxmlformats.org/officeDocument/2006/relationships/image" Target="/media/image.bin"/><Relationship Id="Rb0603d167a2b4b86" Type="http://schemas.openxmlformats.org/officeDocument/2006/relationships/header" Target="/word/header3.xml"/><Relationship Id="R4ef4f0525c08459d" Type="http://schemas.openxmlformats.org/officeDocument/2006/relationships/footer" Target="/word/footer3.xml"/><Relationship Id="Ra8d7fe9d085944a0" Type="http://schemas.openxmlformats.org/officeDocument/2006/relationships/header" Target="/word/header10.xml"/><Relationship Id="Ra99461d4d34243f3" Type="http://schemas.openxmlformats.org/officeDocument/2006/relationships/footer" Target="/word/footer10.xml"/><Relationship Id="Rb9bad68abb0242e9" Type="http://schemas.openxmlformats.org/officeDocument/2006/relationships/endnotes" Target="/word/endnotes.xml"/><Relationship Id="R9f5a729afcbb49fb" Type="http://schemas.openxmlformats.org/officeDocument/2006/relationships/header" Target="/word/header2.xml"/><Relationship Id="rId3" Type="http://schemas.openxmlformats.org/officeDocument/2006/relationships/customXml" Target="../customXml/item3.xml"/></Relationships>
</file>

<file path=word/_rels/footnotes.xml.rels>&#65279;<?xml version="1.0" encoding="utf-8"?><Relationships xmlns="http://schemas.openxmlformats.org/package/2006/relationships"><Relationship Type="http://schemas.openxmlformats.org/officeDocument/2006/relationships/hyperlink" Target="https://secure.ipex.eu/IPEXL-WEB/document/COM-2025-1006" TargetMode="External" Id="rId1" /></Relationships>
</file>

<file path=word/glossary/_rels/document.xml.rels>&#65279;<?xml version="1.0" encoding="utf-8"?><Relationships xmlns="http://schemas.openxmlformats.org/package/2006/relationships"><Relationship Type="http://schemas.openxmlformats.org/officeDocument/2006/relationships/styles" Target="/word/glossary/styles2.xml" Id="R8235ae424bb54fe5" /><Relationship Type="http://schemas.openxmlformats.org/officeDocument/2006/relationships/fontTable" Target="/word/glossary/fontTable2.xml" Id="R2f90ea8dbf194211" /><Relationship Type="http://schemas.openxmlformats.org/officeDocument/2006/relationships/settings" Target="/word/glossary/settings2.xml" Id="R476b74397b44435f" /><Relationship Type="http://schemas.openxmlformats.org/officeDocument/2006/relationships/webSettings" Target="/word/glossary/webSettings2.xml" Id="Rd1794b4ce6d34de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5A70D7A9DA44587CF3FC6B64A4D5A" ma:contentTypeVersion="0" ma:contentTypeDescription="Create a new document." ma:contentTypeScope="" ma:versionID="98fa55e05d87d4e941f420ff2851c5b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BEFAA-BB34-4F47-9D72-03ABA9CF1D46}"/>
</file>

<file path=customXml/itemProps2.xml><?xml version="1.0" encoding="utf-8"?>
<ds:datastoreItem xmlns:ds="http://schemas.openxmlformats.org/officeDocument/2006/customXml" ds:itemID="{DE59B619-B5A5-4801-B82A-FFCDF45202D2}"/>
</file>

<file path=customXml/itemProps3.xml><?xml version="1.0" encoding="utf-8"?>
<ds:datastoreItem xmlns:ds="http://schemas.openxmlformats.org/officeDocument/2006/customXml" ds:itemID="{8B725B03-6C06-4B6B-8B80-BD75AFD8DDC8}"/>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SAKALIDOU Nikoletta</dc:creator>
  <cp:keywords/>
  <dc:description/>
  <cp:lastModifiedBy>Sylwia%20TOMANIK</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2026-06-22T12:46:33Z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1.29.0 (CoverpageUpdate)</vt:lpwstr>
  </property>
  <property fmtid="{D5CDD505-2E9C-101B-9397-08002B2CF9AE}" pid="10" name="ContentTypeId">
    <vt:lpwstr>0x010100BA35A70D7A9DA44587CF3FC6B64A4D5A</vt:lpwstr>
  </property>
</Properties>
</file>