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DFED" w14:textId="48AF7983" w:rsidR="004F10B2" w:rsidRPr="004F10B2" w:rsidRDefault="004F10B2" w:rsidP="004F10B2">
      <w:pPr>
        <w:pStyle w:val="NormalWeb"/>
        <w:jc w:val="both"/>
        <w:rPr>
          <w:b/>
          <w:bCs/>
          <w:sz w:val="22"/>
          <w:szCs w:val="22"/>
        </w:rPr>
      </w:pPr>
      <w:r w:rsidRPr="004F10B2">
        <w:rPr>
          <w:b/>
          <w:bCs/>
          <w:sz w:val="22"/>
          <w:szCs w:val="22"/>
        </w:rPr>
        <w:t>Selgitustaotlus</w:t>
      </w:r>
    </w:p>
    <w:p w14:paraId="1E98E9D1" w14:textId="52DB8CFA" w:rsidR="004F10B2" w:rsidRPr="004F10B2" w:rsidRDefault="004F10B2" w:rsidP="004F10B2">
      <w:pPr>
        <w:pStyle w:val="NormalWeb"/>
        <w:jc w:val="both"/>
        <w:rPr>
          <w:sz w:val="22"/>
          <w:szCs w:val="22"/>
        </w:rPr>
      </w:pPr>
      <w:r w:rsidRPr="004F10B2">
        <w:rPr>
          <w:sz w:val="22"/>
          <w:szCs w:val="22"/>
        </w:rPr>
        <w:t>Töölepinguseadus (TLS) § 46 lg 1 sätestab, et tööaeg kokku ei tohi ületada keskmiselt 48 tundi seitsmepäevase ajavahemiku kohta kuni neljakuulise arvestusperioodi jooksul, kui seaduses ei ole sätestatud teistsugust arvestusperioodi.</w:t>
      </w:r>
    </w:p>
    <w:p w14:paraId="6B4EAC0C" w14:textId="77777777" w:rsidR="004F10B2" w:rsidRPr="004F10B2" w:rsidRDefault="004F10B2" w:rsidP="004F10B2">
      <w:pPr>
        <w:pStyle w:val="NormalWeb"/>
        <w:jc w:val="both"/>
        <w:rPr>
          <w:sz w:val="22"/>
          <w:szCs w:val="22"/>
        </w:rPr>
      </w:pPr>
      <w:r w:rsidRPr="004F10B2">
        <w:rPr>
          <w:sz w:val="22"/>
          <w:szCs w:val="22"/>
        </w:rPr>
        <w:t>TLS § 46 lg 2 näeb ette erandi, et tervishoiu-, hoolekande-, põllumajandus- ja turismitöötajatel võib arvestusperioodi kollektiivlepinguga pikendada kuni 12 kuuni.</w:t>
      </w:r>
    </w:p>
    <w:p w14:paraId="442B403F" w14:textId="77777777" w:rsidR="004F10B2" w:rsidRPr="004F10B2" w:rsidRDefault="004F10B2" w:rsidP="004F10B2">
      <w:pPr>
        <w:pStyle w:val="NormalWeb"/>
        <w:jc w:val="both"/>
        <w:rPr>
          <w:sz w:val="22"/>
          <w:szCs w:val="22"/>
        </w:rPr>
      </w:pPr>
      <w:r w:rsidRPr="004F10B2">
        <w:rPr>
          <w:sz w:val="22"/>
          <w:szCs w:val="22"/>
        </w:rPr>
        <w:t>Kontsernis töötavad töölepingu alusel töötajad, kelle ametinimetus on „Päästja“, kelle peamised tööülesanded on tulekustutus- ja päästetööde tegemine, päästetehnika ja varustuse tehnilise korrasoleku tagamine ning tuleohutusalase ennetustöö tegemine. Seejuures mängivad päästjad olulist rolli kiirreageerimisel õnnetuste korral ning nende töö ei erine sisuliselt päästeteenistuse seaduses (</w:t>
      </w:r>
      <w:proofErr w:type="spellStart"/>
      <w:r w:rsidRPr="004F10B2">
        <w:rPr>
          <w:sz w:val="22"/>
          <w:szCs w:val="22"/>
        </w:rPr>
        <w:t>PäästeTS</w:t>
      </w:r>
      <w:proofErr w:type="spellEnd"/>
      <w:r w:rsidRPr="004F10B2">
        <w:rPr>
          <w:sz w:val="22"/>
          <w:szCs w:val="22"/>
        </w:rPr>
        <w:t xml:space="preserve">) sätestatud päästeametniku tööülesannetest. Päästjate töö nõuab ettevõtte vara ja isikute kaitsmiseks pidevat kohalolekut ning see on otseselt seotud elektrienergia tootmise tagamisega. Seejuures sätestab </w:t>
      </w:r>
      <w:proofErr w:type="spellStart"/>
      <w:r w:rsidRPr="004F10B2">
        <w:rPr>
          <w:sz w:val="22"/>
          <w:szCs w:val="22"/>
        </w:rPr>
        <w:t>PäästeTS</w:t>
      </w:r>
      <w:proofErr w:type="spellEnd"/>
      <w:r w:rsidRPr="004F10B2">
        <w:rPr>
          <w:sz w:val="22"/>
          <w:szCs w:val="22"/>
        </w:rPr>
        <w:t xml:space="preserve"> § 20 lg 2, et päästeteenistuja tööaja arvestusperiood on kuni kuus kuud. </w:t>
      </w:r>
      <w:proofErr w:type="spellStart"/>
      <w:r w:rsidRPr="004F10B2">
        <w:rPr>
          <w:sz w:val="22"/>
          <w:szCs w:val="22"/>
        </w:rPr>
        <w:t>PäästeTS</w:t>
      </w:r>
      <w:proofErr w:type="spellEnd"/>
      <w:r w:rsidRPr="004F10B2">
        <w:rPr>
          <w:sz w:val="22"/>
          <w:szCs w:val="22"/>
        </w:rPr>
        <w:t xml:space="preserve"> seejuures ei kohaldu aga eraettevõttes töötavatele päästjatele. </w:t>
      </w:r>
    </w:p>
    <w:p w14:paraId="4A4C7C57" w14:textId="77777777" w:rsidR="004F10B2" w:rsidRPr="004F10B2" w:rsidRDefault="004F10B2" w:rsidP="004F10B2">
      <w:pPr>
        <w:pStyle w:val="NormalWeb"/>
        <w:jc w:val="both"/>
        <w:rPr>
          <w:sz w:val="22"/>
          <w:szCs w:val="22"/>
        </w:rPr>
      </w:pPr>
      <w:r w:rsidRPr="004F10B2">
        <w:rPr>
          <w:sz w:val="22"/>
          <w:szCs w:val="22"/>
        </w:rPr>
        <w:t xml:space="preserve">Selleks, et garanteerida, et kontsernis töötavatel päästjatel ei teki arvestusperioodi lõpuks üle- ega alatunde on kõige optimaalsem lahendus kohaldada päästjatele arvestusperioodi 6 kuud. </w:t>
      </w:r>
    </w:p>
    <w:p w14:paraId="734AEC12" w14:textId="77777777" w:rsidR="004F10B2" w:rsidRPr="004F10B2" w:rsidRDefault="004F10B2" w:rsidP="004F10B2">
      <w:pPr>
        <w:pStyle w:val="NormalWeb"/>
        <w:jc w:val="both"/>
        <w:rPr>
          <w:sz w:val="22"/>
          <w:szCs w:val="22"/>
        </w:rPr>
      </w:pPr>
      <w:r w:rsidRPr="004F10B2">
        <w:rPr>
          <w:sz w:val="22"/>
          <w:szCs w:val="22"/>
        </w:rPr>
        <w:t xml:space="preserve">Euroopa Nõukogu direktiivi 2003/88/EÜ (direktiiv) artikkel 16 (b) sätestab, et liikmesriigid võivad ette näha direktiivi artikli 6 (maksimaalne nädalane tööaeg) kohaldamiseks võrdlusperioodi, </w:t>
      </w:r>
      <w:r w:rsidRPr="004F10B2">
        <w:rPr>
          <w:sz w:val="22"/>
          <w:szCs w:val="22"/>
          <w:u w:val="single"/>
        </w:rPr>
        <w:t>mis ei ületa nelja kuud.</w:t>
      </w:r>
      <w:r w:rsidRPr="004F10B2">
        <w:rPr>
          <w:sz w:val="22"/>
          <w:szCs w:val="22"/>
        </w:rPr>
        <w:t xml:space="preserve"> Direktiivi artikli 17 (2) alusel võib teha erandi tööturu osapoolte vaheliste lepingutega tingimusel et kõnealustele töötajatele antakse hüvituseks võrdväärse pikkusega puhkeajad või et erandjuhtudel, kui objektiivsetel põhjustel ei ole võimalik anda hüvituseks niisuguseid võrdväärse pikkusega puhkeaegu, võimaldatakse kõnealustele töötajatele asjakohane kaitse. Direktiivi artikli 19 alusel erand artikli 16 punktist b ei tohi viia </w:t>
      </w:r>
      <w:r w:rsidRPr="004F10B2">
        <w:rPr>
          <w:sz w:val="22"/>
          <w:szCs w:val="22"/>
          <w:u w:val="single"/>
        </w:rPr>
        <w:t>üle kuue kuu kestva võrdlusperioodi kehtestamiseni</w:t>
      </w:r>
      <w:r w:rsidRPr="004F10B2">
        <w:rPr>
          <w:sz w:val="22"/>
          <w:szCs w:val="22"/>
        </w:rPr>
        <w:t>. </w:t>
      </w:r>
    </w:p>
    <w:p w14:paraId="1C4F5FE8" w14:textId="77777777" w:rsidR="004F10B2" w:rsidRPr="004F10B2" w:rsidRDefault="004F10B2" w:rsidP="004F10B2">
      <w:pPr>
        <w:pStyle w:val="NormalWeb"/>
        <w:jc w:val="both"/>
        <w:rPr>
          <w:sz w:val="22"/>
          <w:szCs w:val="22"/>
        </w:rPr>
      </w:pPr>
      <w:r w:rsidRPr="004F10B2">
        <w:rPr>
          <w:sz w:val="22"/>
          <w:szCs w:val="22"/>
        </w:rPr>
        <w:t>Seejuures saab direktiivi artiklit 19 tõlgendada justkui on erandi tegemine päästjatele lubatud muuhulgas tingimusel kui see ei vii üle kuue kuu kestva võrdlusperioodi kehtestamiseni.</w:t>
      </w:r>
    </w:p>
    <w:p w14:paraId="4117BEF8" w14:textId="77777777" w:rsidR="004F10B2" w:rsidRPr="004F10B2" w:rsidRDefault="004F10B2" w:rsidP="004F10B2">
      <w:pPr>
        <w:pStyle w:val="NormalWeb"/>
        <w:jc w:val="both"/>
        <w:rPr>
          <w:sz w:val="22"/>
          <w:szCs w:val="22"/>
        </w:rPr>
      </w:pPr>
      <w:r w:rsidRPr="004F10B2">
        <w:rPr>
          <w:sz w:val="22"/>
          <w:szCs w:val="22"/>
        </w:rPr>
        <w:t xml:space="preserve">Eesti Vabariigis kehtivas töölepinguseadusest sellist erandit aga ette nähtud ei ole. </w:t>
      </w:r>
    </w:p>
    <w:p w14:paraId="4043BF93" w14:textId="5B4B24D0" w:rsidR="004F10B2" w:rsidRDefault="004F10B2" w:rsidP="004F10B2">
      <w:pPr>
        <w:pStyle w:val="NormalWeb"/>
        <w:jc w:val="both"/>
        <w:rPr>
          <w:sz w:val="22"/>
          <w:szCs w:val="22"/>
        </w:rPr>
      </w:pPr>
      <w:r w:rsidRPr="004F10B2">
        <w:rPr>
          <w:sz w:val="22"/>
          <w:szCs w:val="22"/>
        </w:rPr>
        <w:t>Palume Sotsiaalministeeriumi seisukohta, kas</w:t>
      </w:r>
      <w:r w:rsidRPr="004F10B2">
        <w:rPr>
          <w:sz w:val="22"/>
          <w:szCs w:val="22"/>
        </w:rPr>
        <w:t xml:space="preserve"> tingimusel, et täidetud on kõik erandi kohaldamiseks nõutud eeldused võib pikendada päästjatele kohaldatavat arvestusperioodi 6 (kuuele) kuule kui muuhulgas on täidetud TLS § 46 lõikest 1 tulenev tingimus, et 4 kuu jooksul ei ületa tööaeg keskmiselt 48 tundi seitsmepäevase ajavahemiku kohta kuni neljakuulise arvestusperioodi jooksul? Kui direktiivi tõlgendades on sellise erandi tegemine lubatud, siis kuidas on seda kõige korrektsem vormistada? </w:t>
      </w:r>
    </w:p>
    <w:p w14:paraId="55AD2339" w14:textId="77777777" w:rsidR="004F10B2" w:rsidRPr="004F10B2" w:rsidRDefault="004F10B2" w:rsidP="004F10B2">
      <w:pPr>
        <w:pStyle w:val="NormalWeb"/>
        <w:jc w:val="both"/>
        <w:rPr>
          <w:sz w:val="22"/>
          <w:szCs w:val="22"/>
        </w:rPr>
      </w:pPr>
    </w:p>
    <w:p w14:paraId="1F69671B" w14:textId="0C6C94D2" w:rsidR="00AA3134" w:rsidRPr="004F10B2" w:rsidRDefault="004F10B2" w:rsidP="004F10B2">
      <w:pPr>
        <w:jc w:val="both"/>
        <w:rPr>
          <w:rFonts w:ascii="Times New Roman" w:hAnsi="Times New Roman"/>
          <w:sz w:val="22"/>
          <w:szCs w:val="22"/>
        </w:rPr>
      </w:pPr>
      <w:r w:rsidRPr="004F10B2">
        <w:rPr>
          <w:rFonts w:ascii="Times New Roman" w:hAnsi="Times New Roman"/>
          <w:sz w:val="22"/>
          <w:szCs w:val="22"/>
        </w:rPr>
        <w:t>Lugupidamisega</w:t>
      </w:r>
    </w:p>
    <w:p w14:paraId="5FD9BB56" w14:textId="77777777" w:rsidR="004F10B2" w:rsidRPr="004F10B2" w:rsidRDefault="004F10B2" w:rsidP="004F10B2">
      <w:pPr>
        <w:jc w:val="both"/>
        <w:rPr>
          <w:rFonts w:ascii="Times New Roman" w:hAnsi="Times New Roman"/>
          <w:sz w:val="22"/>
          <w:szCs w:val="22"/>
        </w:rPr>
      </w:pPr>
    </w:p>
    <w:p w14:paraId="50A4B7CF" w14:textId="0EF14129" w:rsidR="004F10B2" w:rsidRPr="004F10B2" w:rsidRDefault="004F10B2" w:rsidP="004F10B2">
      <w:pPr>
        <w:jc w:val="both"/>
        <w:rPr>
          <w:rFonts w:ascii="Times New Roman" w:hAnsi="Times New Roman"/>
          <w:sz w:val="22"/>
          <w:szCs w:val="22"/>
        </w:rPr>
      </w:pPr>
      <w:r w:rsidRPr="004F10B2">
        <w:rPr>
          <w:rFonts w:ascii="Times New Roman" w:hAnsi="Times New Roman"/>
          <w:sz w:val="22"/>
          <w:szCs w:val="22"/>
        </w:rPr>
        <w:t>Andreas Dai</w:t>
      </w:r>
    </w:p>
    <w:p w14:paraId="0453BC35" w14:textId="68743B14" w:rsidR="004F10B2" w:rsidRPr="004F10B2" w:rsidRDefault="004F10B2" w:rsidP="004F10B2">
      <w:pPr>
        <w:jc w:val="both"/>
        <w:rPr>
          <w:rFonts w:ascii="Times New Roman" w:hAnsi="Times New Roman"/>
          <w:sz w:val="22"/>
          <w:szCs w:val="22"/>
        </w:rPr>
      </w:pPr>
      <w:r w:rsidRPr="004F10B2">
        <w:rPr>
          <w:rFonts w:ascii="Times New Roman" w:hAnsi="Times New Roman"/>
          <w:sz w:val="22"/>
          <w:szCs w:val="22"/>
        </w:rPr>
        <w:t xml:space="preserve">Eesti Energia AS </w:t>
      </w:r>
    </w:p>
    <w:p w14:paraId="2269BF04" w14:textId="77999285" w:rsidR="004F10B2" w:rsidRPr="004F10B2" w:rsidRDefault="004F10B2" w:rsidP="004F10B2">
      <w:pPr>
        <w:jc w:val="both"/>
        <w:rPr>
          <w:rFonts w:ascii="Times New Roman" w:hAnsi="Times New Roman"/>
          <w:sz w:val="22"/>
          <w:szCs w:val="22"/>
        </w:rPr>
      </w:pPr>
      <w:r w:rsidRPr="004F10B2">
        <w:rPr>
          <w:rFonts w:ascii="Times New Roman" w:hAnsi="Times New Roman"/>
          <w:sz w:val="22"/>
          <w:szCs w:val="22"/>
        </w:rPr>
        <w:t>Jurist</w:t>
      </w:r>
    </w:p>
    <w:p w14:paraId="15F93D57" w14:textId="77777777" w:rsidR="004F10B2" w:rsidRPr="004F10B2" w:rsidRDefault="004F10B2" w:rsidP="004F10B2">
      <w:pPr>
        <w:jc w:val="both"/>
        <w:rPr>
          <w:rFonts w:ascii="Times New Roman" w:hAnsi="Times New Roman"/>
          <w:sz w:val="22"/>
          <w:szCs w:val="22"/>
        </w:rPr>
      </w:pPr>
    </w:p>
    <w:p w14:paraId="0C22FA71" w14:textId="12953350" w:rsidR="004F10B2" w:rsidRPr="004F10B2" w:rsidRDefault="004F10B2" w:rsidP="004F10B2">
      <w:pPr>
        <w:jc w:val="both"/>
        <w:rPr>
          <w:rFonts w:ascii="Times New Roman" w:hAnsi="Times New Roman"/>
          <w:sz w:val="22"/>
          <w:szCs w:val="22"/>
        </w:rPr>
      </w:pPr>
      <w:r w:rsidRPr="004F10B2">
        <w:rPr>
          <w:rFonts w:ascii="Times New Roman" w:hAnsi="Times New Roman"/>
          <w:sz w:val="22"/>
          <w:szCs w:val="22"/>
        </w:rPr>
        <w:t>/allkirjastatud digitaalselt/</w:t>
      </w:r>
    </w:p>
    <w:sectPr w:rsidR="004F10B2" w:rsidRPr="004F10B2" w:rsidSect="009C6051">
      <w:headerReference w:type="first" r:id="rId10"/>
      <w:footerReference w:type="first" r:id="rId11"/>
      <w:pgSz w:w="11900" w:h="16840"/>
      <w:pgMar w:top="1950" w:right="964" w:bottom="1440" w:left="1797"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1635" w14:textId="77777777" w:rsidR="003D2873" w:rsidRDefault="003D2873">
      <w:r>
        <w:separator/>
      </w:r>
    </w:p>
  </w:endnote>
  <w:endnote w:type="continuationSeparator" w:id="0">
    <w:p w14:paraId="7FCAC465" w14:textId="77777777" w:rsidR="003D2873" w:rsidRDefault="003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4077"/>
      <w:gridCol w:w="1985"/>
    </w:tblGrid>
    <w:tr w:rsidR="00261D60" w:rsidRPr="0098637E" w14:paraId="72D42D93" w14:textId="77777777" w:rsidTr="00DB175E">
      <w:tc>
        <w:tcPr>
          <w:tcW w:w="4077" w:type="dxa"/>
        </w:tcPr>
        <w:p w14:paraId="2CEBCB0E" w14:textId="77777777" w:rsidR="00261D60" w:rsidRPr="0098637E" w:rsidRDefault="00261D60" w:rsidP="00261D60">
          <w:pPr>
            <w:pStyle w:val="Footer"/>
            <w:tabs>
              <w:tab w:val="left" w:pos="2835"/>
              <w:tab w:val="left" w:pos="4962"/>
              <w:tab w:val="left" w:pos="7088"/>
            </w:tabs>
            <w:jc w:val="right"/>
            <w:rPr>
              <w:rFonts w:eastAsia="Cambria" w:cs="Arial"/>
              <w:color w:val="000000"/>
              <w:sz w:val="16"/>
              <w:szCs w:val="16"/>
              <w:lang w:val="lv-LV"/>
            </w:rPr>
          </w:pPr>
          <w:r>
            <w:rPr>
              <w:rFonts w:eastAsia="Cambria" w:cs="Arial"/>
              <w:color w:val="000000"/>
              <w:sz w:val="16"/>
              <w:szCs w:val="16"/>
              <w:lang w:val="lv-LV"/>
            </w:rPr>
            <w:br/>
          </w:r>
          <w:r w:rsidRPr="0098637E">
            <w:rPr>
              <w:rFonts w:eastAsia="Cambria" w:cs="Arial"/>
              <w:color w:val="000000"/>
              <w:sz w:val="16"/>
              <w:szCs w:val="16"/>
              <w:lang w:val="lv-LV"/>
            </w:rPr>
            <w:t>EESTI ENERGIA AS</w:t>
          </w:r>
        </w:p>
      </w:tc>
      <w:tc>
        <w:tcPr>
          <w:tcW w:w="1985" w:type="dxa"/>
        </w:tcPr>
        <w:p w14:paraId="6CD9991F" w14:textId="77777777" w:rsidR="00261D60" w:rsidRPr="0098637E" w:rsidRDefault="00261D60" w:rsidP="00261D60">
          <w:pPr>
            <w:pStyle w:val="Footer"/>
            <w:tabs>
              <w:tab w:val="left" w:pos="2835"/>
              <w:tab w:val="left" w:pos="4962"/>
              <w:tab w:val="left" w:pos="7088"/>
            </w:tabs>
            <w:jc w:val="right"/>
            <w:rPr>
              <w:rFonts w:eastAsia="Cambria" w:cs="Arial"/>
              <w:color w:val="000000"/>
              <w:sz w:val="18"/>
              <w:lang w:val="lv-LV"/>
            </w:rPr>
          </w:pPr>
        </w:p>
      </w:tc>
    </w:tr>
    <w:tr w:rsidR="00261D60" w:rsidRPr="0098637E" w14:paraId="62D68674" w14:textId="77777777" w:rsidTr="00DB175E">
      <w:tc>
        <w:tcPr>
          <w:tcW w:w="4077" w:type="dxa"/>
        </w:tcPr>
        <w:p w14:paraId="50E54F38" w14:textId="77777777" w:rsidR="00261D60" w:rsidRPr="0098637E" w:rsidRDefault="00261D60" w:rsidP="00261D60">
          <w:pPr>
            <w:pStyle w:val="Footer"/>
            <w:tabs>
              <w:tab w:val="left" w:pos="2835"/>
              <w:tab w:val="left" w:pos="4962"/>
              <w:tab w:val="left" w:pos="7088"/>
            </w:tabs>
            <w:spacing w:before="12"/>
            <w:jc w:val="right"/>
            <w:rPr>
              <w:rFonts w:eastAsia="Cambria" w:cs="Arial"/>
              <w:color w:val="000000"/>
              <w:sz w:val="16"/>
              <w:szCs w:val="16"/>
              <w:lang w:val="lv-LV"/>
            </w:rPr>
          </w:pPr>
          <w:r w:rsidRPr="0098637E">
            <w:rPr>
              <w:rFonts w:eastAsia="Cambria" w:cs="Arial"/>
              <w:color w:val="000000"/>
              <w:sz w:val="16"/>
              <w:szCs w:val="16"/>
              <w:lang w:val="lv-LV"/>
            </w:rPr>
            <w:t>Lelle 22, 11318</w:t>
          </w:r>
          <w:r>
            <w:rPr>
              <w:rFonts w:eastAsia="Cambria" w:cs="Arial"/>
              <w:color w:val="000000"/>
              <w:sz w:val="16"/>
              <w:szCs w:val="16"/>
              <w:lang w:val="lv-LV"/>
            </w:rPr>
            <w:t xml:space="preserve"> </w:t>
          </w:r>
          <w:proofErr w:type="spellStart"/>
          <w:r>
            <w:rPr>
              <w:rFonts w:eastAsia="Cambria" w:cs="Arial"/>
              <w:color w:val="000000"/>
              <w:sz w:val="16"/>
              <w:szCs w:val="16"/>
              <w:lang w:val="lv-LV"/>
            </w:rPr>
            <w:t>Tallinn</w:t>
          </w:r>
          <w:proofErr w:type="spellEnd"/>
        </w:p>
        <w:p w14:paraId="081D0A10" w14:textId="77777777" w:rsidR="00261D60" w:rsidRPr="0098637E" w:rsidRDefault="00261D60" w:rsidP="00261D60">
          <w:pPr>
            <w:pStyle w:val="Footer"/>
            <w:tabs>
              <w:tab w:val="left" w:pos="2835"/>
              <w:tab w:val="left" w:pos="4962"/>
              <w:tab w:val="left" w:pos="7088"/>
            </w:tabs>
            <w:spacing w:before="12"/>
            <w:jc w:val="right"/>
            <w:rPr>
              <w:rFonts w:eastAsia="Cambria" w:cs="Arial"/>
              <w:color w:val="000000"/>
              <w:sz w:val="16"/>
              <w:szCs w:val="16"/>
              <w:lang w:val="lv-LV"/>
            </w:rPr>
          </w:pPr>
          <w:proofErr w:type="spellStart"/>
          <w:r>
            <w:rPr>
              <w:rFonts w:eastAsia="Cambria" w:cs="Arial"/>
              <w:color w:val="000000"/>
              <w:sz w:val="16"/>
              <w:szCs w:val="16"/>
              <w:lang w:val="lv-LV"/>
            </w:rPr>
            <w:t>Tel</w:t>
          </w:r>
          <w:proofErr w:type="spellEnd"/>
          <w:r>
            <w:rPr>
              <w:rFonts w:eastAsia="Cambria" w:cs="Arial"/>
              <w:color w:val="000000"/>
              <w:sz w:val="16"/>
              <w:szCs w:val="16"/>
              <w:lang w:val="lv-LV"/>
            </w:rPr>
            <w:t xml:space="preserve"> 46</w:t>
          </w:r>
          <w:r w:rsidRPr="0098637E">
            <w:rPr>
              <w:rFonts w:eastAsia="Cambria" w:cs="Arial"/>
              <w:color w:val="000000"/>
              <w:sz w:val="16"/>
              <w:szCs w:val="16"/>
              <w:lang w:val="lv-LV"/>
            </w:rPr>
            <w:t>5 2222</w:t>
          </w:r>
        </w:p>
        <w:p w14:paraId="5D17BECF" w14:textId="77777777" w:rsidR="00261D60" w:rsidRPr="0098637E" w:rsidRDefault="00261D60" w:rsidP="00261D60">
          <w:pPr>
            <w:pStyle w:val="Footer"/>
            <w:tabs>
              <w:tab w:val="left" w:pos="2835"/>
              <w:tab w:val="left" w:pos="4962"/>
              <w:tab w:val="left" w:pos="7088"/>
            </w:tabs>
            <w:spacing w:before="12"/>
            <w:jc w:val="right"/>
            <w:rPr>
              <w:rFonts w:eastAsia="Cambria" w:cs="Arial"/>
              <w:color w:val="000000"/>
              <w:sz w:val="16"/>
              <w:szCs w:val="16"/>
              <w:lang w:val="lv-LV"/>
            </w:rPr>
          </w:pPr>
          <w:proofErr w:type="spellStart"/>
          <w:r>
            <w:rPr>
              <w:rFonts w:eastAsia="Cambria" w:cs="Arial"/>
              <w:color w:val="000000"/>
              <w:sz w:val="16"/>
              <w:szCs w:val="16"/>
              <w:lang w:val="lv-LV"/>
            </w:rPr>
            <w:t>Faks</w:t>
          </w:r>
          <w:proofErr w:type="spellEnd"/>
          <w:r>
            <w:rPr>
              <w:rFonts w:eastAsia="Cambria" w:cs="Arial"/>
              <w:color w:val="000000"/>
              <w:sz w:val="16"/>
              <w:szCs w:val="16"/>
              <w:lang w:val="lv-LV"/>
            </w:rPr>
            <w:t xml:space="preserve"> 46</w:t>
          </w:r>
          <w:r w:rsidRPr="0098637E">
            <w:rPr>
              <w:rFonts w:eastAsia="Cambria" w:cs="Arial"/>
              <w:color w:val="000000"/>
              <w:sz w:val="16"/>
              <w:szCs w:val="16"/>
              <w:lang w:val="lv-LV"/>
            </w:rPr>
            <w:t>5 2200</w:t>
          </w:r>
        </w:p>
      </w:tc>
      <w:tc>
        <w:tcPr>
          <w:tcW w:w="1985" w:type="dxa"/>
        </w:tcPr>
        <w:p w14:paraId="72FFF179" w14:textId="77777777" w:rsidR="00261D60" w:rsidRPr="0098637E" w:rsidRDefault="00261D60" w:rsidP="00261D60">
          <w:pPr>
            <w:pStyle w:val="Footer"/>
            <w:tabs>
              <w:tab w:val="left" w:pos="2835"/>
              <w:tab w:val="left" w:pos="4962"/>
              <w:tab w:val="left" w:pos="7088"/>
            </w:tabs>
            <w:spacing w:before="12"/>
            <w:jc w:val="right"/>
            <w:rPr>
              <w:rFonts w:eastAsia="Cambria" w:cs="Arial"/>
              <w:color w:val="000000"/>
              <w:sz w:val="16"/>
              <w:szCs w:val="16"/>
              <w:lang w:val="lv-LV"/>
            </w:rPr>
          </w:pPr>
          <w:proofErr w:type="spellStart"/>
          <w:r>
            <w:rPr>
              <w:rFonts w:eastAsia="Cambria" w:cs="Arial"/>
              <w:color w:val="000000"/>
              <w:sz w:val="16"/>
              <w:szCs w:val="16"/>
              <w:lang w:val="lv-LV"/>
            </w:rPr>
            <w:t>Reg</w:t>
          </w:r>
          <w:proofErr w:type="spellEnd"/>
          <w:r>
            <w:rPr>
              <w:rFonts w:eastAsia="Cambria" w:cs="Arial"/>
              <w:color w:val="000000"/>
              <w:sz w:val="16"/>
              <w:szCs w:val="16"/>
              <w:lang w:val="lv-LV"/>
            </w:rPr>
            <w:t xml:space="preserve">. </w:t>
          </w:r>
          <w:proofErr w:type="spellStart"/>
          <w:r>
            <w:rPr>
              <w:rFonts w:eastAsia="Cambria" w:cs="Arial"/>
              <w:color w:val="000000"/>
              <w:sz w:val="16"/>
              <w:szCs w:val="16"/>
              <w:lang w:val="lv-LV"/>
            </w:rPr>
            <w:t>kood</w:t>
          </w:r>
          <w:proofErr w:type="spellEnd"/>
          <w:r w:rsidRPr="0098637E">
            <w:rPr>
              <w:rFonts w:eastAsia="Cambria" w:cs="Arial"/>
              <w:color w:val="000000"/>
              <w:sz w:val="16"/>
              <w:szCs w:val="16"/>
              <w:lang w:val="lv-LV"/>
            </w:rPr>
            <w:t xml:space="preserve"> 10421629</w:t>
          </w:r>
        </w:p>
        <w:p w14:paraId="5FDFACD6" w14:textId="77777777" w:rsidR="00261D60" w:rsidRPr="0098637E" w:rsidRDefault="00261D60" w:rsidP="00261D60">
          <w:pPr>
            <w:pStyle w:val="Footer"/>
            <w:tabs>
              <w:tab w:val="left" w:pos="2835"/>
              <w:tab w:val="left" w:pos="4962"/>
              <w:tab w:val="left" w:pos="7088"/>
            </w:tabs>
            <w:spacing w:before="12"/>
            <w:jc w:val="right"/>
            <w:rPr>
              <w:rFonts w:eastAsia="Cambria" w:cs="Arial"/>
              <w:color w:val="000000"/>
              <w:sz w:val="16"/>
              <w:szCs w:val="16"/>
              <w:lang w:val="lv-LV"/>
            </w:rPr>
          </w:pPr>
          <w:r w:rsidRPr="0098637E">
            <w:rPr>
              <w:rFonts w:eastAsia="Cambria" w:cs="Arial"/>
              <w:color w:val="000000"/>
              <w:sz w:val="16"/>
              <w:szCs w:val="16"/>
              <w:lang w:val="lv-LV"/>
            </w:rPr>
            <w:t>info@energia.ee</w:t>
          </w:r>
        </w:p>
        <w:p w14:paraId="22F66D94" w14:textId="77777777" w:rsidR="00261D60" w:rsidRPr="0098637E" w:rsidRDefault="00261D60" w:rsidP="00261D60">
          <w:pPr>
            <w:pStyle w:val="Footer"/>
            <w:tabs>
              <w:tab w:val="left" w:pos="2835"/>
              <w:tab w:val="left" w:pos="4962"/>
              <w:tab w:val="left" w:pos="7088"/>
            </w:tabs>
            <w:spacing w:before="12"/>
            <w:jc w:val="right"/>
            <w:rPr>
              <w:rFonts w:eastAsia="Cambria" w:cs="Arial"/>
              <w:color w:val="000000"/>
              <w:sz w:val="16"/>
              <w:szCs w:val="16"/>
              <w:lang w:val="lv-LV"/>
            </w:rPr>
          </w:pPr>
          <w:r w:rsidRPr="0098637E">
            <w:rPr>
              <w:rFonts w:eastAsia="Cambria" w:cs="Arial"/>
              <w:color w:val="000000"/>
              <w:sz w:val="16"/>
              <w:szCs w:val="16"/>
              <w:lang w:val="lv-LV"/>
            </w:rPr>
            <w:t>www.energia.ee</w:t>
          </w:r>
        </w:p>
      </w:tc>
    </w:tr>
  </w:tbl>
  <w:p w14:paraId="5AF0F91D" w14:textId="77777777" w:rsidR="00AA3134" w:rsidRPr="0098637E" w:rsidRDefault="00584FAD">
    <w:pPr>
      <w:pStyle w:val="Footer"/>
      <w:rPr>
        <w:rFonts w:cs="Arial"/>
      </w:rPr>
    </w:pPr>
    <w:r>
      <w:rPr>
        <w:noProof/>
        <w:lang w:val="et-EE" w:eastAsia="et-EE"/>
      </w:rPr>
      <w:drawing>
        <wp:anchor distT="0" distB="0" distL="114300" distR="114300" simplePos="0" relativeHeight="251657216" behindDoc="1" locked="0" layoutInCell="1" allowOverlap="1" wp14:anchorId="5E83B17A" wp14:editId="7D3C70F4">
          <wp:simplePos x="0" y="0"/>
          <wp:positionH relativeFrom="column">
            <wp:posOffset>-1150620</wp:posOffset>
          </wp:positionH>
          <wp:positionV relativeFrom="paragraph">
            <wp:posOffset>291465</wp:posOffset>
          </wp:positionV>
          <wp:extent cx="7585075" cy="1046480"/>
          <wp:effectExtent l="0" t="0" r="0" b="1270"/>
          <wp:wrapNone/>
          <wp:docPr id="1" name="Picture 4" descr="j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11B3" w14:textId="77777777" w:rsidR="003D2873" w:rsidRDefault="003D2873">
      <w:r>
        <w:separator/>
      </w:r>
    </w:p>
  </w:footnote>
  <w:footnote w:type="continuationSeparator" w:id="0">
    <w:p w14:paraId="4D3BE405" w14:textId="77777777" w:rsidR="003D2873" w:rsidRDefault="003D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8A74" w14:textId="77777777" w:rsidR="00AA3134" w:rsidRDefault="00584FAD">
    <w:pPr>
      <w:pStyle w:val="Header"/>
    </w:pPr>
    <w:r>
      <w:rPr>
        <w:noProof/>
        <w:lang w:val="et-EE" w:eastAsia="et-EE"/>
      </w:rPr>
      <w:drawing>
        <wp:anchor distT="0" distB="0" distL="114300" distR="114300" simplePos="0" relativeHeight="251658240" behindDoc="1" locked="1" layoutInCell="1" allowOverlap="1" wp14:anchorId="0BC62E77" wp14:editId="4CF14227">
          <wp:simplePos x="0" y="0"/>
          <wp:positionH relativeFrom="page">
            <wp:posOffset>5233670</wp:posOffset>
          </wp:positionH>
          <wp:positionV relativeFrom="page">
            <wp:posOffset>433070</wp:posOffset>
          </wp:positionV>
          <wp:extent cx="1889760" cy="654050"/>
          <wp:effectExtent l="0" t="0" r="0" b="0"/>
          <wp:wrapNone/>
          <wp:docPr id="5" name="Picture 5" descr="logo_corn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rn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54050"/>
                  </a:xfrm>
                  <a:prstGeom prst="rect">
                    <a:avLst/>
                  </a:prstGeom>
                  <a:noFill/>
                </pic:spPr>
              </pic:pic>
            </a:graphicData>
          </a:graphic>
          <wp14:sizeRelH relativeFrom="page">
            <wp14:pctWidth>0</wp14:pctWidth>
          </wp14:sizeRelH>
          <wp14:sizeRelV relativeFrom="page">
            <wp14:pctHeight>0</wp14:pctHeight>
          </wp14:sizeRelV>
        </wp:anchor>
      </w:drawing>
    </w:r>
    <w:r w:rsidR="00E82685">
      <w:tab/>
    </w:r>
    <w:r w:rsidR="00E82685">
      <w:tab/>
    </w:r>
    <w:r w:rsidR="00E82685">
      <w:tab/>
    </w:r>
    <w:r w:rsidR="00E82685">
      <w:tab/>
    </w:r>
    <w:r w:rsidR="00E82685">
      <w:tab/>
    </w:r>
    <w:r w:rsidR="00E826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num w:numId="1" w16cid:durableId="18433622">
    <w:abstractNumId w:val="10"/>
  </w:num>
  <w:num w:numId="2" w16cid:durableId="515585017">
    <w:abstractNumId w:val="8"/>
  </w:num>
  <w:num w:numId="3" w16cid:durableId="418334725">
    <w:abstractNumId w:val="7"/>
  </w:num>
  <w:num w:numId="4" w16cid:durableId="1610694664">
    <w:abstractNumId w:val="6"/>
  </w:num>
  <w:num w:numId="5" w16cid:durableId="50269578">
    <w:abstractNumId w:val="5"/>
  </w:num>
  <w:num w:numId="6" w16cid:durableId="1534460439">
    <w:abstractNumId w:val="9"/>
  </w:num>
  <w:num w:numId="7" w16cid:durableId="2129737887">
    <w:abstractNumId w:val="4"/>
  </w:num>
  <w:num w:numId="8" w16cid:durableId="2093121033">
    <w:abstractNumId w:val="3"/>
  </w:num>
  <w:num w:numId="9" w16cid:durableId="223564541">
    <w:abstractNumId w:val="2"/>
  </w:num>
  <w:num w:numId="10" w16cid:durableId="1766922683">
    <w:abstractNumId w:val="1"/>
  </w:num>
  <w:num w:numId="11" w16cid:durableId="107023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FAD"/>
    <w:rsid w:val="00004098"/>
    <w:rsid w:val="00056F6B"/>
    <w:rsid w:val="000D51FC"/>
    <w:rsid w:val="00112A50"/>
    <w:rsid w:val="00145E46"/>
    <w:rsid w:val="00261D60"/>
    <w:rsid w:val="00267303"/>
    <w:rsid w:val="002C7CC2"/>
    <w:rsid w:val="002F0C7A"/>
    <w:rsid w:val="00345598"/>
    <w:rsid w:val="003D2873"/>
    <w:rsid w:val="004B1ED5"/>
    <w:rsid w:val="004F10B2"/>
    <w:rsid w:val="00584FAD"/>
    <w:rsid w:val="00592E92"/>
    <w:rsid w:val="0064512F"/>
    <w:rsid w:val="006A0AC5"/>
    <w:rsid w:val="006D5424"/>
    <w:rsid w:val="006F0F70"/>
    <w:rsid w:val="006F32B2"/>
    <w:rsid w:val="00700C66"/>
    <w:rsid w:val="00793B42"/>
    <w:rsid w:val="008A7B36"/>
    <w:rsid w:val="009034A9"/>
    <w:rsid w:val="00910E3A"/>
    <w:rsid w:val="0098111C"/>
    <w:rsid w:val="009853EE"/>
    <w:rsid w:val="0098637E"/>
    <w:rsid w:val="009B2F42"/>
    <w:rsid w:val="009C6051"/>
    <w:rsid w:val="009F1D55"/>
    <w:rsid w:val="00AA3134"/>
    <w:rsid w:val="00B34061"/>
    <w:rsid w:val="00B4210E"/>
    <w:rsid w:val="00BD1763"/>
    <w:rsid w:val="00D0729B"/>
    <w:rsid w:val="00D45AD4"/>
    <w:rsid w:val="00D814BD"/>
    <w:rsid w:val="00DA11F7"/>
    <w:rsid w:val="00DB175E"/>
    <w:rsid w:val="00DC3450"/>
    <w:rsid w:val="00E1787F"/>
    <w:rsid w:val="00E82685"/>
    <w:rsid w:val="00F42433"/>
    <w:rsid w:val="00FF594A"/>
  </w:rsids>
  <m:mathPr>
    <m:mathFont m:val="Cambria Math"/>
    <m:brkBin m:val="before"/>
    <m:brkBinSub m:val="--"/>
    <m:smallFrac m:val="0"/>
    <m:dispDef m:val="0"/>
    <m:lMargin m:val="0"/>
    <m:rMargin m:val="0"/>
    <m:defJc m:val="centerGroup"/>
    <m:wrapRight/>
    <m:intLim m:val="subSup"/>
    <m:naryLim m:val="subSup"/>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8A0697"/>
  <w14:defaultImageDpi w14:val="300"/>
  <w15:chartTrackingRefBased/>
  <w15:docId w15:val="{D7AC7B8E-2F78-46CE-9C10-445D09E9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5C"/>
    <w:rPr>
      <w:sz w:val="24"/>
      <w:szCs w:val="24"/>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nhideWhenUsed/>
    <w:rsid w:val="00F02D35"/>
    <w:pPr>
      <w:tabs>
        <w:tab w:val="center" w:pos="4320"/>
        <w:tab w:val="right" w:pos="8640"/>
      </w:tabs>
    </w:pPr>
  </w:style>
  <w:style w:type="character" w:customStyle="1" w:styleId="FooterChar">
    <w:name w:val="Footer Char"/>
    <w:basedOn w:val="DefaultParagraphFont"/>
    <w:link w:val="Footer"/>
    <w:uiPriority w:val="99"/>
    <w:semiHidden/>
    <w:rsid w:val="00F02D35"/>
  </w:style>
  <w:style w:type="character" w:styleId="Hyperlink">
    <w:name w:val="Hyperlink"/>
    <w:uiPriority w:val="99"/>
    <w:unhideWhenUsed/>
    <w:rsid w:val="00DB175E"/>
    <w:rPr>
      <w:color w:val="0000FF"/>
      <w:u w:val="single"/>
    </w:rPr>
  </w:style>
  <w:style w:type="paragraph" w:styleId="NormalWeb">
    <w:name w:val="Normal (Web)"/>
    <w:basedOn w:val="Normal"/>
    <w:uiPriority w:val="99"/>
    <w:unhideWhenUsed/>
    <w:rsid w:val="004F10B2"/>
    <w:pPr>
      <w:spacing w:before="100" w:beforeAutospacing="1" w:after="100" w:afterAutospacing="1"/>
    </w:pPr>
    <w:rPr>
      <w:rFonts w:ascii="Times New Roman" w:eastAsia="Times New Roman" w:hAnsi="Times New Roman"/>
      <w:lang w:val="et-EE" w:eastAsia="et-EE"/>
    </w:rPr>
  </w:style>
  <w:style w:type="character" w:styleId="CommentReference">
    <w:name w:val="annotation reference"/>
    <w:basedOn w:val="DefaultParagraphFont"/>
    <w:uiPriority w:val="99"/>
    <w:semiHidden/>
    <w:unhideWhenUsed/>
    <w:rsid w:val="004F10B2"/>
    <w:rPr>
      <w:sz w:val="16"/>
      <w:szCs w:val="16"/>
    </w:rPr>
  </w:style>
  <w:style w:type="paragraph" w:styleId="CommentText">
    <w:name w:val="annotation text"/>
    <w:basedOn w:val="Normal"/>
    <w:link w:val="CommentTextChar"/>
    <w:uiPriority w:val="99"/>
    <w:unhideWhenUsed/>
    <w:rsid w:val="004F10B2"/>
    <w:pPr>
      <w:spacing w:after="160"/>
    </w:pPr>
    <w:rPr>
      <w:rFonts w:asciiTheme="minorHAnsi" w:eastAsiaTheme="minorHAnsi" w:hAnsiTheme="minorHAnsi" w:cstheme="minorBidi"/>
      <w:sz w:val="20"/>
      <w:szCs w:val="20"/>
      <w:lang w:val="et-EE"/>
    </w:rPr>
  </w:style>
  <w:style w:type="character" w:customStyle="1" w:styleId="CommentTextChar">
    <w:name w:val="Comment Text Char"/>
    <w:basedOn w:val="DefaultParagraphFont"/>
    <w:link w:val="CommentText"/>
    <w:uiPriority w:val="99"/>
    <w:rsid w:val="004F10B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04825B2828574EA8D1C5A1C4FE3979" ma:contentTypeVersion="12" ma:contentTypeDescription="Loo uus dokument" ma:contentTypeScope="" ma:versionID="0f397afd42cd9e5350e283f0d400e330">
  <xsd:schema xmlns:xsd="http://www.w3.org/2001/XMLSchema" xmlns:xs="http://www.w3.org/2001/XMLSchema" xmlns:p="http://schemas.microsoft.com/office/2006/metadata/properties" xmlns:ns2="52b479f2-541b-4f7e-b447-86c42d8f4d67" xmlns:ns3="40f81651-d02d-418e-909d-15be455b476d" targetNamespace="http://schemas.microsoft.com/office/2006/metadata/properties" ma:root="true" ma:fieldsID="8fd23e765d9c86452151bdb4b0eff602" ns2:_="" ns3:_="">
    <xsd:import namespace="52b479f2-541b-4f7e-b447-86c42d8f4d67"/>
    <xsd:import namespace="40f81651-d02d-418e-909d-15be455b476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79f2-541b-4f7e-b447-86c42d8f4d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81651-d02d-418e-909d-15be455b476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486b7-26e8-420c-a07b-669df8a9b032}" ma:internalName="TaxCatchAll" ma:showField="CatchAllData" ma:web="40f81651-d02d-418e-909d-15be455b4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b479f2-541b-4f7e-b447-86c42d8f4d67">
      <Terms xmlns="http://schemas.microsoft.com/office/infopath/2007/PartnerControls"/>
    </lcf76f155ced4ddcb4097134ff3c332f>
    <TaxCatchAll xmlns="40f81651-d02d-418e-909d-15be455b47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AB3ED-F762-4463-9DC0-D1409403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79f2-541b-4f7e-b447-86c42d8f4d67"/>
    <ds:schemaRef ds:uri="40f81651-d02d-418e-909d-15be455b4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65940-15C3-412D-8A72-9AFC00B7C382}">
  <ds:schemaRefs>
    <ds:schemaRef ds:uri="http://schemas.microsoft.com/office/2006/metadata/properties"/>
    <ds:schemaRef ds:uri="http://schemas.microsoft.com/office/infopath/2007/PartnerControls"/>
    <ds:schemaRef ds:uri="52b479f2-541b-4f7e-b447-86c42d8f4d67"/>
    <ds:schemaRef ds:uri="40f81651-d02d-418e-909d-15be455b476d"/>
  </ds:schemaRefs>
</ds:datastoreItem>
</file>

<file path=customXml/itemProps3.xml><?xml version="1.0" encoding="utf-8"?>
<ds:datastoreItem xmlns:ds="http://schemas.openxmlformats.org/officeDocument/2006/customXml" ds:itemID="{80EAFE78-8D59-4C0B-9DD6-BD5AC5D37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2560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Kreatiff</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cp:lastModifiedBy>Andreas Dai</cp:lastModifiedBy>
  <cp:revision>2</cp:revision>
  <dcterms:created xsi:type="dcterms:W3CDTF">2024-03-22T18:53:00Z</dcterms:created>
  <dcterms:modified xsi:type="dcterms:W3CDTF">2024-03-22T18:53:00Z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0x0101001304825B2828574EA8D1C5A1C4FE3979</vt:lpwstr>
  </property>
</Properties>
</file>