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2E97">
      <w:pPr>
        <w:rPr>
          <w:lang w:val="en-US"/>
        </w:rPr>
      </w:pPr>
    </w:p>
    <w:p w14:paraId="6DA7744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et-EE"/>
        </w:rPr>
        <w:t>J</w:t>
      </w:r>
      <w:r>
        <w:rPr>
          <w:rFonts w:hint="default" w:ascii="Times New Roman" w:hAnsi="Times New Roman" w:cs="Times New Roman"/>
          <w:sz w:val="24"/>
          <w:szCs w:val="24"/>
        </w:rPr>
        <w:t>ustiits- ja Digiministeerium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Suur-Ameerika 1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10122 Tallinn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"mailto:info@just.ee"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info@justdigi.ee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</w:p>
    <w:p w14:paraId="60B24002">
      <w:pPr>
        <w:pStyle w:val="8"/>
        <w:keepNext w:val="0"/>
        <w:keepLines w:val="0"/>
        <w:widowControl/>
        <w:suppressLineNumbers w:val="0"/>
      </w:pPr>
      <w:r>
        <w:t>Esitaja:</w:t>
      </w:r>
      <w:r>
        <w:br w:type="textWrapping"/>
      </w:r>
      <w:r>
        <w:t>Olga Väina-Kesler</w:t>
      </w:r>
      <w:r>
        <w:br w:type="textWrapping"/>
      </w:r>
      <w:r>
        <w:t>Sinu Jurist OÜ</w:t>
      </w:r>
      <w:r>
        <w:br w:type="textWrapping"/>
      </w:r>
      <w:r>
        <w:t>reg kood 16870594</w:t>
      </w:r>
    </w:p>
    <w:p w14:paraId="27201804">
      <w:pPr>
        <w:pStyle w:val="8"/>
        <w:keepNext w:val="0"/>
        <w:keepLines w:val="0"/>
        <w:widowControl/>
        <w:suppressLineNumbers w:val="0"/>
      </w:pPr>
      <w:r>
        <w:t>E-post: ramstor.ou@gmail.com</w:t>
      </w:r>
    </w:p>
    <w:p w14:paraId="3E688D1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PÖÖRDUMINE</w:t>
      </w:r>
    </w:p>
    <w:p w14:paraId="44173602">
      <w:pPr>
        <w:pStyle w:val="8"/>
        <w:keepNext w:val="0"/>
        <w:keepLines w:val="0"/>
        <w:widowControl/>
        <w:suppressLineNumbers w:val="0"/>
      </w:pPr>
      <w:r>
        <w:t>Lugupeetud Justiits- ja Digiministeerium</w:t>
      </w:r>
    </w:p>
    <w:p w14:paraId="5FEB6F44">
      <w:pPr>
        <w:pStyle w:val="8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rPr>
          <w:b w:val="0"/>
          <w:bCs w:val="0"/>
        </w:rPr>
        <w:t xml:space="preserve">Käesolevaga palume üldist õiguslikku selgitust </w:t>
      </w:r>
      <w:r>
        <w:rPr>
          <w:rStyle w:val="7"/>
          <w:b w:val="0"/>
          <w:bCs w:val="0"/>
        </w:rPr>
        <w:t>VÕS § 1057 p 3</w:t>
      </w:r>
      <w:r>
        <w:rPr>
          <w:b w:val="0"/>
          <w:bCs w:val="0"/>
        </w:rPr>
        <w:t xml:space="preserve"> kohaldamise standardi kohta mootorsõiduki riskivastutuse kontekstis.</w:t>
      </w:r>
    </w:p>
    <w:p w14:paraId="4A84D472">
      <w:pPr>
        <w:pStyle w:val="8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rPr>
          <w:b w:val="0"/>
          <w:bCs w:val="0"/>
        </w:rPr>
        <w:t>VÕS § 1057 p 3 sätestab, et mootorsõiduki valdaja ei vastuta, kui kahju põhjustas kannatanu tahtlik tegu. Tegemist on riskivastutust täielikult välistava erandnormiga.</w:t>
      </w:r>
    </w:p>
    <w:p w14:paraId="31EFCAF9">
      <w:pPr>
        <w:pStyle w:val="8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rPr>
          <w:b w:val="0"/>
          <w:bCs w:val="0"/>
        </w:rPr>
        <w:t>Kohtulahendites on tahtlus nimetatud sätte tähenduses tuletatud eeskätt järgmistest objektiivsetest asjaoludest:</w:t>
      </w:r>
    </w:p>
    <w:p w14:paraId="419E0675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pidurdamise puudumine enne kokkupõrget;</w:t>
      </w:r>
    </w:p>
    <w:p w14:paraId="45F2DF2B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sõiduki sirgjooneline liikumine;</w:t>
      </w:r>
    </w:p>
    <w:p w14:paraId="14DCE3E7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teise sõiduki peatunud asend kokkupõrke hetkel;</w:t>
      </w:r>
    </w:p>
    <w:p w14:paraId="00ED1225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tehniliste andmete (nt EDR) põhjal tehtud järeldused.</w:t>
      </w:r>
    </w:p>
    <w:p w14:paraId="01715E46">
      <w:pPr>
        <w:pStyle w:val="8"/>
        <w:keepNext w:val="0"/>
        <w:keepLines w:val="0"/>
        <w:widowControl/>
        <w:suppressLineNumbers w:val="0"/>
      </w:pPr>
    </w:p>
    <w:p w14:paraId="5642ADFF">
      <w:pPr>
        <w:pStyle w:val="8"/>
        <w:keepNext w:val="0"/>
        <w:keepLines w:val="0"/>
        <w:widowControl/>
        <w:suppressLineNumbers w:val="0"/>
        <w:spacing w:line="360" w:lineRule="auto"/>
        <w:jc w:val="both"/>
      </w:pPr>
      <w:r>
        <w:t xml:space="preserve">Samas ei ole alati otsesõnu tuvastatud kahju põhjustaja </w:t>
      </w:r>
      <w:r>
        <w:rPr>
          <w:rStyle w:val="7"/>
        </w:rPr>
        <w:t>subjektiivset elementi</w:t>
      </w:r>
      <w:r>
        <w:t xml:space="preserve"> — kahju soovimist või sellega teadlikku leppimist.</w:t>
      </w:r>
      <w:r>
        <w:rPr>
          <w:rFonts w:hint="default"/>
          <w:lang w:val="et-EE"/>
        </w:rPr>
        <w:t xml:space="preserve"> </w:t>
      </w:r>
      <w:r>
        <w:t xml:space="preserve">Arvestades, et tegemist on tsiviilmenetlusega, kus kohus hindab tõendeid siseveendumuse alusel (TsMS § 232), palume selgitada, kas ka sellises menetluses eeldab </w:t>
      </w:r>
      <w:r>
        <w:rPr>
          <w:rStyle w:val="7"/>
        </w:rPr>
        <w:t>VÕS § 1057 p 3</w:t>
      </w:r>
      <w:r>
        <w:t xml:space="preserve"> kohaldamine siiski tahtluse subjektiivse elemendi selget tuvastamist ning kas tahtlust võib tuletada üksnes objektiivse käitumise analüüsist ilma kahju soovimise või sellega teadliku leppimise eraldi põhjendamiseta.</w:t>
      </w:r>
    </w:p>
    <w:p w14:paraId="5AADD90E">
      <w:pPr>
        <w:pStyle w:val="8"/>
        <w:keepNext w:val="0"/>
        <w:keepLines w:val="0"/>
        <w:widowControl/>
        <w:suppressLineNumbers w:val="0"/>
      </w:pPr>
      <w:r>
        <w:t>Sellest tulenevalt tekib põhimõtteline küsimus:</w:t>
      </w:r>
    </w:p>
    <w:p w14:paraId="4BF9AA1C">
      <w:pPr>
        <w:pStyle w:val="8"/>
        <w:keepNext w:val="0"/>
        <w:keepLines w:val="0"/>
        <w:widowControl/>
        <w:suppressLineNumbers w:val="0"/>
        <w:spacing w:line="360" w:lineRule="auto"/>
        <w:jc w:val="both"/>
      </w:pPr>
      <w:r>
        <w:rPr>
          <w:rStyle w:val="7"/>
        </w:rPr>
        <w:t>Kas VÕS § 1057 p 3 kohaldamiseks piisab üksnes objektiivsetest tehnilistest asjaoludest või eeldab tahtluse tuvastamine vältimatult ka subjektiivse elemendi — kahju soovimise või sellega teadliku leppimise — selget ja eraldi tuvastamist?</w:t>
      </w:r>
    </w:p>
    <w:p w14:paraId="5A5E6001">
      <w:pPr>
        <w:pStyle w:val="8"/>
        <w:keepNext w:val="0"/>
        <w:keepLines w:val="0"/>
        <w:widowControl/>
        <w:suppressLineNumbers w:val="0"/>
        <w:rPr>
          <w:rFonts w:hint="default"/>
          <w:lang w:val="et-EE"/>
        </w:rPr>
      </w:pPr>
      <w:r>
        <w:t>Samuti palume selgitada:</w:t>
      </w:r>
      <w:r>
        <w:rPr>
          <w:rFonts w:hint="default"/>
          <w:lang w:val="et-EE"/>
        </w:rPr>
        <w:t xml:space="preserve"> </w:t>
      </w:r>
    </w:p>
    <w:p w14:paraId="2711181F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milline on tahtluse tuvastamise miinimumstandard nimetatud sätte tähenduses;</w:t>
      </w:r>
    </w:p>
    <w:p w14:paraId="4578BFDB">
      <w:pPr>
        <w:pStyle w:val="8"/>
        <w:keepNext w:val="0"/>
        <w:keepLines w:val="0"/>
        <w:widowControl/>
        <w:suppressLineNumbers w:val="0"/>
        <w:rPr>
          <w:rFonts w:hint="default"/>
          <w:lang w:val="et-EE"/>
        </w:rPr>
      </w:pPr>
      <w:r>
        <w:rPr>
          <w:rFonts w:hint="default"/>
          <w:lang w:val="et-EE"/>
        </w:rPr>
        <w:t xml:space="preserve">- </w:t>
      </w:r>
      <w:r>
        <w:t>kas erandnormi kohaldamisel tuleb kahtluse korral lähtuda riskivastutuse säilitamise põhimõttest;</w:t>
      </w:r>
      <w:r>
        <w:rPr>
          <w:rFonts w:hint="default"/>
          <w:lang w:val="et-EE"/>
        </w:rPr>
        <w:t xml:space="preserve"> </w:t>
      </w:r>
    </w:p>
    <w:p w14:paraId="3E4D888D">
      <w:pPr>
        <w:pStyle w:val="8"/>
        <w:keepNext w:val="0"/>
        <w:keepLines w:val="0"/>
        <w:widowControl/>
        <w:suppressLineNumbers w:val="0"/>
      </w:pPr>
      <w:r>
        <w:rPr>
          <w:rFonts w:hint="default"/>
          <w:lang w:val="et-EE"/>
        </w:rPr>
        <w:t xml:space="preserve">- </w:t>
      </w:r>
      <w:r>
        <w:t>kas objektiivse käitumise analüüs võib asendada subjektiivse suhtumise tuvastamist.</w:t>
      </w:r>
    </w:p>
    <w:p w14:paraId="1B786EE6">
      <w:pPr>
        <w:pStyle w:val="8"/>
        <w:keepNext w:val="0"/>
        <w:keepLines w:val="0"/>
        <w:widowControl/>
        <w:suppressLineNumbers w:val="0"/>
      </w:pPr>
      <w:r>
        <w:rPr>
          <w:b/>
          <w:bCs/>
        </w:rPr>
        <w:t>Käesolev pöördumine ei taotle konkreetse kohtulahendi ümberhindamist, vaid puudutab</w:t>
      </w:r>
      <w:r>
        <w:t xml:space="preserve"> </w:t>
      </w:r>
      <w:r>
        <w:rPr>
          <w:rStyle w:val="7"/>
        </w:rPr>
        <w:t>VÕS § 1057 p 3 tõlgendamise põhimõtteid üldiselt</w:t>
      </w:r>
      <w:r>
        <w:t>.</w:t>
      </w:r>
    </w:p>
    <w:p w14:paraId="5767279A">
      <w:pPr>
        <w:pStyle w:val="8"/>
        <w:keepNext w:val="0"/>
        <w:keepLines w:val="0"/>
        <w:widowControl/>
        <w:suppressLineNumbers w:val="0"/>
        <w:jc w:val="both"/>
      </w:pPr>
    </w:p>
    <w:p w14:paraId="266B74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Lugupidamisega,</w:t>
      </w:r>
      <w:bookmarkStart w:id="0" w:name="_GoBack"/>
      <w:bookmarkEnd w:id="0"/>
    </w:p>
    <w:p w14:paraId="04256A17">
      <w:pPr>
        <w:rPr>
          <w:rFonts w:hint="default" w:ascii="Times New Roman" w:hAnsi="Times New Roman" w:cs="Times New Roman"/>
          <w:sz w:val="24"/>
          <w:szCs w:val="24"/>
          <w:lang w:val="et-EE"/>
        </w:rPr>
      </w:pPr>
      <w:r>
        <w:rPr>
          <w:rFonts w:hint="default" w:ascii="Times New Roman" w:hAnsi="Times New Roman" w:cs="Times New Roman"/>
          <w:sz w:val="24"/>
          <w:szCs w:val="24"/>
          <w:lang w:val="et-EE"/>
        </w:rPr>
        <w:t>OLga Väina-Kesler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4A"/>
    <w:rsid w:val="00597D4A"/>
    <w:rsid w:val="00640DD5"/>
    <w:rsid w:val="00D0239A"/>
    <w:rsid w:val="04CB0CBD"/>
    <w:rsid w:val="04EA301F"/>
    <w:rsid w:val="05FD54C9"/>
    <w:rsid w:val="2369269D"/>
    <w:rsid w:val="2A812313"/>
    <w:rsid w:val="36303A4A"/>
    <w:rsid w:val="452354DA"/>
    <w:rsid w:val="4C0F5709"/>
    <w:rsid w:val="4CB9236D"/>
    <w:rsid w:val="66670A10"/>
    <w:rsid w:val="6D7A12B3"/>
    <w:rsid w:val="772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1693</Characters>
  <Lines>14</Lines>
  <Paragraphs>3</Paragraphs>
  <TotalTime>74</TotalTime>
  <ScaleCrop>false</ScaleCrop>
  <LinksUpToDate>false</LinksUpToDate>
  <CharactersWithSpaces>1986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2025-08-30T09:31:00Z</dcterms:created>
  <dc:creator>vaina olga</dc:creator>
  <cp:lastModifiedBy>User</cp:lastModifiedBy>
  <dcterms:modified xsi:type="dcterms:W3CDTF">2026-03-05T18:59:38Z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4E195022762A4740A3918CF022E8E535_13</vt:lpwstr>
  </property>
</Properties>
</file>