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6114" w14:textId="3D355DE6" w:rsidR="00850D07" w:rsidRPr="00E56E73" w:rsidRDefault="00850D07" w:rsidP="00E56E73">
      <w:pPr>
        <w:jc w:val="right"/>
        <w:rPr>
          <w:noProof/>
          <w:lang w:val="et-EE"/>
        </w:rPr>
      </w:pPr>
      <w:r>
        <w:rPr>
          <w:noProof/>
          <w:lang w:val="et-EE"/>
        </w:rPr>
        <w:t>31.08.2023</w:t>
      </w:r>
    </w:p>
    <w:p w14:paraId="1D56C393" w14:textId="77777777" w:rsidR="00850D07" w:rsidRDefault="00850D07" w:rsidP="004034F3">
      <w:pPr>
        <w:jc w:val="center"/>
        <w:rPr>
          <w:b/>
          <w:bCs/>
          <w:noProof/>
          <w:lang w:val="et-EE"/>
        </w:rPr>
      </w:pPr>
    </w:p>
    <w:p w14:paraId="6FA7A96A" w14:textId="36DEEABF" w:rsidR="003349CB" w:rsidRPr="00FA1890" w:rsidRDefault="00515425" w:rsidP="004034F3">
      <w:pPr>
        <w:jc w:val="center"/>
        <w:rPr>
          <w:b/>
          <w:bCs/>
          <w:noProof/>
          <w:lang w:val="et-EE"/>
        </w:rPr>
      </w:pPr>
      <w:r w:rsidRPr="00FA1890">
        <w:rPr>
          <w:b/>
          <w:bCs/>
          <w:noProof/>
          <w:lang w:val="et-EE"/>
        </w:rPr>
        <w:t>Majandus</w:t>
      </w:r>
      <w:r w:rsidR="003349CB" w:rsidRPr="00FA1890">
        <w:rPr>
          <w:b/>
          <w:bCs/>
          <w:noProof/>
          <w:lang w:val="et-EE"/>
        </w:rPr>
        <w:t xml:space="preserve">- ja </w:t>
      </w:r>
      <w:r w:rsidRPr="00FA1890">
        <w:rPr>
          <w:b/>
          <w:bCs/>
          <w:noProof/>
          <w:lang w:val="et-EE"/>
        </w:rPr>
        <w:t>infotehnoloogia</w:t>
      </w:r>
      <w:r w:rsidR="003349CB" w:rsidRPr="00FA1890">
        <w:rPr>
          <w:b/>
          <w:bCs/>
          <w:noProof/>
          <w:lang w:val="et-EE"/>
        </w:rPr>
        <w:t>ministri käskkirja</w:t>
      </w:r>
      <w:r w:rsidR="004025A0" w:rsidRPr="00FA1890">
        <w:rPr>
          <w:b/>
          <w:bCs/>
          <w:noProof/>
          <w:lang w:val="et-EE"/>
        </w:rPr>
        <w:t>ga</w:t>
      </w:r>
      <w:r w:rsidR="003349CB" w:rsidRPr="00FA1890">
        <w:rPr>
          <w:b/>
          <w:bCs/>
          <w:noProof/>
          <w:lang w:val="et-EE"/>
        </w:rPr>
        <w:t xml:space="preserve"> </w:t>
      </w:r>
      <w:r w:rsidR="004025A0" w:rsidRPr="00FA1890">
        <w:rPr>
          <w:b/>
          <w:bCs/>
          <w:noProof/>
          <w:lang w:val="et-EE"/>
        </w:rPr>
        <w:t xml:space="preserve">kinnitatavate </w:t>
      </w:r>
      <w:r w:rsidR="003349CB" w:rsidRPr="00FA1890">
        <w:rPr>
          <w:b/>
          <w:bCs/>
          <w:noProof/>
          <w:lang w:val="et-EE"/>
        </w:rPr>
        <w:t>toetuse andmise tingimus</w:t>
      </w:r>
      <w:r w:rsidR="004025A0" w:rsidRPr="00FA1890">
        <w:rPr>
          <w:b/>
          <w:bCs/>
          <w:noProof/>
          <w:lang w:val="et-EE"/>
        </w:rPr>
        <w:t>te</w:t>
      </w:r>
      <w:r w:rsidR="009314B6" w:rsidRPr="00FA1890">
        <w:rPr>
          <w:b/>
          <w:bCs/>
          <w:noProof/>
          <w:lang w:val="et-EE"/>
        </w:rPr>
        <w:t xml:space="preserve"> </w:t>
      </w:r>
      <w:r w:rsidR="0047483A" w:rsidRPr="00FA1890">
        <w:rPr>
          <w:b/>
          <w:bCs/>
          <w:noProof/>
          <w:lang w:val="et-EE"/>
        </w:rPr>
        <w:t>„</w:t>
      </w:r>
      <w:bookmarkStart w:id="0" w:name="_Hlk144731205"/>
      <w:r w:rsidR="0047483A" w:rsidRPr="00FA1890">
        <w:rPr>
          <w:b/>
          <w:bCs/>
          <w:noProof/>
          <w:lang w:val="et-EE"/>
        </w:rPr>
        <w:t>Põlevkivisektori töötajate tööle asumise ja oskuste arendamise toetamine</w:t>
      </w:r>
      <w:bookmarkEnd w:id="0"/>
      <w:r w:rsidR="0047483A" w:rsidRPr="00FA1890">
        <w:rPr>
          <w:b/>
          <w:bCs/>
          <w:noProof/>
          <w:lang w:val="et-EE"/>
        </w:rPr>
        <w:t>“</w:t>
      </w:r>
      <w:r w:rsidR="003349CB" w:rsidRPr="00FA1890">
        <w:rPr>
          <w:b/>
          <w:bCs/>
          <w:noProof/>
          <w:lang w:val="et-EE"/>
        </w:rPr>
        <w:t xml:space="preserve"> </w:t>
      </w:r>
      <w:r w:rsidR="00850D07">
        <w:rPr>
          <w:b/>
          <w:bCs/>
          <w:noProof/>
          <w:lang w:val="et-EE"/>
        </w:rPr>
        <w:t xml:space="preserve">eelnõu </w:t>
      </w:r>
      <w:r w:rsidR="003349CB" w:rsidRPr="00FA1890">
        <w:rPr>
          <w:b/>
          <w:bCs/>
          <w:noProof/>
          <w:lang w:val="et-EE"/>
        </w:rPr>
        <w:t>seletuskiri</w:t>
      </w:r>
    </w:p>
    <w:p w14:paraId="0E1B43D1" w14:textId="77777777" w:rsidR="003349CB" w:rsidRPr="00FA1890" w:rsidRDefault="003349CB" w:rsidP="004034F3">
      <w:pPr>
        <w:jc w:val="center"/>
        <w:rPr>
          <w:noProof/>
          <w:lang w:val="et-EE"/>
        </w:rPr>
      </w:pPr>
    </w:p>
    <w:p w14:paraId="47056997" w14:textId="77777777" w:rsidR="003349CB" w:rsidRPr="00FA1890" w:rsidRDefault="003349CB" w:rsidP="004034F3">
      <w:pPr>
        <w:jc w:val="center"/>
        <w:rPr>
          <w:noProof/>
          <w:lang w:val="et-EE"/>
        </w:rPr>
      </w:pPr>
    </w:p>
    <w:p w14:paraId="35B09654" w14:textId="77777777" w:rsidR="003349CB" w:rsidRPr="00FA1890" w:rsidRDefault="003349CB" w:rsidP="004034F3">
      <w:pPr>
        <w:rPr>
          <w:b/>
          <w:bCs/>
          <w:noProof/>
          <w:lang w:val="et-EE"/>
        </w:rPr>
      </w:pPr>
      <w:r w:rsidRPr="00FA1890">
        <w:rPr>
          <w:b/>
          <w:bCs/>
          <w:noProof/>
          <w:lang w:val="et-EE"/>
        </w:rPr>
        <w:t>I Sissejuhatus</w:t>
      </w:r>
    </w:p>
    <w:p w14:paraId="5283F180" w14:textId="77777777" w:rsidR="003349CB" w:rsidRPr="00FA1890" w:rsidRDefault="003349CB" w:rsidP="004034F3">
      <w:pPr>
        <w:tabs>
          <w:tab w:val="left" w:pos="8640"/>
        </w:tabs>
        <w:jc w:val="both"/>
        <w:rPr>
          <w:noProof/>
          <w:lang w:val="et-EE"/>
        </w:rPr>
      </w:pPr>
    </w:p>
    <w:p w14:paraId="22796A97" w14:textId="08A37EF2" w:rsidR="009D6326" w:rsidRPr="00FA1890" w:rsidRDefault="009D6326" w:rsidP="004034F3">
      <w:pPr>
        <w:tabs>
          <w:tab w:val="left" w:pos="8640"/>
        </w:tabs>
        <w:jc w:val="both"/>
        <w:rPr>
          <w:lang w:val="et-EE"/>
        </w:rPr>
      </w:pPr>
      <w:r w:rsidRPr="00FA1890">
        <w:rPr>
          <w:lang w:val="et-EE" w:eastAsia="et-EE"/>
        </w:rPr>
        <w:t>Toetusmeetmega toetatakse</w:t>
      </w:r>
      <w:r w:rsidR="004025A0" w:rsidRPr="00FA1890">
        <w:rPr>
          <w:lang w:val="et-EE" w:eastAsia="et-EE"/>
        </w:rPr>
        <w:t xml:space="preserve"> Ida-Virumaa põlevkivisektori kahanemise käigus töö kaotanud või töö kaotamise ohtu sattunud inimesi, et aidata neil leida uut tööd teises sektoris. </w:t>
      </w:r>
      <w:r w:rsidR="00C21B8A" w:rsidRPr="00FA1890">
        <w:rPr>
          <w:lang w:val="et-EE"/>
        </w:rPr>
        <w:t xml:space="preserve">Selleks </w:t>
      </w:r>
      <w:r w:rsidR="00305E5A" w:rsidRPr="00FA1890">
        <w:rPr>
          <w:lang w:val="et-EE"/>
        </w:rPr>
        <w:t>antakse</w:t>
      </w:r>
      <w:r w:rsidR="002C2161" w:rsidRPr="00FA1890">
        <w:rPr>
          <w:lang w:val="et-EE"/>
        </w:rPr>
        <w:t xml:space="preserve"> </w:t>
      </w:r>
      <w:r w:rsidR="00646578" w:rsidRPr="00FA1890">
        <w:rPr>
          <w:lang w:val="et-EE"/>
        </w:rPr>
        <w:t>tööle asumise toetus</w:t>
      </w:r>
      <w:r w:rsidR="002C2161" w:rsidRPr="00FA1890">
        <w:rPr>
          <w:lang w:val="et-EE"/>
        </w:rPr>
        <w:t>t</w:t>
      </w:r>
      <w:r w:rsidR="00C21B8A" w:rsidRPr="00FA1890">
        <w:rPr>
          <w:lang w:val="et-EE"/>
        </w:rPr>
        <w:t>,</w:t>
      </w:r>
      <w:r w:rsidR="00646578" w:rsidRPr="00FA1890">
        <w:rPr>
          <w:lang w:val="et-EE"/>
        </w:rPr>
        <w:t xml:space="preserve"> </w:t>
      </w:r>
      <w:bookmarkStart w:id="1" w:name="_Hlk117864616"/>
      <w:r w:rsidR="00646578" w:rsidRPr="00FA1890">
        <w:rPr>
          <w:lang w:val="et-EE"/>
        </w:rPr>
        <w:t>mis motiveerib põlevkivisektori töötajaid pärast töö kaotamist kiiresti uut tööd otsima ning vähendab pikaajalise töötuse ja kaasnevate sotsiaalsete probleemide kujunemise riski. Lisaks</w:t>
      </w:r>
      <w:r w:rsidR="001522D1" w:rsidRPr="00FA1890">
        <w:rPr>
          <w:lang w:val="et-EE"/>
        </w:rPr>
        <w:t xml:space="preserve"> maksta</w:t>
      </w:r>
      <w:r w:rsidR="00C21B8A" w:rsidRPr="00FA1890">
        <w:rPr>
          <w:lang w:val="et-EE"/>
        </w:rPr>
        <w:t xml:space="preserve">kse </w:t>
      </w:r>
      <w:r w:rsidR="00646578" w:rsidRPr="00FA1890">
        <w:rPr>
          <w:lang w:val="et-EE"/>
        </w:rPr>
        <w:t>täiend- ja ümberõppe toet</w:t>
      </w:r>
      <w:r w:rsidR="00C21B8A" w:rsidRPr="00FA1890">
        <w:rPr>
          <w:lang w:val="et-EE"/>
        </w:rPr>
        <w:t>ust</w:t>
      </w:r>
      <w:r w:rsidR="00646578" w:rsidRPr="00FA1890">
        <w:rPr>
          <w:lang w:val="et-EE"/>
        </w:rPr>
        <w:t xml:space="preserve"> põlevkivisektoris töötamise ajal, et valmistada </w:t>
      </w:r>
      <w:r w:rsidR="00BF0819" w:rsidRPr="00FA1890">
        <w:rPr>
          <w:lang w:val="et-EE"/>
        </w:rPr>
        <w:t xml:space="preserve">inimest </w:t>
      </w:r>
      <w:r w:rsidR="00A013C2" w:rsidRPr="00FA1890">
        <w:rPr>
          <w:lang w:val="et-EE"/>
        </w:rPr>
        <w:t xml:space="preserve">ette </w:t>
      </w:r>
      <w:r w:rsidR="00BF0819" w:rsidRPr="00FA1890">
        <w:rPr>
          <w:lang w:val="et-EE"/>
        </w:rPr>
        <w:t xml:space="preserve">uuele </w:t>
      </w:r>
      <w:r w:rsidR="00646578" w:rsidRPr="00FA1890">
        <w:rPr>
          <w:lang w:val="et-EE"/>
        </w:rPr>
        <w:t>töö</w:t>
      </w:r>
      <w:r w:rsidR="00BF0819" w:rsidRPr="00FA1890">
        <w:rPr>
          <w:lang w:val="et-EE"/>
        </w:rPr>
        <w:t>le liikumiseks</w:t>
      </w:r>
      <w:r w:rsidR="00646578" w:rsidRPr="00FA1890">
        <w:rPr>
          <w:lang w:val="et-EE"/>
        </w:rPr>
        <w:t xml:space="preserve"> pärast töökoha kaotust</w:t>
      </w:r>
      <w:bookmarkEnd w:id="1"/>
      <w:r w:rsidR="00646578" w:rsidRPr="00FA1890">
        <w:rPr>
          <w:lang w:val="et-EE"/>
        </w:rPr>
        <w:t>.</w:t>
      </w:r>
      <w:r w:rsidR="004C4005" w:rsidRPr="00FA1890">
        <w:rPr>
          <w:lang w:val="et-EE"/>
        </w:rPr>
        <w:t xml:space="preserve"> Käesoleva </w:t>
      </w:r>
      <w:r w:rsidR="00213A05" w:rsidRPr="00FA1890">
        <w:rPr>
          <w:lang w:val="et-EE"/>
        </w:rPr>
        <w:t xml:space="preserve">toetuse andmise tingimused (edaspidi </w:t>
      </w:r>
      <w:r w:rsidR="004C4005" w:rsidRPr="00FA1890">
        <w:rPr>
          <w:lang w:val="et-EE"/>
        </w:rPr>
        <w:t>TAT</w:t>
      </w:r>
      <w:r w:rsidR="00213A05" w:rsidRPr="00FA1890">
        <w:rPr>
          <w:lang w:val="et-EE"/>
        </w:rPr>
        <w:t>)</w:t>
      </w:r>
      <w:r w:rsidR="004C4005" w:rsidRPr="00FA1890">
        <w:rPr>
          <w:lang w:val="et-EE"/>
        </w:rPr>
        <w:t xml:space="preserve"> kuuluvad Euroopa Parlamendi ja Nõukogu määruse (EL) nr 2021/1056 artikli 8 lõike 2 punktides k, l ja m kirjeldatud toetatavate tegevuste hulka.</w:t>
      </w:r>
    </w:p>
    <w:p w14:paraId="652530C6" w14:textId="77777777" w:rsidR="009D6326" w:rsidRPr="00FA1890" w:rsidRDefault="009D6326" w:rsidP="004034F3">
      <w:pPr>
        <w:tabs>
          <w:tab w:val="left" w:pos="8640"/>
        </w:tabs>
        <w:jc w:val="both"/>
        <w:rPr>
          <w:lang w:val="et-EE"/>
        </w:rPr>
      </w:pPr>
    </w:p>
    <w:p w14:paraId="2459F86B" w14:textId="41045F34" w:rsidR="004C4005" w:rsidRPr="00FA1890" w:rsidRDefault="004C4005" w:rsidP="004034F3">
      <w:pPr>
        <w:tabs>
          <w:tab w:val="left" w:pos="8640"/>
        </w:tabs>
        <w:jc w:val="both"/>
        <w:rPr>
          <w:lang w:val="et-EE" w:eastAsia="et-EE"/>
        </w:rPr>
      </w:pPr>
      <w:r w:rsidRPr="00FA1890">
        <w:rPr>
          <w:lang w:val="et-EE" w:eastAsia="et-EE"/>
        </w:rPr>
        <w:t>Õ</w:t>
      </w:r>
      <w:r w:rsidR="004034F3" w:rsidRPr="00FA1890">
        <w:rPr>
          <w:lang w:val="et-EE" w:eastAsia="et-EE"/>
        </w:rPr>
        <w:t>iglase ülemineku fond</w:t>
      </w:r>
      <w:r w:rsidR="00DF1401">
        <w:rPr>
          <w:lang w:val="et-EE" w:eastAsia="et-EE"/>
        </w:rPr>
        <w:t>i</w:t>
      </w:r>
      <w:r w:rsidR="004034F3" w:rsidRPr="00FA1890">
        <w:rPr>
          <w:lang w:val="et-EE" w:eastAsia="et-EE"/>
        </w:rPr>
        <w:t xml:space="preserve"> (edaspidi Õ</w:t>
      </w:r>
      <w:r w:rsidRPr="00FA1890">
        <w:rPr>
          <w:lang w:val="et-EE" w:eastAsia="et-EE"/>
        </w:rPr>
        <w:t>ÜF</w:t>
      </w:r>
      <w:r w:rsidR="004034F3" w:rsidRPr="00FA1890">
        <w:rPr>
          <w:lang w:val="et-EE" w:eastAsia="et-EE"/>
        </w:rPr>
        <w:t>)</w:t>
      </w:r>
      <w:r w:rsidRPr="00FA1890">
        <w:rPr>
          <w:lang w:val="et-EE" w:eastAsia="et-EE"/>
        </w:rPr>
        <w:t xml:space="preserve"> vahendite kasutamisel perioodil 2021–2027 Eestis on aluseks Euroopa Parlamendi ja nõukogu määruse (EL) nr 2021/1060 artiklis 4 nimetatud partnerlusleppe alusel koostatud ning Vabariigi Valitsuse heaks kiidetud ja Euroopa Komisjoni kinnitatud „Ühtekuuluvuspoliitika fondide rakenduskava perioodiks 2021–2027” (edaspidi </w:t>
      </w:r>
      <w:r w:rsidRPr="00FA1890">
        <w:rPr>
          <w:i/>
          <w:iCs/>
          <w:lang w:val="et-EE" w:eastAsia="et-EE"/>
        </w:rPr>
        <w:t>rakenduskava</w:t>
      </w:r>
      <w:r w:rsidRPr="00FA1890">
        <w:rPr>
          <w:lang w:val="et-EE" w:eastAsia="et-EE"/>
        </w:rPr>
        <w:t>). Rakenduskava viiakse ellu perioodi 2021–2027 Euroopa Liidu ühtekuuluvus- ja siseturvalisuspoliitika fondide rakendamise seaduse (</w:t>
      </w:r>
      <w:r w:rsidRPr="00FA1890">
        <w:rPr>
          <w:kern w:val="36"/>
          <w:lang w:val="et-EE" w:eastAsia="et-EE"/>
        </w:rPr>
        <w:t>ÜSS2021_2027)</w:t>
      </w:r>
      <w:r w:rsidRPr="00FA1890">
        <w:rPr>
          <w:lang w:val="et-EE" w:eastAsia="et-EE"/>
        </w:rPr>
        <w:t xml:space="preserve"> § 1 lõike 1 punkti 1 alusel.</w:t>
      </w:r>
    </w:p>
    <w:p w14:paraId="23E9E343" w14:textId="77777777" w:rsidR="004C4005" w:rsidRPr="00FA1890" w:rsidRDefault="004C4005" w:rsidP="004034F3">
      <w:pPr>
        <w:tabs>
          <w:tab w:val="left" w:pos="8640"/>
        </w:tabs>
        <w:jc w:val="both"/>
        <w:rPr>
          <w:lang w:val="et-EE"/>
        </w:rPr>
      </w:pPr>
    </w:p>
    <w:p w14:paraId="54350F8A" w14:textId="39222343" w:rsidR="004C4005" w:rsidRPr="00FA1890" w:rsidRDefault="004C4005" w:rsidP="004034F3">
      <w:pPr>
        <w:tabs>
          <w:tab w:val="left" w:pos="8640"/>
        </w:tabs>
        <w:jc w:val="both"/>
        <w:rPr>
          <w:lang w:val="et-EE" w:eastAsia="et-EE"/>
        </w:rPr>
      </w:pPr>
      <w:r w:rsidRPr="00FA1890">
        <w:rPr>
          <w:lang w:val="et-EE" w:eastAsia="et-EE"/>
        </w:rPr>
        <w:t>ÜSS2021_2027 § 4 lõike 3 alusel Vabariigi Valitsuse kehtestatud meetmete nimekirja kohaselt on Majandus- ja Kommunikatsiooniministeerium (strateegiaosakond) rakendusasutus (edaspidi RA) ja Riigi Tugiteenuste Keskus rakendusüksus (edaspidi RÜ) ÕÜFist rahastatavale prioriteetse suuna „Õiglane üleminek“ meetmele 21.6.1.6 „Tööleasumise toetamine ning täiend- ja ümberõppe toetamine“ (edaspidi meede).</w:t>
      </w:r>
    </w:p>
    <w:p w14:paraId="11D810F8" w14:textId="77777777" w:rsidR="004C4005" w:rsidRPr="00FA1890" w:rsidRDefault="004C4005" w:rsidP="004034F3">
      <w:pPr>
        <w:tabs>
          <w:tab w:val="left" w:pos="8640"/>
        </w:tabs>
        <w:jc w:val="both"/>
        <w:rPr>
          <w:lang w:val="et-EE" w:eastAsia="et-EE"/>
        </w:rPr>
      </w:pPr>
    </w:p>
    <w:p w14:paraId="78EF2C64" w14:textId="77777777" w:rsidR="004C4005" w:rsidRPr="00FA1890" w:rsidRDefault="004C4005" w:rsidP="004034F3">
      <w:pPr>
        <w:tabs>
          <w:tab w:val="left" w:pos="8640"/>
        </w:tabs>
        <w:jc w:val="both"/>
        <w:rPr>
          <w:lang w:val="et-EE" w:eastAsia="et-EE"/>
        </w:rPr>
      </w:pPr>
      <w:r w:rsidRPr="00FA1890">
        <w:rPr>
          <w:lang w:val="et-EE" w:eastAsia="et-EE"/>
        </w:rPr>
        <w:t>Vastavalt ÜSS</w:t>
      </w:r>
      <w:r w:rsidRPr="00FA1890">
        <w:rPr>
          <w:kern w:val="36"/>
          <w:lang w:val="et-EE" w:eastAsia="et-EE"/>
        </w:rPr>
        <w:t>2021_2027</w:t>
      </w:r>
      <w:r w:rsidRPr="00FA1890">
        <w:rPr>
          <w:lang w:val="et-EE" w:eastAsia="et-EE"/>
        </w:rPr>
        <w:t xml:space="preserve"> § 10 lõikele 2 ja kooskõlas lõikega 4 võib rakendusasutus rakenduskavas ning meetmete nimekirjas märgitud eesmärkide ja tulemuste saavutamiseks koostada meetme rakendamiseks TAT.</w:t>
      </w:r>
    </w:p>
    <w:p w14:paraId="4AE7CE6F" w14:textId="77777777" w:rsidR="004C4005" w:rsidRPr="00FA1890" w:rsidRDefault="004C4005" w:rsidP="004034F3">
      <w:pPr>
        <w:tabs>
          <w:tab w:val="left" w:pos="8640"/>
        </w:tabs>
        <w:jc w:val="both"/>
        <w:rPr>
          <w:lang w:val="et-EE"/>
        </w:rPr>
      </w:pPr>
    </w:p>
    <w:p w14:paraId="4E352609" w14:textId="4478B0D8" w:rsidR="009078E0" w:rsidRPr="00FA1890" w:rsidRDefault="004025A0" w:rsidP="004034F3">
      <w:pPr>
        <w:tabs>
          <w:tab w:val="left" w:pos="8640"/>
        </w:tabs>
        <w:jc w:val="both"/>
        <w:rPr>
          <w:lang w:val="et-EE" w:eastAsia="et-EE"/>
        </w:rPr>
      </w:pPr>
      <w:r w:rsidRPr="00FA1890">
        <w:rPr>
          <w:lang w:val="et-EE" w:eastAsia="et-EE"/>
        </w:rPr>
        <w:t xml:space="preserve">Tegevusi </w:t>
      </w:r>
      <w:r w:rsidR="009D6326" w:rsidRPr="00FA1890">
        <w:rPr>
          <w:lang w:val="et-EE" w:eastAsia="et-EE"/>
        </w:rPr>
        <w:t xml:space="preserve">viiakse ellu </w:t>
      </w:r>
      <w:r w:rsidRPr="00FA1890">
        <w:rPr>
          <w:lang w:val="et-EE" w:eastAsia="et-EE"/>
        </w:rPr>
        <w:t>ajavahemikul 01.0</w:t>
      </w:r>
      <w:r w:rsidR="00227BE7" w:rsidRPr="00FA1890">
        <w:rPr>
          <w:lang w:val="et-EE" w:eastAsia="et-EE"/>
        </w:rPr>
        <w:t>1</w:t>
      </w:r>
      <w:r w:rsidRPr="00FA1890">
        <w:rPr>
          <w:lang w:val="et-EE" w:eastAsia="et-EE"/>
        </w:rPr>
        <w:t>.202</w:t>
      </w:r>
      <w:r w:rsidR="00227BE7" w:rsidRPr="00FA1890">
        <w:rPr>
          <w:lang w:val="et-EE" w:eastAsia="et-EE"/>
        </w:rPr>
        <w:t>4</w:t>
      </w:r>
      <w:r w:rsidR="0047483A" w:rsidRPr="00FA1890">
        <w:rPr>
          <w:lang w:val="et-EE" w:eastAsia="et-EE"/>
        </w:rPr>
        <w:t>–31.12.202</w:t>
      </w:r>
      <w:r w:rsidR="00515425" w:rsidRPr="00FA1890">
        <w:rPr>
          <w:lang w:val="et-EE" w:eastAsia="et-EE"/>
        </w:rPr>
        <w:t>9</w:t>
      </w:r>
      <w:r w:rsidR="0047483A" w:rsidRPr="00FA1890">
        <w:rPr>
          <w:lang w:val="et-EE" w:eastAsia="et-EE"/>
        </w:rPr>
        <w:t>.</w:t>
      </w:r>
    </w:p>
    <w:p w14:paraId="686F1FCD" w14:textId="77777777" w:rsidR="004025A0" w:rsidRPr="00FA1890" w:rsidRDefault="004025A0" w:rsidP="004034F3">
      <w:pPr>
        <w:tabs>
          <w:tab w:val="left" w:pos="8640"/>
        </w:tabs>
        <w:jc w:val="both"/>
        <w:rPr>
          <w:lang w:val="et-EE" w:eastAsia="et-EE"/>
        </w:rPr>
      </w:pPr>
    </w:p>
    <w:p w14:paraId="0C1F653F" w14:textId="3AC09AE1" w:rsidR="004025A0" w:rsidRPr="00FA1890" w:rsidRDefault="00341EBB" w:rsidP="004034F3">
      <w:pPr>
        <w:tabs>
          <w:tab w:val="left" w:pos="8640"/>
        </w:tabs>
        <w:jc w:val="both"/>
        <w:rPr>
          <w:lang w:val="et-EE" w:eastAsia="et-EE"/>
        </w:rPr>
      </w:pPr>
      <w:r w:rsidRPr="00FA1890">
        <w:rPr>
          <w:lang w:val="et-EE" w:eastAsia="et-EE"/>
        </w:rPr>
        <w:t>T</w:t>
      </w:r>
      <w:r w:rsidR="004025A0" w:rsidRPr="00FA1890">
        <w:rPr>
          <w:lang w:val="et-EE" w:eastAsia="et-EE"/>
        </w:rPr>
        <w:t xml:space="preserve">egevuste elluviija on Eesti Töötukassa (edaspidi </w:t>
      </w:r>
      <w:r w:rsidR="004025A0" w:rsidRPr="00FA1890">
        <w:rPr>
          <w:i/>
          <w:iCs/>
          <w:lang w:val="et-EE" w:eastAsia="et-EE"/>
        </w:rPr>
        <w:t>töötukassa</w:t>
      </w:r>
      <w:r w:rsidR="004025A0" w:rsidRPr="00FA1890">
        <w:rPr>
          <w:lang w:val="et-EE" w:eastAsia="et-EE"/>
        </w:rPr>
        <w:t>).</w:t>
      </w:r>
    </w:p>
    <w:p w14:paraId="0B510A03" w14:textId="3EF9B90E" w:rsidR="004025A0" w:rsidRPr="00FA1890" w:rsidRDefault="004025A0" w:rsidP="004034F3">
      <w:pPr>
        <w:tabs>
          <w:tab w:val="left" w:pos="8640"/>
        </w:tabs>
        <w:jc w:val="both"/>
        <w:rPr>
          <w:lang w:val="et-EE" w:eastAsia="et-EE"/>
        </w:rPr>
      </w:pPr>
    </w:p>
    <w:p w14:paraId="0D3D2F1F" w14:textId="77537F34" w:rsidR="004025A0" w:rsidRPr="00FA1890" w:rsidRDefault="004025A0" w:rsidP="004034F3">
      <w:pPr>
        <w:tabs>
          <w:tab w:val="left" w:pos="8640"/>
        </w:tabs>
        <w:jc w:val="both"/>
        <w:rPr>
          <w:lang w:val="et-EE" w:eastAsia="et-EE"/>
        </w:rPr>
      </w:pPr>
      <w:r w:rsidRPr="00FA1890">
        <w:rPr>
          <w:lang w:val="et-EE" w:eastAsia="et-EE"/>
        </w:rPr>
        <w:t>T</w:t>
      </w:r>
      <w:r w:rsidR="009D6326" w:rsidRPr="00FA1890">
        <w:rPr>
          <w:lang w:val="et-EE" w:eastAsia="et-EE"/>
        </w:rPr>
        <w:t xml:space="preserve">oetatavate tegevuste </w:t>
      </w:r>
      <w:r w:rsidRPr="00FA1890">
        <w:rPr>
          <w:lang w:val="et-EE" w:eastAsia="et-EE"/>
        </w:rPr>
        <w:t xml:space="preserve">eelarve on 7 142 857 eurot, sh </w:t>
      </w:r>
      <w:r w:rsidR="00F67986" w:rsidRPr="00FA1890">
        <w:rPr>
          <w:lang w:val="et-EE" w:eastAsia="et-EE"/>
        </w:rPr>
        <w:t xml:space="preserve">ÕÜF </w:t>
      </w:r>
      <w:r w:rsidRPr="00FA1890">
        <w:rPr>
          <w:lang w:val="et-EE" w:eastAsia="et-EE"/>
        </w:rPr>
        <w:t>toetus 5 000 000</w:t>
      </w:r>
      <w:r w:rsidR="0047483A" w:rsidRPr="00FA1890">
        <w:rPr>
          <w:lang w:val="et-EE" w:eastAsia="et-EE"/>
        </w:rPr>
        <w:t> eurot</w:t>
      </w:r>
      <w:r w:rsidRPr="00FA1890">
        <w:rPr>
          <w:lang w:val="et-EE" w:eastAsia="et-EE"/>
        </w:rPr>
        <w:t>, millele lisandub riiklik kaasfinantseering 2 142 857 eurot.</w:t>
      </w:r>
    </w:p>
    <w:p w14:paraId="4B36259E" w14:textId="77777777" w:rsidR="004025A0" w:rsidRPr="00FA1890" w:rsidRDefault="004025A0" w:rsidP="004034F3">
      <w:pPr>
        <w:tabs>
          <w:tab w:val="left" w:pos="8640"/>
        </w:tabs>
        <w:jc w:val="both"/>
        <w:rPr>
          <w:lang w:val="et-EE" w:eastAsia="et-EE"/>
        </w:rPr>
      </w:pPr>
    </w:p>
    <w:p w14:paraId="3506EC67" w14:textId="684A11AE" w:rsidR="004025A0" w:rsidRPr="00FA1890" w:rsidRDefault="004025A0" w:rsidP="004034F3">
      <w:pPr>
        <w:tabs>
          <w:tab w:val="left" w:pos="8640"/>
        </w:tabs>
        <w:jc w:val="both"/>
        <w:rPr>
          <w:lang w:val="et-EE" w:eastAsia="et-EE"/>
        </w:rPr>
      </w:pPr>
      <w:r w:rsidRPr="00FA1890">
        <w:rPr>
          <w:rFonts w:eastAsia="Arial"/>
          <w:lang w:val="et-EE"/>
        </w:rPr>
        <w:t xml:space="preserve">Käskkirja on välja töötanud Sotsiaalministeerium koostöös </w:t>
      </w:r>
      <w:r w:rsidR="0034615F">
        <w:rPr>
          <w:rFonts w:eastAsia="Arial"/>
          <w:lang w:val="et-EE"/>
        </w:rPr>
        <w:t>t</w:t>
      </w:r>
      <w:r w:rsidRPr="00FA1890">
        <w:rPr>
          <w:rFonts w:eastAsia="Arial"/>
          <w:lang w:val="et-EE"/>
        </w:rPr>
        <w:t xml:space="preserve">öötukassaga. </w:t>
      </w:r>
      <w:r w:rsidR="00863DA4" w:rsidRPr="00FA1890">
        <w:rPr>
          <w:rFonts w:eastAsia="Arial"/>
          <w:lang w:val="et-EE"/>
        </w:rPr>
        <w:t>Käskkirja</w:t>
      </w:r>
      <w:r w:rsidRPr="00FA1890">
        <w:rPr>
          <w:rFonts w:eastAsia="Arial"/>
          <w:lang w:val="et-EE"/>
        </w:rPr>
        <w:t xml:space="preserve"> on koostanud Sotsiaalministeeriumi nutika arengu toetamise osakonna peaspetsialist Jüri Lõssenko (tel 626 9186, </w:t>
      </w:r>
      <w:hyperlink r:id="rId12">
        <w:r w:rsidRPr="00FA1890">
          <w:rPr>
            <w:rFonts w:eastAsia="Arial"/>
            <w:u w:val="single"/>
            <w:lang w:val="et-EE"/>
          </w:rPr>
          <w:t>jyri.lossenko@sm.ee</w:t>
        </w:r>
      </w:hyperlink>
      <w:r w:rsidRPr="00FA1890">
        <w:rPr>
          <w:rFonts w:eastAsia="Arial"/>
          <w:lang w:val="et-EE"/>
        </w:rPr>
        <w:t>)</w:t>
      </w:r>
      <w:r w:rsidR="00A013C2" w:rsidRPr="00FA1890">
        <w:rPr>
          <w:rFonts w:eastAsia="Arial"/>
          <w:lang w:val="et-EE"/>
        </w:rPr>
        <w:t>,</w:t>
      </w:r>
      <w:r w:rsidRPr="00FA1890">
        <w:rPr>
          <w:rFonts w:eastAsia="Arial"/>
          <w:lang w:val="et-EE"/>
        </w:rPr>
        <w:t xml:space="preserve"> tööhõive osakonna nõunik Annika Sepp</w:t>
      </w:r>
      <w:r w:rsidR="00FB1325">
        <w:rPr>
          <w:rFonts w:eastAsia="Arial"/>
          <w:lang w:val="et-EE"/>
        </w:rPr>
        <w:t>,</w:t>
      </w:r>
      <w:r w:rsidR="00FB1325" w:rsidRPr="00FB1325">
        <w:t xml:space="preserve"> </w:t>
      </w:r>
      <w:r w:rsidR="00FB1325" w:rsidRPr="00FB1325">
        <w:rPr>
          <w:rFonts w:eastAsia="Arial"/>
          <w:lang w:val="et-EE"/>
        </w:rPr>
        <w:t>01.07.2023 üle viidud Majandus- ja Kommunikatsiooniministeeriumisse</w:t>
      </w:r>
      <w:r w:rsidR="00FB1325">
        <w:rPr>
          <w:rFonts w:eastAsia="Arial"/>
          <w:lang w:val="et-EE"/>
        </w:rPr>
        <w:t>,</w:t>
      </w:r>
      <w:r w:rsidRPr="00FA1890">
        <w:rPr>
          <w:rFonts w:eastAsia="Arial"/>
          <w:lang w:val="et-EE"/>
        </w:rPr>
        <w:t xml:space="preserve"> (tel </w:t>
      </w:r>
      <w:r w:rsidR="00FB1325" w:rsidRPr="00FB1325">
        <w:rPr>
          <w:rFonts w:eastAsia="Arial"/>
          <w:lang w:val="et-EE"/>
        </w:rPr>
        <w:t>5911 9425</w:t>
      </w:r>
      <w:r w:rsidRPr="00FA1890">
        <w:rPr>
          <w:rFonts w:eastAsia="Arial"/>
          <w:lang w:val="et-EE"/>
        </w:rPr>
        <w:t xml:space="preserve">, </w:t>
      </w:r>
      <w:hyperlink r:id="rId13" w:history="1">
        <w:r w:rsidR="00FB1325" w:rsidRPr="001B2173">
          <w:rPr>
            <w:rStyle w:val="Hperlink"/>
            <w:rFonts w:eastAsia="Arial"/>
            <w:lang w:val="et-EE"/>
          </w:rPr>
          <w:t>annika.sepp@mkm.ee</w:t>
        </w:r>
      </w:hyperlink>
      <w:sdt>
        <w:sdtPr>
          <w:rPr>
            <w:lang w:val="et-EE"/>
          </w:rPr>
          <w:tag w:val="goog_rdk_1"/>
          <w:id w:val="-162851608"/>
        </w:sdtPr>
        <w:sdtEndPr/>
        <w:sdtContent/>
      </w:sdt>
      <w:r w:rsidRPr="00FA1890">
        <w:rPr>
          <w:rFonts w:eastAsia="Arial"/>
          <w:lang w:val="et-EE"/>
        </w:rPr>
        <w:t>), töötushüvitiste ja tööturutoetuste juht Ingrid Erm-Eks</w:t>
      </w:r>
      <w:r w:rsidR="00FB1325">
        <w:rPr>
          <w:rFonts w:eastAsia="Arial"/>
          <w:lang w:val="et-EE"/>
        </w:rPr>
        <w:t xml:space="preserve">, </w:t>
      </w:r>
      <w:r w:rsidR="00FB1325" w:rsidRPr="00FB1325">
        <w:rPr>
          <w:rFonts w:eastAsia="Arial"/>
          <w:lang w:val="et-EE"/>
        </w:rPr>
        <w:t>01.07.2023 üle viidud Majandus- ja Kommunikatsiooniministeeriumisse</w:t>
      </w:r>
      <w:r w:rsidRPr="00FA1890">
        <w:rPr>
          <w:rFonts w:eastAsia="Arial"/>
          <w:lang w:val="et-EE"/>
        </w:rPr>
        <w:t xml:space="preserve"> </w:t>
      </w:r>
      <w:r w:rsidR="00832C3C" w:rsidRPr="00FA1890">
        <w:rPr>
          <w:rFonts w:eastAsia="Arial"/>
          <w:lang w:val="et-EE"/>
        </w:rPr>
        <w:t>(</w:t>
      </w:r>
      <w:r w:rsidRPr="00FA1890">
        <w:rPr>
          <w:rFonts w:eastAsia="Arial"/>
          <w:lang w:val="et-EE"/>
        </w:rPr>
        <w:t>tel</w:t>
      </w:r>
      <w:r w:rsidR="00FB1325">
        <w:rPr>
          <w:rFonts w:eastAsia="Arial"/>
          <w:lang w:val="et-EE"/>
        </w:rPr>
        <w:t xml:space="preserve"> </w:t>
      </w:r>
      <w:r w:rsidR="00FB1325" w:rsidRPr="00FB1325">
        <w:rPr>
          <w:rFonts w:eastAsia="Arial"/>
          <w:lang w:val="et-EE"/>
        </w:rPr>
        <w:t>5913 7380</w:t>
      </w:r>
      <w:r w:rsidRPr="00FA1890">
        <w:rPr>
          <w:rFonts w:eastAsia="Arial"/>
          <w:lang w:val="et-EE"/>
        </w:rPr>
        <w:t xml:space="preserve">, </w:t>
      </w:r>
      <w:hyperlink r:id="rId14" w:history="1">
        <w:r w:rsidR="00FB1325" w:rsidRPr="00FB1325">
          <w:rPr>
            <w:rStyle w:val="Hperlink"/>
            <w:rFonts w:eastAsia="Arial"/>
            <w:lang w:val="et-EE"/>
          </w:rPr>
          <w:t>ingrid.erm-eks@mkm.ee</w:t>
        </w:r>
      </w:hyperlink>
      <w:r w:rsidRPr="00FA1890">
        <w:rPr>
          <w:rFonts w:eastAsia="Arial"/>
          <w:lang w:val="et-EE"/>
        </w:rPr>
        <w:t>), tööturuteenuste juht Kristi Suur</w:t>
      </w:r>
      <w:r w:rsidR="00FB1325">
        <w:rPr>
          <w:rFonts w:eastAsia="Arial"/>
          <w:lang w:val="et-EE"/>
        </w:rPr>
        <w:t xml:space="preserve">, </w:t>
      </w:r>
      <w:r w:rsidR="00FB1325" w:rsidRPr="00FB1325">
        <w:rPr>
          <w:rFonts w:eastAsia="Arial"/>
          <w:lang w:val="et-EE"/>
        </w:rPr>
        <w:t>01.07.2023 üle viidud Majandus- ja Kommunikatsiooniministeeriumisse</w:t>
      </w:r>
      <w:r w:rsidRPr="00FA1890">
        <w:rPr>
          <w:rFonts w:eastAsia="Arial"/>
          <w:lang w:val="et-EE"/>
        </w:rPr>
        <w:t xml:space="preserve"> (</w:t>
      </w:r>
      <w:hyperlink r:id="rId15" w:history="1">
        <w:r w:rsidR="00FB1325" w:rsidRPr="00FB1325">
          <w:rPr>
            <w:rStyle w:val="Hperlink"/>
            <w:rFonts w:eastAsia="Arial"/>
            <w:lang w:val="et-EE"/>
          </w:rPr>
          <w:t>kristi.suur@mkm.ee</w:t>
        </w:r>
      </w:hyperlink>
      <w:r w:rsidRPr="00FA1890">
        <w:rPr>
          <w:rFonts w:eastAsia="Arial"/>
          <w:lang w:val="et-EE"/>
        </w:rPr>
        <w:t xml:space="preserve">, </w:t>
      </w:r>
      <w:r w:rsidR="00FB1325" w:rsidRPr="00FB1325">
        <w:rPr>
          <w:rFonts w:eastAsia="Arial"/>
          <w:lang w:val="et-EE"/>
        </w:rPr>
        <w:t>5913 9212</w:t>
      </w:r>
      <w:r w:rsidRPr="00FA1890">
        <w:rPr>
          <w:rFonts w:eastAsia="Arial"/>
          <w:lang w:val="et-EE"/>
        </w:rPr>
        <w:t>)</w:t>
      </w:r>
      <w:r w:rsidR="0098254C" w:rsidRPr="00FA1890">
        <w:rPr>
          <w:rFonts w:eastAsia="Arial"/>
          <w:lang w:val="et-EE"/>
        </w:rPr>
        <w:t xml:space="preserve"> ja</w:t>
      </w:r>
      <w:r w:rsidRPr="00FA1890">
        <w:rPr>
          <w:rFonts w:eastAsia="Arial"/>
          <w:lang w:val="et-EE"/>
        </w:rPr>
        <w:t xml:space="preserve"> osakonnajuhataja Kadi Kanarbik</w:t>
      </w:r>
      <w:r w:rsidR="00FB1325">
        <w:rPr>
          <w:rFonts w:eastAsia="Arial"/>
          <w:lang w:val="et-EE"/>
        </w:rPr>
        <w:t>,</w:t>
      </w:r>
      <w:r w:rsidR="00FB1325" w:rsidRPr="00FB1325">
        <w:t xml:space="preserve"> </w:t>
      </w:r>
      <w:r w:rsidR="00FB1325" w:rsidRPr="00FB1325">
        <w:rPr>
          <w:rFonts w:eastAsia="Arial"/>
          <w:lang w:val="et-EE"/>
        </w:rPr>
        <w:t>01.07.2023 üle viidud Majandus- ja Kommunikatsiooniministeeriumisse</w:t>
      </w:r>
      <w:r w:rsidR="00FB1325">
        <w:rPr>
          <w:rFonts w:eastAsia="Arial"/>
          <w:lang w:val="et-EE"/>
        </w:rPr>
        <w:t xml:space="preserve"> </w:t>
      </w:r>
      <w:r w:rsidRPr="00FA1890">
        <w:rPr>
          <w:rFonts w:eastAsia="Arial"/>
          <w:lang w:val="et-EE"/>
        </w:rPr>
        <w:t>(</w:t>
      </w:r>
      <w:r w:rsidR="00FB1325">
        <w:rPr>
          <w:rFonts w:eastAsia="Arial"/>
          <w:lang w:val="et-EE"/>
        </w:rPr>
        <w:t xml:space="preserve">tel </w:t>
      </w:r>
      <w:r w:rsidR="00FB1325" w:rsidRPr="00FB1325">
        <w:rPr>
          <w:rFonts w:eastAsia="Arial"/>
          <w:lang w:val="et-EE"/>
        </w:rPr>
        <w:t>5913 7963</w:t>
      </w:r>
      <w:r w:rsidRPr="00FA1890">
        <w:rPr>
          <w:rFonts w:eastAsia="Arial"/>
          <w:lang w:val="et-EE"/>
        </w:rPr>
        <w:t>, kadi.kanarbik@</w:t>
      </w:r>
      <w:r w:rsidR="00FB1325">
        <w:rPr>
          <w:rFonts w:eastAsia="Arial"/>
          <w:lang w:val="et-EE"/>
        </w:rPr>
        <w:t>mk</w:t>
      </w:r>
      <w:r w:rsidRPr="00FA1890">
        <w:rPr>
          <w:rFonts w:eastAsia="Arial"/>
          <w:lang w:val="et-EE"/>
        </w:rPr>
        <w:t xml:space="preserve">m.ee) ning </w:t>
      </w:r>
      <w:r w:rsidR="0098254C" w:rsidRPr="00FA1890">
        <w:rPr>
          <w:rFonts w:eastAsia="Arial"/>
          <w:lang w:val="et-EE"/>
        </w:rPr>
        <w:lastRenderedPageBreak/>
        <w:t>t</w:t>
      </w:r>
      <w:r w:rsidRPr="00FA1890">
        <w:rPr>
          <w:rFonts w:eastAsia="Arial"/>
          <w:lang w:val="et-EE"/>
        </w:rPr>
        <w:t>öötukassa juhatuse lii</w:t>
      </w:r>
      <w:r w:rsidR="0098254C" w:rsidRPr="00FA1890">
        <w:rPr>
          <w:rFonts w:eastAsia="Arial"/>
          <w:lang w:val="et-EE"/>
        </w:rPr>
        <w:t>kmed</w:t>
      </w:r>
      <w:r w:rsidRPr="00FA1890">
        <w:rPr>
          <w:rFonts w:eastAsia="Arial"/>
          <w:lang w:val="et-EE"/>
        </w:rPr>
        <w:t xml:space="preserve"> Brit Rammul (614 8500, </w:t>
      </w:r>
      <w:hyperlink r:id="rId16" w:history="1">
        <w:r w:rsidR="0098254C" w:rsidRPr="00FA1890">
          <w:rPr>
            <w:rStyle w:val="Hperlink"/>
            <w:rFonts w:eastAsia="Arial"/>
            <w:lang w:val="et-EE"/>
          </w:rPr>
          <w:t>brit.rammul@tootukassa.ee</w:t>
        </w:r>
      </w:hyperlink>
      <w:r w:rsidRPr="00FA1890">
        <w:rPr>
          <w:rFonts w:eastAsia="Arial"/>
          <w:lang w:val="et-EE"/>
        </w:rPr>
        <w:t>)</w:t>
      </w:r>
      <w:r w:rsidR="0098254C" w:rsidRPr="00FA1890">
        <w:rPr>
          <w:rFonts w:eastAsia="Arial"/>
          <w:lang w:val="et-EE"/>
        </w:rPr>
        <w:t xml:space="preserve"> ja</w:t>
      </w:r>
      <w:r w:rsidRPr="00FA1890">
        <w:rPr>
          <w:rFonts w:eastAsia="Arial"/>
          <w:lang w:val="et-EE"/>
        </w:rPr>
        <w:t xml:space="preserve"> Reelika Leetmaa</w:t>
      </w:r>
      <w:r w:rsidR="001D5921" w:rsidRPr="00FA1890">
        <w:rPr>
          <w:rFonts w:eastAsia="Arial"/>
          <w:lang w:val="et-EE"/>
        </w:rPr>
        <w:t xml:space="preserve"> (614 8500, reelika.leetmaa@tootukassa.ee)</w:t>
      </w:r>
      <w:r w:rsidRPr="00FA1890">
        <w:rPr>
          <w:rFonts w:eastAsia="Arial"/>
          <w:lang w:val="et-EE"/>
        </w:rPr>
        <w:t xml:space="preserve"> ja juriidilise osakonna juhataja Ira Songisepp (614 8520, </w:t>
      </w:r>
      <w:hyperlink r:id="rId17" w:history="1">
        <w:r w:rsidRPr="00FA1890">
          <w:rPr>
            <w:rStyle w:val="Hperlink"/>
            <w:rFonts w:eastAsia="Arial"/>
            <w:lang w:val="et-EE"/>
          </w:rPr>
          <w:t>ira.songisepp@tootukassa.ee</w:t>
        </w:r>
      </w:hyperlink>
      <w:r w:rsidRPr="00FA1890">
        <w:rPr>
          <w:rFonts w:eastAsia="Arial"/>
          <w:lang w:val="et-EE"/>
        </w:rPr>
        <w:t>). Käskkirja juriidilise ekspertiisi te</w:t>
      </w:r>
      <w:r w:rsidR="00850D07">
        <w:rPr>
          <w:rFonts w:eastAsia="Arial"/>
          <w:lang w:val="et-EE"/>
        </w:rPr>
        <w:t>g</w:t>
      </w:r>
      <w:r w:rsidRPr="00FA1890">
        <w:rPr>
          <w:rFonts w:eastAsia="Arial"/>
          <w:lang w:val="et-EE"/>
        </w:rPr>
        <w:t xml:space="preserve">i Sotsiaalministeeriumi õigusosakonna õigusnõunik Piret Eelmets (tel 626 9128, </w:t>
      </w:r>
      <w:hyperlink r:id="rId18">
        <w:r w:rsidRPr="00FA1890">
          <w:rPr>
            <w:rFonts w:eastAsia="Arial"/>
            <w:lang w:val="et-EE"/>
          </w:rPr>
          <w:t>piret.eelmets@sm.ee</w:t>
        </w:r>
      </w:hyperlink>
      <w:r w:rsidRPr="00FA1890">
        <w:rPr>
          <w:rFonts w:eastAsia="Arial"/>
          <w:lang w:val="et-EE"/>
        </w:rPr>
        <w:t>).</w:t>
      </w:r>
    </w:p>
    <w:p w14:paraId="75B136C1" w14:textId="77777777" w:rsidR="004025A0" w:rsidRPr="00FA1890" w:rsidRDefault="004025A0" w:rsidP="004034F3">
      <w:pPr>
        <w:tabs>
          <w:tab w:val="left" w:pos="8640"/>
        </w:tabs>
        <w:jc w:val="both"/>
        <w:rPr>
          <w:lang w:val="et-EE" w:eastAsia="et-EE"/>
        </w:rPr>
      </w:pPr>
    </w:p>
    <w:p w14:paraId="20790C94" w14:textId="38378E8D" w:rsidR="00B86CF6" w:rsidRPr="00FA1890" w:rsidRDefault="00863DA4" w:rsidP="004034F3">
      <w:pPr>
        <w:tabs>
          <w:tab w:val="left" w:pos="8640"/>
        </w:tabs>
        <w:jc w:val="both"/>
        <w:rPr>
          <w:lang w:val="et-EE" w:eastAsia="et-EE"/>
        </w:rPr>
      </w:pPr>
      <w:r w:rsidRPr="00FA1890">
        <w:rPr>
          <w:rFonts w:eastAsia="Arial"/>
          <w:lang w:val="et-EE"/>
        </w:rPr>
        <w:t>Käskkirja</w:t>
      </w:r>
      <w:r w:rsidR="00B86CF6" w:rsidRPr="00FA1890">
        <w:rPr>
          <w:rFonts w:eastAsia="Arial"/>
          <w:lang w:val="et-EE"/>
        </w:rPr>
        <w:t xml:space="preserve"> on keeletoimetanud Rahandusministeeriumi ühisosakonna dokumendihaldustalituse keeletoimetaja Virge Tammaru (tel 626 9320; </w:t>
      </w:r>
      <w:hyperlink r:id="rId19">
        <w:r w:rsidR="00B86CF6" w:rsidRPr="00FA1890">
          <w:rPr>
            <w:rFonts w:eastAsia="Arial"/>
            <w:u w:val="single"/>
            <w:lang w:val="et-EE"/>
          </w:rPr>
          <w:t>virge.tammaru@fin.ee</w:t>
        </w:r>
      </w:hyperlink>
      <w:r w:rsidR="00B86CF6" w:rsidRPr="00FA1890">
        <w:rPr>
          <w:rFonts w:eastAsia="Arial"/>
          <w:lang w:val="et-EE"/>
        </w:rPr>
        <w:t>).</w:t>
      </w:r>
    </w:p>
    <w:p w14:paraId="7A218ABD" w14:textId="77777777" w:rsidR="00B86CF6" w:rsidRPr="00FA1890" w:rsidRDefault="00B86CF6" w:rsidP="004034F3">
      <w:pPr>
        <w:tabs>
          <w:tab w:val="left" w:pos="8640"/>
        </w:tabs>
        <w:jc w:val="both"/>
        <w:rPr>
          <w:lang w:val="et-EE" w:eastAsia="et-EE"/>
        </w:rPr>
      </w:pPr>
    </w:p>
    <w:p w14:paraId="3029CE62" w14:textId="6DAFA392" w:rsidR="00B86CF6" w:rsidRPr="00FA1890" w:rsidRDefault="009D6326" w:rsidP="004034F3">
      <w:pPr>
        <w:tabs>
          <w:tab w:val="left" w:pos="8640"/>
        </w:tabs>
        <w:jc w:val="both"/>
        <w:rPr>
          <w:rFonts w:eastAsia="Arial"/>
          <w:lang w:val="et-EE"/>
        </w:rPr>
      </w:pPr>
      <w:r w:rsidRPr="00FA1890">
        <w:rPr>
          <w:rFonts w:eastAsia="Arial"/>
          <w:lang w:val="et-EE"/>
        </w:rPr>
        <w:t xml:space="preserve">Toetuse andmise tingimused </w:t>
      </w:r>
      <w:r w:rsidR="00B86CF6" w:rsidRPr="00FA1890">
        <w:rPr>
          <w:rFonts w:eastAsia="Arial"/>
          <w:lang w:val="et-EE"/>
        </w:rPr>
        <w:t>on seotud isikuandmete töötlemisega isikuandmete kaitse üldmääruse tähenduses ning selle kohta on koostatud täpsem mõjuanalüüs seletuskirja IV osas.</w:t>
      </w:r>
    </w:p>
    <w:p w14:paraId="7B827458" w14:textId="77777777" w:rsidR="004C4005" w:rsidRPr="00FA1890" w:rsidRDefault="004C4005" w:rsidP="004034F3">
      <w:pPr>
        <w:tabs>
          <w:tab w:val="left" w:pos="8640"/>
        </w:tabs>
        <w:jc w:val="both"/>
        <w:rPr>
          <w:rFonts w:eastAsia="Arial"/>
          <w:lang w:val="et-EE"/>
        </w:rPr>
      </w:pPr>
    </w:p>
    <w:p w14:paraId="3BBADDFF" w14:textId="77777777" w:rsidR="004C4005" w:rsidRPr="00FA1890" w:rsidRDefault="004C4005" w:rsidP="004034F3">
      <w:pPr>
        <w:tabs>
          <w:tab w:val="left" w:pos="8640"/>
        </w:tabs>
        <w:jc w:val="both"/>
        <w:rPr>
          <w:lang w:val="et-EE" w:eastAsia="et-EE"/>
        </w:rPr>
      </w:pPr>
      <w:r w:rsidRPr="00FA1890">
        <w:rPr>
          <w:lang w:val="et-EE" w:eastAsia="et-EE"/>
        </w:rPr>
        <w:t>TAT kinnitatakse majandus- ja infotehnoloogiaministri käskkirjaga ÜSS</w:t>
      </w:r>
      <w:r w:rsidRPr="00FA1890">
        <w:rPr>
          <w:kern w:val="36"/>
          <w:lang w:val="et-EE" w:eastAsia="et-EE"/>
        </w:rPr>
        <w:t>2021_2027</w:t>
      </w:r>
      <w:r w:rsidRPr="00FA1890">
        <w:rPr>
          <w:lang w:val="et-EE" w:eastAsia="et-EE"/>
        </w:rPr>
        <w:t xml:space="preserve"> § 10 lõigete 2 ja 4 alusel.</w:t>
      </w:r>
    </w:p>
    <w:p w14:paraId="7894C1B0" w14:textId="77777777" w:rsidR="00561B27" w:rsidRPr="00FA1890" w:rsidRDefault="00561B27" w:rsidP="004034F3">
      <w:pPr>
        <w:tabs>
          <w:tab w:val="left" w:pos="8640"/>
        </w:tabs>
        <w:jc w:val="both"/>
        <w:rPr>
          <w:lang w:val="et-EE" w:eastAsia="et-EE"/>
        </w:rPr>
      </w:pPr>
      <w:bookmarkStart w:id="2" w:name="_Hlk71726748"/>
    </w:p>
    <w:p w14:paraId="1DBFB4A5" w14:textId="35305FED" w:rsidR="009078E0" w:rsidRPr="00FA1890" w:rsidRDefault="009078E0" w:rsidP="004034F3">
      <w:pPr>
        <w:tabs>
          <w:tab w:val="left" w:pos="8640"/>
        </w:tabs>
        <w:jc w:val="both"/>
        <w:rPr>
          <w:b/>
          <w:bCs/>
          <w:lang w:val="et-EE" w:eastAsia="et-EE"/>
        </w:rPr>
      </w:pPr>
      <w:r w:rsidRPr="00FA1890">
        <w:rPr>
          <w:b/>
          <w:bCs/>
          <w:lang w:val="et-EE" w:eastAsia="et-EE"/>
        </w:rPr>
        <w:t xml:space="preserve">II </w:t>
      </w:r>
      <w:r w:rsidR="00863DA4" w:rsidRPr="00FA1890">
        <w:rPr>
          <w:b/>
          <w:bCs/>
          <w:lang w:val="et-EE" w:eastAsia="et-EE"/>
        </w:rPr>
        <w:t>Käskkirja seletuskirja</w:t>
      </w:r>
      <w:r w:rsidRPr="00FA1890">
        <w:rPr>
          <w:b/>
          <w:bCs/>
          <w:lang w:val="et-EE" w:eastAsia="et-EE"/>
        </w:rPr>
        <w:t xml:space="preserve"> sisu</w:t>
      </w:r>
    </w:p>
    <w:p w14:paraId="4B30D738" w14:textId="77777777" w:rsidR="009314B6" w:rsidRPr="00FA1890" w:rsidRDefault="009314B6" w:rsidP="004034F3">
      <w:pPr>
        <w:tabs>
          <w:tab w:val="left" w:pos="8640"/>
        </w:tabs>
        <w:jc w:val="both"/>
        <w:rPr>
          <w:lang w:val="et-EE" w:eastAsia="et-EE"/>
        </w:rPr>
      </w:pPr>
    </w:p>
    <w:bookmarkEnd w:id="2"/>
    <w:p w14:paraId="5D1A9A4B" w14:textId="77777777" w:rsidR="00B118DB" w:rsidRPr="00FA1890" w:rsidRDefault="00B118DB" w:rsidP="004034F3">
      <w:pPr>
        <w:rPr>
          <w:rFonts w:eastAsia="Arial"/>
          <w:lang w:val="et-EE"/>
        </w:rPr>
      </w:pPr>
      <w:r w:rsidRPr="00FA1890">
        <w:rPr>
          <w:rFonts w:eastAsia="Arial"/>
          <w:lang w:val="et-EE"/>
        </w:rPr>
        <w:t>TAT sisaldab 11 punkti:</w:t>
      </w:r>
    </w:p>
    <w:p w14:paraId="609E0EB4" w14:textId="773A1372" w:rsidR="00B118DB" w:rsidRPr="00FA1890" w:rsidRDefault="00B118DB" w:rsidP="004034F3">
      <w:pPr>
        <w:rPr>
          <w:rFonts w:eastAsia="Arial"/>
          <w:lang w:val="et-EE"/>
        </w:rPr>
      </w:pPr>
      <w:r w:rsidRPr="00FA1890">
        <w:rPr>
          <w:rFonts w:eastAsia="Arial"/>
          <w:lang w:val="et-EE"/>
        </w:rPr>
        <w:t>1. punkt „Reguleerimisala“;</w:t>
      </w:r>
    </w:p>
    <w:p w14:paraId="2AA6F8F7" w14:textId="77777777" w:rsidR="00B118DB" w:rsidRPr="00FA1890" w:rsidRDefault="00B118DB" w:rsidP="004034F3">
      <w:pPr>
        <w:rPr>
          <w:rFonts w:eastAsia="Arial"/>
          <w:lang w:val="et-EE"/>
        </w:rPr>
      </w:pPr>
      <w:r w:rsidRPr="00FA1890">
        <w:rPr>
          <w:rFonts w:eastAsia="Arial"/>
          <w:lang w:val="et-EE"/>
        </w:rPr>
        <w:t>2. punkt „Toetatavad tegevused“;</w:t>
      </w:r>
    </w:p>
    <w:p w14:paraId="62A9F2F2" w14:textId="77777777" w:rsidR="00B118DB" w:rsidRPr="00FA1890" w:rsidRDefault="00B118DB" w:rsidP="004034F3">
      <w:pPr>
        <w:rPr>
          <w:rFonts w:eastAsia="Arial"/>
          <w:lang w:val="et-EE"/>
        </w:rPr>
      </w:pPr>
      <w:r w:rsidRPr="00FA1890">
        <w:rPr>
          <w:rFonts w:eastAsia="Arial"/>
          <w:lang w:val="et-EE"/>
        </w:rPr>
        <w:t>3. punkt „Näitajad“;</w:t>
      </w:r>
    </w:p>
    <w:p w14:paraId="2CDA183D" w14:textId="77777777" w:rsidR="00B118DB" w:rsidRPr="00FA1890" w:rsidRDefault="00B118DB" w:rsidP="004034F3">
      <w:pPr>
        <w:rPr>
          <w:rFonts w:eastAsia="Arial"/>
          <w:lang w:val="et-EE"/>
        </w:rPr>
      </w:pPr>
      <w:r w:rsidRPr="00FA1890">
        <w:rPr>
          <w:rFonts w:eastAsia="Arial"/>
          <w:lang w:val="et-EE"/>
        </w:rPr>
        <w:t>4. punkt „Tegevuste eelarve“;</w:t>
      </w:r>
    </w:p>
    <w:p w14:paraId="45E0AC55" w14:textId="77777777" w:rsidR="00B118DB" w:rsidRPr="00FA1890" w:rsidRDefault="00B118DB" w:rsidP="004034F3">
      <w:pPr>
        <w:rPr>
          <w:rFonts w:eastAsia="Arial"/>
          <w:lang w:val="et-EE"/>
        </w:rPr>
      </w:pPr>
      <w:r w:rsidRPr="00FA1890">
        <w:rPr>
          <w:rFonts w:eastAsia="Arial"/>
          <w:lang w:val="et-EE"/>
        </w:rPr>
        <w:t>5. punkt „Kulude abikõlblikkus“;</w:t>
      </w:r>
    </w:p>
    <w:p w14:paraId="5740205B" w14:textId="77777777" w:rsidR="00B118DB" w:rsidRPr="00FA1890" w:rsidRDefault="00B118DB" w:rsidP="004034F3">
      <w:pPr>
        <w:rPr>
          <w:rFonts w:eastAsia="Arial"/>
          <w:lang w:val="et-EE"/>
        </w:rPr>
      </w:pPr>
      <w:r w:rsidRPr="00FA1890">
        <w:rPr>
          <w:rFonts w:eastAsia="Arial"/>
          <w:lang w:val="et-EE"/>
        </w:rPr>
        <w:t>6. punkt „Toetuse maksmise tingimused ja kord“;</w:t>
      </w:r>
    </w:p>
    <w:p w14:paraId="522616FA" w14:textId="77777777" w:rsidR="00B118DB" w:rsidRPr="00FA1890" w:rsidRDefault="00B118DB" w:rsidP="004034F3">
      <w:pPr>
        <w:rPr>
          <w:rFonts w:eastAsia="Arial"/>
          <w:lang w:val="et-EE"/>
        </w:rPr>
      </w:pPr>
      <w:r w:rsidRPr="00FA1890">
        <w:rPr>
          <w:rFonts w:eastAsia="Arial"/>
          <w:lang w:val="et-EE"/>
        </w:rPr>
        <w:t>7. punkt „Elluviija kohustused“;</w:t>
      </w:r>
    </w:p>
    <w:p w14:paraId="1A4C5F72" w14:textId="77777777" w:rsidR="00B118DB" w:rsidRPr="00FA1890" w:rsidRDefault="00B118DB" w:rsidP="004034F3">
      <w:pPr>
        <w:rPr>
          <w:rFonts w:eastAsia="Arial"/>
          <w:lang w:val="et-EE"/>
        </w:rPr>
      </w:pPr>
      <w:r w:rsidRPr="00FA1890">
        <w:rPr>
          <w:rFonts w:eastAsia="Arial"/>
          <w:lang w:val="et-EE"/>
        </w:rPr>
        <w:t>8. punkt „Aruandlus“;</w:t>
      </w:r>
    </w:p>
    <w:p w14:paraId="7EF65E18" w14:textId="77777777" w:rsidR="00B118DB" w:rsidRPr="00FA1890" w:rsidRDefault="00B118DB" w:rsidP="004034F3">
      <w:pPr>
        <w:rPr>
          <w:rFonts w:eastAsia="Arial"/>
          <w:lang w:val="et-EE"/>
        </w:rPr>
      </w:pPr>
      <w:r w:rsidRPr="00FA1890">
        <w:rPr>
          <w:rFonts w:eastAsia="Arial"/>
          <w:lang w:val="et-EE"/>
        </w:rPr>
        <w:t>9. punkt „TAT muutmine“;</w:t>
      </w:r>
    </w:p>
    <w:p w14:paraId="4C84BC13" w14:textId="77777777" w:rsidR="00B118DB" w:rsidRPr="00FA1890" w:rsidRDefault="00B118DB" w:rsidP="004034F3">
      <w:pPr>
        <w:rPr>
          <w:rFonts w:eastAsia="Arial"/>
          <w:lang w:val="et-EE"/>
        </w:rPr>
      </w:pPr>
      <w:r w:rsidRPr="00FA1890">
        <w:rPr>
          <w:rFonts w:eastAsia="Arial"/>
          <w:lang w:val="et-EE"/>
        </w:rPr>
        <w:t>10. punkt „Finantskorrektsiooni tegemise alused ja kord“;</w:t>
      </w:r>
    </w:p>
    <w:p w14:paraId="1B2FFA66" w14:textId="6DE51C55" w:rsidR="00B118DB" w:rsidRPr="00FA1890" w:rsidRDefault="004034F3" w:rsidP="004034F3">
      <w:pPr>
        <w:rPr>
          <w:rFonts w:eastAsia="Arial"/>
          <w:lang w:val="et-EE"/>
        </w:rPr>
      </w:pPr>
      <w:r w:rsidRPr="00FA1890">
        <w:rPr>
          <w:rFonts w:eastAsia="Arial"/>
          <w:lang w:val="et-EE"/>
        </w:rPr>
        <w:t>11. punkt „Vaiete lahendamine“.</w:t>
      </w:r>
    </w:p>
    <w:p w14:paraId="7EFAD1E7" w14:textId="77777777" w:rsidR="004034F3" w:rsidRPr="00FA1890" w:rsidRDefault="004034F3" w:rsidP="004034F3">
      <w:pPr>
        <w:rPr>
          <w:rFonts w:eastAsia="Arial"/>
          <w:lang w:val="et-EE"/>
        </w:rPr>
      </w:pPr>
    </w:p>
    <w:p w14:paraId="6763D865" w14:textId="3DA50698" w:rsidR="00B118DB" w:rsidRPr="00FA1890" w:rsidRDefault="00B118DB" w:rsidP="004034F3">
      <w:pPr>
        <w:rPr>
          <w:rFonts w:eastAsia="Arial"/>
          <w:b/>
          <w:lang w:val="et-EE"/>
        </w:rPr>
      </w:pPr>
      <w:r w:rsidRPr="00FA1890">
        <w:rPr>
          <w:rFonts w:eastAsia="Arial"/>
          <w:b/>
          <w:lang w:val="et-EE"/>
        </w:rPr>
        <w:t>Punkt 1 „Reguleerimisala“</w:t>
      </w:r>
    </w:p>
    <w:p w14:paraId="7C71798C" w14:textId="77777777" w:rsidR="00B118DB" w:rsidRPr="00FA1890" w:rsidRDefault="00B118DB" w:rsidP="004034F3">
      <w:pPr>
        <w:rPr>
          <w:rFonts w:eastAsia="Arial"/>
          <w:bCs/>
          <w:lang w:val="et-EE"/>
        </w:rPr>
      </w:pPr>
    </w:p>
    <w:p w14:paraId="65F5FC00" w14:textId="4DD00814" w:rsidR="00B54D7A" w:rsidRDefault="00B118DB" w:rsidP="004034F3">
      <w:pPr>
        <w:jc w:val="both"/>
        <w:rPr>
          <w:rFonts w:eastAsia="Arial"/>
          <w:lang w:val="et-EE"/>
        </w:rPr>
      </w:pPr>
      <w:r w:rsidRPr="00FA1890">
        <w:rPr>
          <w:rFonts w:eastAsia="Arial"/>
          <w:lang w:val="et-EE"/>
        </w:rPr>
        <w:t xml:space="preserve">Punktis 1 sätestatakse meetme nimetus, TAT eesmärgid ning seosed </w:t>
      </w:r>
      <w:r w:rsidR="002C2161" w:rsidRPr="00FA1890">
        <w:rPr>
          <w:noProof/>
          <w:lang w:val="et-EE"/>
        </w:rPr>
        <w:t xml:space="preserve">Eesti pikaajalise arengustrateegia </w:t>
      </w:r>
      <w:r w:rsidR="002C2161" w:rsidRPr="00FA1890">
        <w:rPr>
          <w:rFonts w:eastAsia="Arial"/>
          <w:lang w:val="et-EE"/>
        </w:rPr>
        <w:t>„</w:t>
      </w:r>
      <w:r w:rsidRPr="00FA1890">
        <w:rPr>
          <w:rFonts w:eastAsia="Arial"/>
          <w:lang w:val="et-EE"/>
        </w:rPr>
        <w:t>Eesti 2035</w:t>
      </w:r>
      <w:r w:rsidR="002C2161" w:rsidRPr="00FA1890">
        <w:rPr>
          <w:rFonts w:eastAsia="Arial"/>
          <w:lang w:val="et-EE"/>
        </w:rPr>
        <w:t>“</w:t>
      </w:r>
      <w:r w:rsidR="00BF0819" w:rsidRPr="00FA1890">
        <w:rPr>
          <w:rFonts w:eastAsia="Arial"/>
          <w:lang w:val="et-EE"/>
        </w:rPr>
        <w:t xml:space="preserve"> (edaspidi </w:t>
      </w:r>
      <w:r w:rsidR="00BF0819" w:rsidRPr="00FA1890">
        <w:rPr>
          <w:rFonts w:eastAsia="Arial"/>
          <w:i/>
          <w:iCs/>
          <w:lang w:val="et-EE"/>
        </w:rPr>
        <w:t>strateegia „Eesti 2035“</w:t>
      </w:r>
      <w:r w:rsidR="00BF0819" w:rsidRPr="00FA1890">
        <w:rPr>
          <w:rFonts w:eastAsia="Arial"/>
          <w:lang w:val="et-EE"/>
        </w:rPr>
        <w:t>)</w:t>
      </w:r>
      <w:r w:rsidRPr="00FA1890">
        <w:rPr>
          <w:rFonts w:eastAsia="Arial"/>
          <w:lang w:val="et-EE"/>
        </w:rPr>
        <w:t xml:space="preserve"> sihtide ja aluspõhimõtetega </w:t>
      </w:r>
      <w:r w:rsidR="00CE793B" w:rsidRPr="00FA1890">
        <w:rPr>
          <w:rFonts w:eastAsia="Arial"/>
          <w:lang w:val="et-EE"/>
        </w:rPr>
        <w:t>ja</w:t>
      </w:r>
      <w:r w:rsidRPr="00FA1890">
        <w:rPr>
          <w:rFonts w:eastAsia="Arial"/>
          <w:lang w:val="et-EE"/>
        </w:rPr>
        <w:t xml:space="preserve"> heaolu arengukava sihtidega. </w:t>
      </w:r>
      <w:r w:rsidR="00B54D7A" w:rsidRPr="00B54D7A">
        <w:rPr>
          <w:rFonts w:eastAsia="Arial"/>
          <w:lang w:val="et-EE"/>
        </w:rPr>
        <w:t>TAT tegevused panustavad alasihti „Arukas inimene“</w:t>
      </w:r>
      <w:r w:rsidR="00DF1401">
        <w:rPr>
          <w:rFonts w:eastAsia="Arial"/>
          <w:lang w:val="et-EE"/>
        </w:rPr>
        <w:t>.</w:t>
      </w:r>
      <w:r w:rsidR="00B54D7A" w:rsidRPr="00B54D7A">
        <w:rPr>
          <w:rFonts w:eastAsia="Arial"/>
          <w:lang w:val="et-EE"/>
        </w:rPr>
        <w:t xml:space="preserve"> Selle saavutamiseks tuleb viia inimeste teadmised, oskused ja hoiakud kooskõlla tööturu vajaduste ja majanduse struktuurimuutustega ning luua võrdseid võimalusi hariduses ja tööturul osalemiseks. Inimeste oskuste mitmekesistamine ning parem vastavus tulevikutöö ja tööandjate vajadustele loovad eeldused tootlikkuse kasvuks ja majanduskasvuks ning majanduse struktuurimuutuste toetamiseks, aga ka tööpuuduse ja tööjõupuuduse riski vähendamiseks ning piirkondlike erinevuste vähendamiseks. </w:t>
      </w:r>
      <w:r w:rsidR="00B873A2" w:rsidRPr="00B873A2">
        <w:rPr>
          <w:rFonts w:eastAsia="Arial"/>
          <w:lang w:val="et-EE"/>
        </w:rPr>
        <w:t>TAT ettevalmistamisel on arvesse võetud ka strateegia „Eesti 2035“ aluspõhimõtet, mille kohaselt on Eesti aastaks 2050 konkurentsivõimeline, teadmistepõhise ühiskonna ja majandusega kliimaneutraalne riik, kus on tagatud kvaliteetne ja liigirikas elukeskkond ning valmisolek ja võime kliimamuutuste põhjustatud ebasoodsaid mõjusid vähendada ja positiivseid mõjusid parimal viisil ära kasutada.</w:t>
      </w:r>
    </w:p>
    <w:p w14:paraId="577ECFEE" w14:textId="77777777" w:rsidR="00B54D7A" w:rsidRDefault="00B54D7A" w:rsidP="004034F3">
      <w:pPr>
        <w:jc w:val="both"/>
        <w:rPr>
          <w:rFonts w:eastAsia="Arial"/>
          <w:lang w:val="et-EE"/>
        </w:rPr>
      </w:pPr>
    </w:p>
    <w:p w14:paraId="2850EE6A" w14:textId="649B9643" w:rsidR="00B118DB" w:rsidRPr="00FA1890" w:rsidRDefault="0075384D" w:rsidP="004034F3">
      <w:pPr>
        <w:jc w:val="both"/>
        <w:rPr>
          <w:rFonts w:eastAsia="Arial"/>
          <w:lang w:val="et-EE"/>
        </w:rPr>
      </w:pPr>
      <w:r w:rsidRPr="00FA1890">
        <w:rPr>
          <w:rFonts w:eastAsia="Arial"/>
          <w:lang w:val="et-EE"/>
        </w:rPr>
        <w:t xml:space="preserve">TAT on seotud </w:t>
      </w:r>
      <w:r w:rsidR="00EF1EF2" w:rsidRPr="00FA1890">
        <w:rPr>
          <w:rFonts w:eastAsia="Arial"/>
          <w:lang w:val="et-EE"/>
        </w:rPr>
        <w:t xml:space="preserve">perioodi 2021–2027 ühtekuuluvuspoliitika fondide meetmete nimekirja meetme 21.6.1.6 </w:t>
      </w:r>
      <w:r w:rsidRPr="00FA1890">
        <w:rPr>
          <w:rFonts w:eastAsia="Arial"/>
          <w:lang w:val="et-EE"/>
        </w:rPr>
        <w:t xml:space="preserve">sekkumisega </w:t>
      </w:r>
      <w:r w:rsidR="00EF1EF2" w:rsidRPr="00FA1890">
        <w:rPr>
          <w:rStyle w:val="Selgeltmrgatavrhutus"/>
          <w:b w:val="0"/>
          <w:bCs w:val="0"/>
          <w:i w:val="0"/>
          <w:color w:val="auto"/>
        </w:rPr>
        <w:t xml:space="preserve">21.6.1.61 </w:t>
      </w:r>
      <w:r w:rsidRPr="00FA1890">
        <w:rPr>
          <w:rFonts w:eastAsia="Arial"/>
          <w:lang w:val="et-EE"/>
        </w:rPr>
        <w:t>„</w:t>
      </w:r>
      <w:r w:rsidR="00DD060C" w:rsidRPr="00FA1890">
        <w:rPr>
          <w:rFonts w:eastAsia="Arial"/>
          <w:lang w:val="et-EE"/>
        </w:rPr>
        <w:t>töölt</w:t>
      </w:r>
      <w:r w:rsidR="00CE793B" w:rsidRPr="00FA1890">
        <w:rPr>
          <w:rFonts w:eastAsia="Arial"/>
          <w:lang w:val="et-EE"/>
        </w:rPr>
        <w:t xml:space="preserve"> tööle</w:t>
      </w:r>
      <w:r w:rsidR="00DD060C" w:rsidRPr="00FA1890">
        <w:rPr>
          <w:rFonts w:eastAsia="Arial"/>
          <w:lang w:val="et-EE"/>
        </w:rPr>
        <w:t xml:space="preserve"> liikumise ning töötajate ümberprofileerimise toetused </w:t>
      </w:r>
      <w:r w:rsidR="004F171F" w:rsidRPr="00FA1890">
        <w:rPr>
          <w:rFonts w:eastAsia="Arial"/>
          <w:lang w:val="et-EE"/>
        </w:rPr>
        <w:t>põlevkivisektori töötajatele</w:t>
      </w:r>
      <w:r w:rsidRPr="00FA1890">
        <w:rPr>
          <w:rFonts w:eastAsia="Arial"/>
          <w:lang w:val="et-EE"/>
        </w:rPr>
        <w:t>“. Samuti on välja</w:t>
      </w:r>
      <w:r w:rsidR="00CE793B" w:rsidRPr="00FA1890">
        <w:rPr>
          <w:rFonts w:eastAsia="Arial"/>
          <w:lang w:val="et-EE"/>
        </w:rPr>
        <w:t xml:space="preserve"> toodud</w:t>
      </w:r>
      <w:r w:rsidRPr="00FA1890">
        <w:rPr>
          <w:rFonts w:eastAsia="Arial"/>
          <w:lang w:val="et-EE"/>
        </w:rPr>
        <w:t xml:space="preserve"> TAT seosed TERE-programmiga.</w:t>
      </w:r>
    </w:p>
    <w:p w14:paraId="44511B40" w14:textId="77777777" w:rsidR="008866EE" w:rsidRPr="00FA1890" w:rsidRDefault="008866EE" w:rsidP="004034F3">
      <w:pPr>
        <w:rPr>
          <w:rFonts w:eastAsia="Arial"/>
          <w:lang w:val="et-EE"/>
        </w:rPr>
      </w:pPr>
    </w:p>
    <w:p w14:paraId="7973021F" w14:textId="5943EA7F" w:rsidR="008866EE" w:rsidRPr="00FA1890" w:rsidRDefault="008866EE" w:rsidP="004034F3">
      <w:pPr>
        <w:jc w:val="both"/>
        <w:rPr>
          <w:rFonts w:eastAsia="Arial"/>
          <w:lang w:val="et-EE"/>
        </w:rPr>
      </w:pPr>
      <w:r w:rsidRPr="00FA1890">
        <w:rPr>
          <w:rFonts w:eastAsia="Arial"/>
          <w:lang w:val="et-EE"/>
        </w:rPr>
        <w:lastRenderedPageBreak/>
        <w:t>TAT raames pakutavate tegevus</w:t>
      </w:r>
      <w:r w:rsidR="00CE793B" w:rsidRPr="00FA1890">
        <w:rPr>
          <w:rFonts w:eastAsia="Arial"/>
          <w:lang w:val="et-EE"/>
        </w:rPr>
        <w:t>te puhul</w:t>
      </w:r>
      <w:r w:rsidRPr="00FA1890">
        <w:rPr>
          <w:rFonts w:eastAsia="Arial"/>
          <w:lang w:val="et-EE"/>
        </w:rPr>
        <w:t xml:space="preserve"> välditakse </w:t>
      </w:r>
      <w:r w:rsidR="00CE793B" w:rsidRPr="00FA1890">
        <w:rPr>
          <w:rFonts w:eastAsia="Arial"/>
          <w:lang w:val="et-EE"/>
        </w:rPr>
        <w:t xml:space="preserve">ametitele ja tööturule </w:t>
      </w:r>
      <w:r w:rsidRPr="00FA1890">
        <w:rPr>
          <w:rFonts w:eastAsia="Arial"/>
          <w:lang w:val="et-EE"/>
        </w:rPr>
        <w:t>soostereotüüpset lähenemis</w:t>
      </w:r>
      <w:r w:rsidR="00CE793B" w:rsidRPr="00FA1890">
        <w:rPr>
          <w:rFonts w:eastAsia="Arial"/>
          <w:lang w:val="et-EE"/>
        </w:rPr>
        <w:t xml:space="preserve">viisi. </w:t>
      </w:r>
      <w:r w:rsidRPr="00FA1890">
        <w:rPr>
          <w:rFonts w:eastAsia="Arial"/>
          <w:lang w:val="et-EE"/>
        </w:rPr>
        <w:t>Tegevuste kavandamisel ja elluviimisel võetakse arvesse meeste ja naiste erinevat olukorda, vajadusi ja huve. TAT rakendamisel tagatakse, et inimese ea tõttu ei diskrimineerita ühtegi TAT sihtrühma liiget. Teenuste osutamisel lähtutakse inimeste vanuselistest eripäradest ja tagatakse sellest tulenevalt personaalne lähenemine. Teenuste osutamisel arvestatakse, et sihtrühma kuuluvad inimesed võivad olla liikumis-, nägemis- või kuulmispuudega. TAT-s nimetatud tegevuste elluviimisel jälgitakse, et liikumis-, nägemis- või kuulmispuudega inimestele oleks tagatud ligipääs ja võimalus tegevuses osaleda. TAT-s nimetatud tegevuste elluviimisel ei koguta mingil viisil infot tegevustes osalevate inimeste rassi ja rahvusliku kuulumise ega usu ja seksuaalse sättumuse kohta.</w:t>
      </w:r>
    </w:p>
    <w:p w14:paraId="2BEE72E3" w14:textId="75BA25E9" w:rsidR="00C64ED1" w:rsidRPr="00FA1890" w:rsidRDefault="00C64ED1" w:rsidP="004034F3">
      <w:pPr>
        <w:jc w:val="both"/>
        <w:rPr>
          <w:rFonts w:eastAsia="Arial"/>
          <w:lang w:val="et-EE"/>
        </w:rPr>
      </w:pPr>
    </w:p>
    <w:p w14:paraId="29B946C9" w14:textId="27769FF8" w:rsidR="004034F3" w:rsidRPr="00FA1890" w:rsidRDefault="004034F3" w:rsidP="004034F3">
      <w:pPr>
        <w:jc w:val="both"/>
        <w:rPr>
          <w:rFonts w:eastAsia="Arial"/>
          <w:b/>
          <w:bCs/>
          <w:lang w:val="et-EE"/>
        </w:rPr>
      </w:pPr>
      <w:r w:rsidRPr="00FA1890">
        <w:rPr>
          <w:rFonts w:eastAsia="Arial"/>
          <w:b/>
          <w:bCs/>
          <w:lang w:val="et-EE"/>
        </w:rPr>
        <w:t>TAT vajalikkuse põhjendus</w:t>
      </w:r>
    </w:p>
    <w:p w14:paraId="1CA5F61E" w14:textId="77777777" w:rsidR="004034F3" w:rsidRPr="00FA1890" w:rsidRDefault="004034F3" w:rsidP="004034F3">
      <w:pPr>
        <w:jc w:val="both"/>
        <w:rPr>
          <w:rFonts w:eastAsia="Arial"/>
          <w:lang w:val="et-EE"/>
        </w:rPr>
      </w:pPr>
    </w:p>
    <w:p w14:paraId="3D250767" w14:textId="0C734765" w:rsidR="00C64ED1" w:rsidRPr="00FA1890" w:rsidRDefault="00BF0819" w:rsidP="004034F3">
      <w:pPr>
        <w:tabs>
          <w:tab w:val="left" w:pos="8640"/>
        </w:tabs>
        <w:jc w:val="both"/>
        <w:rPr>
          <w:lang w:val="et-EE"/>
        </w:rPr>
      </w:pPr>
      <w:r w:rsidRPr="00FA1890">
        <w:rPr>
          <w:noProof/>
          <w:lang w:val="et-EE"/>
        </w:rPr>
        <w:t xml:space="preserve">Strateegia </w:t>
      </w:r>
      <w:r w:rsidR="0008276D" w:rsidRPr="00FA1890">
        <w:rPr>
          <w:noProof/>
          <w:lang w:val="et-EE"/>
        </w:rPr>
        <w:t xml:space="preserve">“Eesti 2035" </w:t>
      </w:r>
      <w:r w:rsidR="002B6DC8" w:rsidRPr="00FA1890">
        <w:rPr>
          <w:noProof/>
          <w:lang w:val="et-EE"/>
        </w:rPr>
        <w:t>t</w:t>
      </w:r>
      <w:r w:rsidR="0008276D" w:rsidRPr="00FA1890">
        <w:rPr>
          <w:noProof/>
          <w:lang w:val="et-EE"/>
        </w:rPr>
        <w:t xml:space="preserve">egevuskava </w:t>
      </w:r>
      <w:r w:rsidR="002B6DC8" w:rsidRPr="00FA1890">
        <w:rPr>
          <w:noProof/>
          <w:lang w:val="et-EE"/>
        </w:rPr>
        <w:t>üheks tegevuseks on ü</w:t>
      </w:r>
      <w:r w:rsidR="009D26EE" w:rsidRPr="00FA1890">
        <w:rPr>
          <w:noProof/>
          <w:lang w:val="et-EE"/>
        </w:rPr>
        <w:t>leminek kliimaneutraalsele energiatootmisele</w:t>
      </w:r>
      <w:r w:rsidR="002B6DC8" w:rsidRPr="00FA1890">
        <w:rPr>
          <w:noProof/>
          <w:lang w:val="et-EE"/>
        </w:rPr>
        <w:t xml:space="preserve">, mis hõlmab endas </w:t>
      </w:r>
      <w:r w:rsidR="009D26EE" w:rsidRPr="00FA1890">
        <w:rPr>
          <w:noProof/>
          <w:lang w:val="et-EE"/>
        </w:rPr>
        <w:t>põlevkivienergeetika osakaalu järkjärguli</w:t>
      </w:r>
      <w:r w:rsidR="002B6DC8" w:rsidRPr="00FA1890">
        <w:rPr>
          <w:noProof/>
          <w:lang w:val="et-EE"/>
        </w:rPr>
        <w:t>st</w:t>
      </w:r>
      <w:r w:rsidR="009D26EE" w:rsidRPr="00FA1890">
        <w:rPr>
          <w:noProof/>
          <w:lang w:val="et-EE"/>
        </w:rPr>
        <w:t xml:space="preserve"> vähendami</w:t>
      </w:r>
      <w:r w:rsidR="002B6DC8" w:rsidRPr="00FA1890">
        <w:rPr>
          <w:noProof/>
          <w:lang w:val="et-EE"/>
        </w:rPr>
        <w:t xml:space="preserve">st </w:t>
      </w:r>
      <w:r w:rsidR="009D26EE" w:rsidRPr="00FA1890">
        <w:rPr>
          <w:noProof/>
          <w:lang w:val="et-EE"/>
        </w:rPr>
        <w:t>ning kliimaneutraalsete energia tootmis- ja salvestuslahenduste arendami</w:t>
      </w:r>
      <w:r w:rsidR="002B6DC8" w:rsidRPr="00FA1890">
        <w:rPr>
          <w:noProof/>
          <w:lang w:val="et-EE"/>
        </w:rPr>
        <w:t xml:space="preserve">st. Samuti on kliimaneutraalsuse saavutamine aastaks 2050 </w:t>
      </w:r>
      <w:r w:rsidR="002E3609" w:rsidRPr="00FA1890">
        <w:rPr>
          <w:noProof/>
          <w:lang w:val="et-EE"/>
        </w:rPr>
        <w:t xml:space="preserve">seatud Eesti pikaajaliseks sihiks </w:t>
      </w:r>
      <w:r w:rsidR="002B6DC8" w:rsidRPr="00FA1890">
        <w:rPr>
          <w:noProof/>
          <w:lang w:val="et-EE"/>
        </w:rPr>
        <w:t>uuendatud kliimapoliitikate põhialuste</w:t>
      </w:r>
      <w:r w:rsidR="002E3609" w:rsidRPr="00FA1890">
        <w:rPr>
          <w:noProof/>
          <w:lang w:val="et-EE"/>
        </w:rPr>
        <w:t>s</w:t>
      </w:r>
      <w:r w:rsidR="009A6095" w:rsidRPr="00FA1890">
        <w:rPr>
          <w:rStyle w:val="Allmrkuseviide"/>
          <w:noProof/>
        </w:rPr>
        <w:footnoteReference w:id="2"/>
      </w:r>
      <w:r w:rsidR="002B6DC8" w:rsidRPr="00FA1890">
        <w:rPr>
          <w:noProof/>
          <w:lang w:val="et-EE"/>
        </w:rPr>
        <w:t>.</w:t>
      </w:r>
      <w:r w:rsidR="002E3609" w:rsidRPr="00FA1890">
        <w:rPr>
          <w:noProof/>
          <w:lang w:val="et-EE"/>
        </w:rPr>
        <w:t xml:space="preserve"> Seejuures on </w:t>
      </w:r>
      <w:r w:rsidR="002B6DC8" w:rsidRPr="00FA1890">
        <w:rPr>
          <w:noProof/>
          <w:lang w:val="et-EE"/>
        </w:rPr>
        <w:t>eeldatud, et tõenäoliselt  lõpetavad ettevõtted juba enne 2050. aastat nii põlevkivi kui ka muu fossiilse tahkekütuse igapäevase kasutamise elektrienergia tootmiseks</w:t>
      </w:r>
      <w:r w:rsidR="00FD6520" w:rsidRPr="00FA1890">
        <w:rPr>
          <w:rStyle w:val="Allmrkuseviide"/>
          <w:noProof/>
        </w:rPr>
        <w:footnoteReference w:id="3"/>
      </w:r>
      <w:r w:rsidR="002B6DC8" w:rsidRPr="00FA1890">
        <w:rPr>
          <w:noProof/>
          <w:lang w:val="et-EE"/>
        </w:rPr>
        <w:t xml:space="preserve">. </w:t>
      </w:r>
      <w:r w:rsidR="00C64ED1" w:rsidRPr="00FA1890">
        <w:rPr>
          <w:noProof/>
          <w:lang w:val="et-EE"/>
        </w:rPr>
        <w:t>Põlevkivisektori kahanemine või sulgemine piirkonnas, mida juba iseloomustab Eesti keskmisest kõrgem töötus</w:t>
      </w:r>
      <w:r w:rsidR="00BE075D" w:rsidRPr="00FA1890">
        <w:rPr>
          <w:noProof/>
          <w:lang w:val="et-EE"/>
        </w:rPr>
        <w:t>e tase</w:t>
      </w:r>
      <w:r w:rsidR="00C64ED1" w:rsidRPr="00FA1890">
        <w:rPr>
          <w:noProof/>
          <w:lang w:val="et-EE"/>
        </w:rPr>
        <w:t xml:space="preserve"> (</w:t>
      </w:r>
      <w:r w:rsidR="00D114CC" w:rsidRPr="00FA1890">
        <w:rPr>
          <w:noProof/>
          <w:lang w:val="et-EE"/>
        </w:rPr>
        <w:t>10,7</w:t>
      </w:r>
      <w:r w:rsidR="00C64ED1" w:rsidRPr="00FA1890">
        <w:rPr>
          <w:noProof/>
          <w:lang w:val="et-EE"/>
        </w:rPr>
        <w:t xml:space="preserve">% </w:t>
      </w:r>
      <w:r w:rsidR="00BE075D" w:rsidRPr="00FA1890">
        <w:rPr>
          <w:i/>
          <w:iCs/>
          <w:noProof/>
          <w:lang w:val="et-EE"/>
        </w:rPr>
        <w:t>vs</w:t>
      </w:r>
      <w:r w:rsidR="00BE075D" w:rsidRPr="00FA1890">
        <w:rPr>
          <w:noProof/>
          <w:lang w:val="et-EE"/>
        </w:rPr>
        <w:t>.</w:t>
      </w:r>
      <w:r w:rsidR="00C64ED1" w:rsidRPr="00FA1890">
        <w:rPr>
          <w:noProof/>
          <w:lang w:val="et-EE"/>
        </w:rPr>
        <w:t xml:space="preserve"> </w:t>
      </w:r>
      <w:r w:rsidR="00D114CC" w:rsidRPr="00FA1890">
        <w:rPr>
          <w:noProof/>
          <w:lang w:val="et-EE"/>
        </w:rPr>
        <w:t>5,6</w:t>
      </w:r>
      <w:r w:rsidR="00C64ED1" w:rsidRPr="00FA1890">
        <w:rPr>
          <w:noProof/>
          <w:lang w:val="et-EE"/>
        </w:rPr>
        <w:t>% 202</w:t>
      </w:r>
      <w:r w:rsidR="00F432FF" w:rsidRPr="00FA1890">
        <w:rPr>
          <w:noProof/>
          <w:lang w:val="et-EE"/>
        </w:rPr>
        <w:t>2</w:t>
      </w:r>
      <w:r w:rsidR="00C64ED1" w:rsidRPr="00FA1890">
        <w:rPr>
          <w:noProof/>
          <w:lang w:val="et-EE"/>
        </w:rPr>
        <w:t>.</w:t>
      </w:r>
      <w:r w:rsidR="00BE075D" w:rsidRPr="00FA1890">
        <w:rPr>
          <w:noProof/>
          <w:lang w:val="et-EE"/>
        </w:rPr>
        <w:t> </w:t>
      </w:r>
      <w:r w:rsidR="00C64ED1" w:rsidRPr="00FA1890">
        <w:rPr>
          <w:noProof/>
          <w:lang w:val="et-EE"/>
        </w:rPr>
        <w:t xml:space="preserve">a), </w:t>
      </w:r>
      <w:r w:rsidR="00BE075D" w:rsidRPr="00FA1890">
        <w:rPr>
          <w:noProof/>
          <w:lang w:val="et-EE"/>
        </w:rPr>
        <w:t xml:space="preserve">toob </w:t>
      </w:r>
      <w:r w:rsidR="00C64ED1" w:rsidRPr="00FA1890">
        <w:rPr>
          <w:noProof/>
          <w:lang w:val="et-EE"/>
        </w:rPr>
        <w:t>kaasa töötuse suurenemise ning vajaduse töötajate teistesse valdkondadesse tööle asumist toetavate täiendavate tööturuteenuste järele.</w:t>
      </w:r>
    </w:p>
    <w:p w14:paraId="5099C383" w14:textId="77777777" w:rsidR="00C64ED1" w:rsidRPr="00FA1890" w:rsidRDefault="00C64ED1" w:rsidP="004034F3">
      <w:pPr>
        <w:tabs>
          <w:tab w:val="left" w:pos="8640"/>
        </w:tabs>
        <w:jc w:val="both"/>
        <w:rPr>
          <w:lang w:val="et-EE"/>
        </w:rPr>
      </w:pPr>
    </w:p>
    <w:p w14:paraId="35EE5D85" w14:textId="3A1259BA" w:rsidR="00C64ED1" w:rsidRPr="00FA1890" w:rsidRDefault="00C64ED1" w:rsidP="004034F3">
      <w:pPr>
        <w:tabs>
          <w:tab w:val="left" w:pos="8640"/>
        </w:tabs>
        <w:jc w:val="both"/>
        <w:rPr>
          <w:noProof/>
          <w:lang w:val="et-EE"/>
        </w:rPr>
      </w:pPr>
      <w:r w:rsidRPr="00FA1890">
        <w:rPr>
          <w:noProof/>
          <w:lang w:val="et-EE"/>
        </w:rPr>
        <w:t>Kuigi 2022. aasta sündmused mõjuta</w:t>
      </w:r>
      <w:r w:rsidR="0032516A" w:rsidRPr="00FA1890">
        <w:rPr>
          <w:noProof/>
          <w:lang w:val="et-EE"/>
        </w:rPr>
        <w:t>sid</w:t>
      </w:r>
      <w:r w:rsidRPr="00FA1890">
        <w:rPr>
          <w:noProof/>
          <w:lang w:val="et-EE"/>
        </w:rPr>
        <w:t xml:space="preserve"> oluliselt energia</w:t>
      </w:r>
      <w:r w:rsidR="00BE075D" w:rsidRPr="00FA1890">
        <w:rPr>
          <w:noProof/>
          <w:lang w:val="et-EE"/>
        </w:rPr>
        <w:t>hindu</w:t>
      </w:r>
      <w:r w:rsidR="00076624" w:rsidRPr="00FA1890">
        <w:rPr>
          <w:noProof/>
          <w:lang w:val="et-EE"/>
        </w:rPr>
        <w:t xml:space="preserve"> </w:t>
      </w:r>
      <w:r w:rsidRPr="00FA1890">
        <w:rPr>
          <w:noProof/>
          <w:lang w:val="et-EE"/>
        </w:rPr>
        <w:t>ja energeetikasektorit</w:t>
      </w:r>
      <w:r w:rsidR="00076624" w:rsidRPr="00FA1890">
        <w:rPr>
          <w:noProof/>
          <w:lang w:val="et-EE"/>
        </w:rPr>
        <w:t xml:space="preserve"> (sh sektori tööjõuvajaduse märgatav suurenemine)</w:t>
      </w:r>
      <w:r w:rsidRPr="00FA1890">
        <w:rPr>
          <w:noProof/>
          <w:lang w:val="et-EE"/>
        </w:rPr>
        <w:t xml:space="preserve"> ning selle arengu</w:t>
      </w:r>
      <w:r w:rsidR="00012C8A" w:rsidRPr="00FA1890">
        <w:rPr>
          <w:noProof/>
          <w:lang w:val="et-EE"/>
        </w:rPr>
        <w:t>suundi</w:t>
      </w:r>
      <w:r w:rsidRPr="00FA1890">
        <w:rPr>
          <w:noProof/>
          <w:lang w:val="et-EE"/>
        </w:rPr>
        <w:t xml:space="preserve"> on varasemast veelgi keerulisem prognoosida, on üldine eesmärk </w:t>
      </w:r>
      <w:r w:rsidR="00BE075D" w:rsidRPr="00FA1890">
        <w:rPr>
          <w:noProof/>
          <w:lang w:val="et-EE"/>
        </w:rPr>
        <w:t xml:space="preserve">– </w:t>
      </w:r>
      <w:r w:rsidRPr="00FA1890">
        <w:rPr>
          <w:noProof/>
          <w:lang w:val="et-EE"/>
        </w:rPr>
        <w:t>liikuda kliimaneutraalse majanduse poole</w:t>
      </w:r>
      <w:r w:rsidR="00BE075D" w:rsidRPr="00FA1890">
        <w:rPr>
          <w:noProof/>
          <w:lang w:val="et-EE"/>
        </w:rPr>
        <w:t xml:space="preserve"> –</w:t>
      </w:r>
      <w:r w:rsidRPr="00FA1890">
        <w:rPr>
          <w:noProof/>
          <w:lang w:val="et-EE"/>
        </w:rPr>
        <w:t xml:space="preserve"> jäänud samaks.</w:t>
      </w:r>
      <w:r w:rsidR="00076624" w:rsidRPr="00FA1890">
        <w:rPr>
          <w:noProof/>
          <w:lang w:val="et-EE"/>
        </w:rPr>
        <w:t xml:space="preserve"> Seetõttu peab valmis olema sektori tööjõuvajaduse vähenemiseks ja töötajate teistesse sektoritesse üleminekute toetamiseks.</w:t>
      </w:r>
    </w:p>
    <w:p w14:paraId="1486847F" w14:textId="77777777" w:rsidR="00C64ED1" w:rsidRPr="00FA1890" w:rsidRDefault="00C64ED1" w:rsidP="004034F3">
      <w:pPr>
        <w:tabs>
          <w:tab w:val="left" w:pos="8640"/>
        </w:tabs>
        <w:jc w:val="both"/>
        <w:rPr>
          <w:lang w:val="et-EE" w:eastAsia="et-EE"/>
        </w:rPr>
      </w:pPr>
    </w:p>
    <w:p w14:paraId="0795B310" w14:textId="3D86AEA8" w:rsidR="00C64ED1" w:rsidRPr="00FA1890" w:rsidRDefault="008361C6" w:rsidP="004034F3">
      <w:pPr>
        <w:pStyle w:val="Default"/>
        <w:jc w:val="both"/>
        <w:rPr>
          <w:rFonts w:ascii="Times New Roman" w:hAnsi="Times New Roman" w:cs="Times New Roman"/>
          <w:noProof/>
          <w:color w:val="auto"/>
        </w:rPr>
      </w:pPr>
      <w:r w:rsidRPr="00FA1890">
        <w:rPr>
          <w:rFonts w:ascii="Times New Roman" w:hAnsi="Times New Roman" w:cs="Times New Roman"/>
          <w:noProof/>
          <w:color w:val="auto"/>
        </w:rPr>
        <w:t>ÕÜF</w:t>
      </w:r>
      <w:r w:rsidR="00C64ED1" w:rsidRPr="00FA1890">
        <w:rPr>
          <w:rFonts w:ascii="Times New Roman" w:hAnsi="Times New Roman" w:cs="Times New Roman"/>
          <w:noProof/>
          <w:color w:val="auto"/>
        </w:rPr>
        <w:t xml:space="preserve"> </w:t>
      </w:r>
      <w:r w:rsidR="00470DCA" w:rsidRPr="00FA1890">
        <w:rPr>
          <w:rFonts w:ascii="Times New Roman" w:hAnsi="Times New Roman" w:cs="Times New Roman"/>
          <w:color w:val="auto"/>
        </w:rPr>
        <w:t>määruse</w:t>
      </w:r>
      <w:r w:rsidR="00470DCA" w:rsidRPr="00FA1890">
        <w:rPr>
          <w:rFonts w:ascii="Times New Roman" w:hAnsi="Times New Roman" w:cs="Times New Roman"/>
          <w:noProof/>
          <w:color w:val="auto"/>
        </w:rPr>
        <w:t xml:space="preserve"> </w:t>
      </w:r>
      <w:r w:rsidR="00062C0E" w:rsidRPr="00FA1890">
        <w:rPr>
          <w:rFonts w:ascii="Times New Roman" w:hAnsi="Times New Roman" w:cs="Times New Roman"/>
          <w:noProof/>
          <w:color w:val="auto"/>
        </w:rPr>
        <w:t>artikkel 8</w:t>
      </w:r>
      <w:r w:rsidR="00C64ED1" w:rsidRPr="00FA1890">
        <w:rPr>
          <w:rFonts w:ascii="Times New Roman" w:hAnsi="Times New Roman" w:cs="Times New Roman"/>
          <w:noProof/>
          <w:color w:val="auto"/>
        </w:rPr>
        <w:t xml:space="preserve"> näe</w:t>
      </w:r>
      <w:r w:rsidR="00062C0E" w:rsidRPr="00FA1890">
        <w:rPr>
          <w:rFonts w:ascii="Times New Roman" w:hAnsi="Times New Roman" w:cs="Times New Roman"/>
          <w:noProof/>
          <w:color w:val="auto"/>
        </w:rPr>
        <w:t>b</w:t>
      </w:r>
      <w:r w:rsidR="00C64ED1" w:rsidRPr="00FA1890">
        <w:rPr>
          <w:rFonts w:ascii="Times New Roman" w:hAnsi="Times New Roman" w:cs="Times New Roman"/>
          <w:noProof/>
          <w:color w:val="auto"/>
        </w:rPr>
        <w:t xml:space="preserve"> muu</w:t>
      </w:r>
      <w:r w:rsidR="0098254C" w:rsidRPr="00FA1890">
        <w:rPr>
          <w:rFonts w:ascii="Times New Roman" w:hAnsi="Times New Roman" w:cs="Times New Roman"/>
          <w:noProof/>
          <w:color w:val="auto"/>
        </w:rPr>
        <w:t xml:space="preserve"> hulgas</w:t>
      </w:r>
      <w:r w:rsidR="00C64ED1" w:rsidRPr="00FA1890">
        <w:rPr>
          <w:rFonts w:ascii="Times New Roman" w:hAnsi="Times New Roman" w:cs="Times New Roman"/>
          <w:noProof/>
          <w:color w:val="auto"/>
        </w:rPr>
        <w:t xml:space="preserve"> ette kliimamuutustega seotud üleminekust enim mõjutatud töötajate oskuste arendamise toetamise, et aidata neil kohaneda uute töövõimalustega, tööotsijatele abi pakkumise töö otsimisel ja nende aktiivse kaasamise tööturule.</w:t>
      </w:r>
    </w:p>
    <w:p w14:paraId="150325C3" w14:textId="77777777" w:rsidR="00C64ED1" w:rsidRPr="00FA1890" w:rsidRDefault="00C64ED1" w:rsidP="004034F3">
      <w:pPr>
        <w:pStyle w:val="Default"/>
        <w:jc w:val="both"/>
        <w:rPr>
          <w:rFonts w:ascii="Times New Roman" w:hAnsi="Times New Roman" w:cs="Times New Roman"/>
          <w:noProof/>
          <w:color w:val="auto"/>
        </w:rPr>
      </w:pPr>
    </w:p>
    <w:p w14:paraId="34CC5F1D" w14:textId="72E72903" w:rsidR="00C64ED1" w:rsidRPr="00FA1890" w:rsidRDefault="008F2DA2" w:rsidP="004034F3">
      <w:pPr>
        <w:pStyle w:val="Default"/>
        <w:jc w:val="both"/>
        <w:rPr>
          <w:rFonts w:ascii="Times New Roman" w:hAnsi="Times New Roman" w:cs="Times New Roman"/>
          <w:noProof/>
          <w:color w:val="auto"/>
        </w:rPr>
      </w:pPr>
      <w:r w:rsidRPr="00FA1890">
        <w:rPr>
          <w:rFonts w:ascii="Times New Roman" w:hAnsi="Times New Roman" w:cs="Times New Roman"/>
          <w:noProof/>
          <w:color w:val="auto"/>
        </w:rPr>
        <w:t>SA Poliitikauuringute Keskus Praxis 2020. aasta analüüsi „Ida-Virumaa majanduse ja tööturu kohandamine põlevkivitööstuse vähenemisega“</w:t>
      </w:r>
      <w:r w:rsidR="009B14CD" w:rsidRPr="00FA1890">
        <w:rPr>
          <w:rFonts w:ascii="Times New Roman" w:hAnsi="Times New Roman" w:cs="Times New Roman"/>
          <w:noProof/>
          <w:color w:val="auto"/>
        </w:rPr>
        <w:t xml:space="preserve"> </w:t>
      </w:r>
      <w:r w:rsidRPr="00FA1890">
        <w:rPr>
          <w:rFonts w:ascii="Times New Roman" w:hAnsi="Times New Roman" w:cs="Times New Roman"/>
          <w:noProof/>
          <w:color w:val="auto"/>
        </w:rPr>
        <w:t xml:space="preserve">andmetel töötas </w:t>
      </w:r>
      <w:r w:rsidR="00BD7D67" w:rsidRPr="00FA1890">
        <w:rPr>
          <w:rFonts w:ascii="Times New Roman" w:hAnsi="Times New Roman" w:cs="Times New Roman"/>
          <w:noProof/>
          <w:color w:val="auto"/>
        </w:rPr>
        <w:t xml:space="preserve">sel </w:t>
      </w:r>
      <w:r w:rsidR="00DE45AB" w:rsidRPr="00FA1890">
        <w:rPr>
          <w:rFonts w:ascii="Times New Roman" w:hAnsi="Times New Roman" w:cs="Times New Roman"/>
          <w:noProof/>
          <w:color w:val="auto"/>
        </w:rPr>
        <w:t>ajal</w:t>
      </w:r>
      <w:r w:rsidR="00BD7D67" w:rsidRPr="00FA1890">
        <w:rPr>
          <w:rFonts w:ascii="Times New Roman" w:hAnsi="Times New Roman" w:cs="Times New Roman"/>
          <w:noProof/>
          <w:color w:val="auto"/>
        </w:rPr>
        <w:t xml:space="preserve"> </w:t>
      </w:r>
      <w:r w:rsidR="00C64ED1" w:rsidRPr="00FA1890">
        <w:rPr>
          <w:rFonts w:ascii="Times New Roman" w:hAnsi="Times New Roman" w:cs="Times New Roman"/>
          <w:noProof/>
          <w:color w:val="auto"/>
        </w:rPr>
        <w:t>Ida-Virumaa põlevkivisektori tuumikettevõtetes 5800 inimest ning sektoris hõivatute leibkondades elab kokku ligi 16 000 inimest. Praxis</w:t>
      </w:r>
      <w:r w:rsidR="00BD7D67" w:rsidRPr="00FA1890">
        <w:rPr>
          <w:rFonts w:ascii="Times New Roman" w:hAnsi="Times New Roman" w:cs="Times New Roman"/>
          <w:noProof/>
          <w:color w:val="auto"/>
        </w:rPr>
        <w:t>e</w:t>
      </w:r>
      <w:r w:rsidR="00C64ED1" w:rsidRPr="00FA1890">
        <w:rPr>
          <w:rFonts w:ascii="Times New Roman" w:hAnsi="Times New Roman" w:cs="Times New Roman"/>
          <w:noProof/>
          <w:color w:val="auto"/>
        </w:rPr>
        <w:t xml:space="preserve"> </w:t>
      </w:r>
      <w:r w:rsidR="00BD7D67" w:rsidRPr="00FA1890">
        <w:rPr>
          <w:rFonts w:ascii="Times New Roman" w:hAnsi="Times New Roman" w:cs="Times New Roman"/>
          <w:noProof/>
          <w:color w:val="auto"/>
        </w:rPr>
        <w:t>analüüsi</w:t>
      </w:r>
      <w:r w:rsidR="00C64ED1" w:rsidRPr="00FA1890">
        <w:rPr>
          <w:rFonts w:ascii="Times New Roman" w:hAnsi="Times New Roman" w:cs="Times New Roman"/>
          <w:noProof/>
          <w:color w:val="auto"/>
        </w:rPr>
        <w:t xml:space="preserve"> kohaselt on sektori kiire sulgemise</w:t>
      </w:r>
      <w:r w:rsidR="00C64ED1" w:rsidRPr="00FA1890">
        <w:rPr>
          <w:rStyle w:val="Allmrkuseviide"/>
          <w:rFonts w:ascii="Times New Roman" w:hAnsi="Times New Roman"/>
          <w:noProof/>
          <w:color w:val="auto"/>
        </w:rPr>
        <w:footnoteReference w:id="4"/>
      </w:r>
      <w:r w:rsidR="00C64ED1" w:rsidRPr="00FA1890">
        <w:rPr>
          <w:rFonts w:ascii="Times New Roman" w:hAnsi="Times New Roman" w:cs="Times New Roman"/>
          <w:noProof/>
          <w:color w:val="auto"/>
        </w:rPr>
        <w:t xml:space="preserve"> korral esmases toimetuleku riskirühmas üle 50-aastased madala või keskmise oskustasemega töötajad (üle 900 inimese), kes </w:t>
      </w:r>
      <w:r w:rsidR="00832C3C" w:rsidRPr="00FA1890">
        <w:rPr>
          <w:rFonts w:ascii="Times New Roman" w:hAnsi="Times New Roman" w:cs="Times New Roman"/>
          <w:noProof/>
          <w:color w:val="auto"/>
        </w:rPr>
        <w:t>on</w:t>
      </w:r>
      <w:r w:rsidR="00C64ED1" w:rsidRPr="00FA1890">
        <w:rPr>
          <w:rFonts w:ascii="Times New Roman" w:hAnsi="Times New Roman" w:cs="Times New Roman"/>
          <w:noProof/>
          <w:color w:val="auto"/>
        </w:rPr>
        <w:t xml:space="preserve"> seni olnud maakondlikus mõistes pigem suure töötasuga, kuid oskusspetsiifilised. Sellest tulenevalt on neil ka keerulisem kohe uut töökohta leida (eriti sama palgatasemega).</w:t>
      </w:r>
    </w:p>
    <w:p w14:paraId="6F6C29E6" w14:textId="23905CC2" w:rsidR="00DE45AB" w:rsidRPr="00FA1890" w:rsidRDefault="00DE45AB" w:rsidP="004034F3">
      <w:pPr>
        <w:pStyle w:val="Default"/>
        <w:jc w:val="both"/>
        <w:rPr>
          <w:rFonts w:ascii="Times New Roman" w:hAnsi="Times New Roman" w:cs="Times New Roman"/>
          <w:noProof/>
          <w:color w:val="auto"/>
        </w:rPr>
      </w:pPr>
    </w:p>
    <w:p w14:paraId="014D455F" w14:textId="3EB1BB86" w:rsidR="00C64ED1" w:rsidRPr="00FA1890" w:rsidRDefault="00C64ED1" w:rsidP="004034F3">
      <w:pPr>
        <w:jc w:val="both"/>
        <w:rPr>
          <w:noProof/>
          <w:lang w:val="et-EE"/>
        </w:rPr>
      </w:pPr>
      <w:r w:rsidRPr="00FA1890">
        <w:rPr>
          <w:noProof/>
          <w:lang w:val="et-EE"/>
        </w:rPr>
        <w:t xml:space="preserve">Kuivõrd nende ametikohad on tihedalt seotud põlevkivi spetsiifikaga, </w:t>
      </w:r>
      <w:r w:rsidR="00B475E1" w:rsidRPr="00FA1890">
        <w:rPr>
          <w:noProof/>
          <w:lang w:val="et-EE"/>
        </w:rPr>
        <w:t>vajab</w:t>
      </w:r>
      <w:r w:rsidRPr="00FA1890">
        <w:rPr>
          <w:noProof/>
          <w:lang w:val="et-EE"/>
        </w:rPr>
        <w:t xml:space="preserve"> täiend- ja ümberõpet põlevkivisektori vähenemisel umbes pool (2800 inimest) </w:t>
      </w:r>
      <w:r w:rsidR="00B475E1" w:rsidRPr="00FA1890">
        <w:rPr>
          <w:noProof/>
          <w:lang w:val="et-EE"/>
        </w:rPr>
        <w:t>praegusest</w:t>
      </w:r>
      <w:r w:rsidRPr="00FA1890">
        <w:rPr>
          <w:noProof/>
          <w:lang w:val="et-EE"/>
        </w:rPr>
        <w:t xml:space="preserve"> tööjõust. Suurem täiend- ja ümberõppe vajadus on Praxise analüüsi kohaselt inimes</w:t>
      </w:r>
      <w:r w:rsidR="00BE075D" w:rsidRPr="00FA1890">
        <w:rPr>
          <w:noProof/>
          <w:lang w:val="et-EE"/>
        </w:rPr>
        <w:t>tel</w:t>
      </w:r>
      <w:r w:rsidR="00012C8A" w:rsidRPr="00FA1890">
        <w:rPr>
          <w:noProof/>
          <w:lang w:val="et-EE"/>
        </w:rPr>
        <w:t>,</w:t>
      </w:r>
      <w:r w:rsidRPr="00FA1890">
        <w:rPr>
          <w:noProof/>
          <w:lang w:val="et-EE"/>
        </w:rPr>
        <w:t xml:space="preserve"> kes on vanuse</w:t>
      </w:r>
      <w:r w:rsidR="00BE075D" w:rsidRPr="00FA1890">
        <w:rPr>
          <w:noProof/>
          <w:lang w:val="et-EE"/>
        </w:rPr>
        <w:t>rühmas</w:t>
      </w:r>
      <w:r w:rsidRPr="00FA1890">
        <w:rPr>
          <w:noProof/>
          <w:lang w:val="et-EE"/>
        </w:rPr>
        <w:t xml:space="preserve"> kuni 49 eluaastat </w:t>
      </w:r>
      <w:r w:rsidR="00B475E1" w:rsidRPr="00FA1890">
        <w:rPr>
          <w:noProof/>
          <w:lang w:val="et-EE"/>
        </w:rPr>
        <w:t>ja kes</w:t>
      </w:r>
      <w:r w:rsidRPr="00FA1890">
        <w:rPr>
          <w:noProof/>
          <w:lang w:val="et-EE"/>
        </w:rPr>
        <w:t xml:space="preserve"> töötavad ametikohtadel, </w:t>
      </w:r>
      <w:r w:rsidR="00BE075D" w:rsidRPr="00FA1890">
        <w:rPr>
          <w:noProof/>
          <w:lang w:val="et-EE"/>
        </w:rPr>
        <w:t>kus</w:t>
      </w:r>
      <w:r w:rsidRPr="00FA1890">
        <w:rPr>
          <w:noProof/>
          <w:lang w:val="et-EE"/>
        </w:rPr>
        <w:t xml:space="preserve"> on suurem</w:t>
      </w:r>
      <w:r w:rsidR="00BE075D" w:rsidRPr="00FA1890">
        <w:rPr>
          <w:noProof/>
          <w:lang w:val="et-EE"/>
        </w:rPr>
        <w:t xml:space="preserve"> oht</w:t>
      </w:r>
      <w:r w:rsidRPr="00FA1890">
        <w:rPr>
          <w:noProof/>
          <w:lang w:val="et-EE"/>
        </w:rPr>
        <w:t xml:space="preserve"> töö kaota</w:t>
      </w:r>
      <w:r w:rsidR="00BE075D" w:rsidRPr="00FA1890">
        <w:rPr>
          <w:noProof/>
          <w:lang w:val="et-EE"/>
        </w:rPr>
        <w:t>da</w:t>
      </w:r>
      <w:r w:rsidRPr="00FA1890">
        <w:rPr>
          <w:noProof/>
          <w:lang w:val="et-EE"/>
        </w:rPr>
        <w:t xml:space="preserve"> (</w:t>
      </w:r>
      <w:r w:rsidRPr="00FA1890">
        <w:rPr>
          <w:i/>
          <w:iCs/>
          <w:noProof/>
          <w:lang w:val="et-EE"/>
        </w:rPr>
        <w:t>ca</w:t>
      </w:r>
      <w:r w:rsidRPr="00FA1890">
        <w:rPr>
          <w:noProof/>
          <w:lang w:val="et-EE"/>
        </w:rPr>
        <w:t xml:space="preserve"> 1700 inimest). Ümberõppe vajadus on kõige suurem juhtidel, tippspetsialistidel, tehnikutel ja keskastme spetsialistidel (kokku 15% kogu täiend- ja ümberõppe vajadusest). Sõltuvalt sektori arengusuundadest võib ümberõppe asendada täiendõppega, et spetsialiseeruda ümber põlevkivilt uutele valdkondadele. Teistes </w:t>
      </w:r>
      <w:r w:rsidRPr="00FA1890">
        <w:rPr>
          <w:noProof/>
          <w:lang w:val="et-EE"/>
        </w:rPr>
        <w:lastRenderedPageBreak/>
        <w:t xml:space="preserve">ametirühmades on eelkõige vajalik täiendõpe, et toetada üleminekut teiste tööstusvaldkondade (sh kasvuvaldkondade) spetsiifikale. Praxise analüüsis esitatakse </w:t>
      </w:r>
      <w:r w:rsidR="00BE075D" w:rsidRPr="00FA1890">
        <w:rPr>
          <w:noProof/>
          <w:lang w:val="et-EE"/>
        </w:rPr>
        <w:t>muu hulgas</w:t>
      </w:r>
      <w:r w:rsidRPr="00FA1890">
        <w:rPr>
          <w:noProof/>
          <w:lang w:val="et-EE"/>
        </w:rPr>
        <w:t xml:space="preserve"> soovitus laiendada täiend- ja ümberõppe pakkumist sihtrühmale.</w:t>
      </w:r>
    </w:p>
    <w:p w14:paraId="4373E8C2" w14:textId="50B53597" w:rsidR="004A0BAF" w:rsidRPr="00FA1890" w:rsidRDefault="004A0BAF" w:rsidP="004034F3">
      <w:pPr>
        <w:jc w:val="both"/>
        <w:rPr>
          <w:noProof/>
          <w:lang w:val="et-EE"/>
        </w:rPr>
      </w:pPr>
    </w:p>
    <w:p w14:paraId="6BD6759C" w14:textId="291D4AF5" w:rsidR="004A0BAF" w:rsidRPr="00FA1890" w:rsidRDefault="004A0BAF" w:rsidP="004034F3">
      <w:pPr>
        <w:pStyle w:val="Default"/>
        <w:jc w:val="both"/>
        <w:rPr>
          <w:rFonts w:ascii="Times New Roman" w:hAnsi="Times New Roman" w:cs="Times New Roman"/>
          <w:noProof/>
          <w:color w:val="auto"/>
        </w:rPr>
      </w:pPr>
      <w:r w:rsidRPr="00FA1890">
        <w:rPr>
          <w:rFonts w:ascii="Times New Roman" w:hAnsi="Times New Roman" w:cs="Times New Roman"/>
          <w:noProof/>
          <w:color w:val="auto"/>
        </w:rPr>
        <w:t xml:space="preserve">Käesoleva TAT põlevkivisektori ettevõte mõistega kaetud </w:t>
      </w:r>
      <w:r w:rsidR="00EC008E" w:rsidRPr="00FA1890">
        <w:rPr>
          <w:rFonts w:ascii="Times New Roman" w:hAnsi="Times New Roman" w:cs="Times New Roman"/>
          <w:noProof/>
          <w:color w:val="auto"/>
        </w:rPr>
        <w:t xml:space="preserve">ettevõtetes on </w:t>
      </w:r>
      <w:r w:rsidRPr="00FA1890">
        <w:rPr>
          <w:rFonts w:ascii="Times New Roman" w:hAnsi="Times New Roman" w:cs="Times New Roman"/>
          <w:noProof/>
          <w:color w:val="auto"/>
        </w:rPr>
        <w:t>EMTA 2022 III kv andmetel</w:t>
      </w:r>
      <w:r w:rsidR="00EC008E" w:rsidRPr="00FA1890">
        <w:rPr>
          <w:rFonts w:ascii="Times New Roman" w:hAnsi="Times New Roman" w:cs="Times New Roman"/>
          <w:noProof/>
          <w:color w:val="auto"/>
        </w:rPr>
        <w:t xml:space="preserve"> </w:t>
      </w:r>
      <w:r w:rsidRPr="00FA1890">
        <w:rPr>
          <w:rFonts w:ascii="Times New Roman" w:hAnsi="Times New Roman" w:cs="Times New Roman"/>
          <w:noProof/>
          <w:color w:val="auto"/>
        </w:rPr>
        <w:t>6</w:t>
      </w:r>
      <w:r w:rsidR="00713510" w:rsidRPr="00FA1890">
        <w:rPr>
          <w:rFonts w:ascii="Times New Roman" w:hAnsi="Times New Roman" w:cs="Times New Roman"/>
          <w:noProof/>
          <w:color w:val="auto"/>
        </w:rPr>
        <w:t>273</w:t>
      </w:r>
      <w:r w:rsidR="00EC008E" w:rsidRPr="00FA1890">
        <w:rPr>
          <w:rFonts w:ascii="Times New Roman" w:hAnsi="Times New Roman" w:cs="Times New Roman"/>
          <w:noProof/>
          <w:color w:val="auto"/>
        </w:rPr>
        <w:t xml:space="preserve"> töötajat</w:t>
      </w:r>
      <w:r w:rsidRPr="00FA1890">
        <w:rPr>
          <w:rFonts w:ascii="Times New Roman" w:hAnsi="Times New Roman" w:cs="Times New Roman"/>
          <w:noProof/>
          <w:color w:val="auto"/>
        </w:rPr>
        <w:t>.</w:t>
      </w:r>
    </w:p>
    <w:p w14:paraId="0D2B3F54" w14:textId="77777777" w:rsidR="00B118DB" w:rsidRPr="00FA1890" w:rsidRDefault="00B118DB" w:rsidP="004034F3">
      <w:pPr>
        <w:pStyle w:val="Default"/>
        <w:jc w:val="both"/>
        <w:rPr>
          <w:rFonts w:ascii="Times New Roman" w:hAnsi="Times New Roman" w:cs="Times New Roman"/>
          <w:noProof/>
          <w:color w:val="auto"/>
        </w:rPr>
      </w:pPr>
    </w:p>
    <w:p w14:paraId="48BAD593" w14:textId="315259E1" w:rsidR="003349CB" w:rsidRPr="00FA1890" w:rsidRDefault="00C64ED1" w:rsidP="004034F3">
      <w:pPr>
        <w:jc w:val="both"/>
        <w:rPr>
          <w:b/>
          <w:noProof/>
          <w:lang w:val="et-EE"/>
        </w:rPr>
      </w:pPr>
      <w:r w:rsidRPr="00FA1890">
        <w:rPr>
          <w:b/>
          <w:noProof/>
          <w:lang w:val="et-EE"/>
        </w:rPr>
        <w:t xml:space="preserve">Punkt </w:t>
      </w:r>
      <w:r w:rsidR="003349CB" w:rsidRPr="00FA1890">
        <w:rPr>
          <w:b/>
          <w:noProof/>
          <w:lang w:val="et-EE"/>
        </w:rPr>
        <w:t>2 „T</w:t>
      </w:r>
      <w:r w:rsidRPr="00FA1890">
        <w:rPr>
          <w:b/>
          <w:noProof/>
          <w:lang w:val="et-EE"/>
        </w:rPr>
        <w:t>oetatavad tegevused</w:t>
      </w:r>
      <w:r w:rsidR="003349CB" w:rsidRPr="00FA1890">
        <w:rPr>
          <w:b/>
          <w:noProof/>
          <w:lang w:val="et-EE"/>
        </w:rPr>
        <w:t>"</w:t>
      </w:r>
    </w:p>
    <w:p w14:paraId="42A04C6F" w14:textId="77777777" w:rsidR="003349CB" w:rsidRPr="00FA1890" w:rsidRDefault="003349CB" w:rsidP="004034F3">
      <w:pPr>
        <w:jc w:val="both"/>
        <w:rPr>
          <w:bCs/>
          <w:noProof/>
          <w:lang w:val="et-EE"/>
        </w:rPr>
      </w:pPr>
    </w:p>
    <w:p w14:paraId="1AA1049C" w14:textId="73B0A6F9" w:rsidR="003349CB" w:rsidRPr="00FA1890" w:rsidRDefault="00C64ED1" w:rsidP="004034F3">
      <w:pPr>
        <w:jc w:val="both"/>
        <w:rPr>
          <w:bCs/>
          <w:noProof/>
          <w:lang w:val="et-EE"/>
        </w:rPr>
      </w:pPr>
      <w:r w:rsidRPr="00FA1890">
        <w:rPr>
          <w:bCs/>
          <w:lang w:val="et-EE"/>
        </w:rPr>
        <w:t>Punktis 2 kirjeldatakse tegevusi TAT eesmärkide ja tulemuste saavutamiseks, sh puutumust riigiabi andmisega. Iga tegevuse juures näidatakse sihtrühm</w:t>
      </w:r>
      <w:r w:rsidR="005E3775" w:rsidRPr="00FA1890">
        <w:rPr>
          <w:bCs/>
          <w:lang w:val="et-EE"/>
        </w:rPr>
        <w:t xml:space="preserve"> ja </w:t>
      </w:r>
      <w:r w:rsidRPr="00FA1890">
        <w:rPr>
          <w:bCs/>
          <w:lang w:val="et-EE"/>
        </w:rPr>
        <w:t xml:space="preserve">tegevuse abikõlblikkuse periood </w:t>
      </w:r>
      <w:r w:rsidR="003726F8" w:rsidRPr="00FA1890">
        <w:rPr>
          <w:bCs/>
          <w:lang w:val="et-EE"/>
        </w:rPr>
        <w:t>TAT koostamisel on arvestatud Euroopa Liidu põhiõiguste hartas ja puuetega inimeste õiguste konventsioonis sätestatuga (vt seletuskirjale lisatud kontroll-lehte).</w:t>
      </w:r>
    </w:p>
    <w:p w14:paraId="0666ADE6" w14:textId="77777777" w:rsidR="00DB4932" w:rsidRPr="00FA1890" w:rsidRDefault="00DB4932" w:rsidP="004034F3">
      <w:pPr>
        <w:jc w:val="both"/>
        <w:rPr>
          <w:bCs/>
          <w:noProof/>
          <w:lang w:val="et-EE"/>
        </w:rPr>
      </w:pPr>
    </w:p>
    <w:p w14:paraId="5FD23687" w14:textId="53538F94" w:rsidR="002371AB" w:rsidRPr="00FA1890" w:rsidRDefault="00DB4EC6" w:rsidP="004034F3">
      <w:pPr>
        <w:jc w:val="both"/>
        <w:rPr>
          <w:b/>
          <w:noProof/>
          <w:lang w:val="et-EE"/>
        </w:rPr>
      </w:pPr>
      <w:bookmarkStart w:id="3" w:name="_Hlk131005051"/>
      <w:r w:rsidRPr="00FA1890">
        <w:rPr>
          <w:b/>
          <w:noProof/>
          <w:lang w:val="et-EE"/>
        </w:rPr>
        <w:t>2.1</w:t>
      </w:r>
      <w:r w:rsidR="0051555B" w:rsidRPr="00FA1890">
        <w:rPr>
          <w:b/>
          <w:noProof/>
          <w:lang w:val="et-EE"/>
        </w:rPr>
        <w:t>.</w:t>
      </w:r>
      <w:r w:rsidRPr="00FA1890">
        <w:rPr>
          <w:b/>
          <w:noProof/>
          <w:lang w:val="et-EE"/>
        </w:rPr>
        <w:t xml:space="preserve"> </w:t>
      </w:r>
      <w:r w:rsidR="002371AB" w:rsidRPr="00FA1890">
        <w:rPr>
          <w:b/>
          <w:noProof/>
          <w:lang w:val="et-EE"/>
        </w:rPr>
        <w:t>Tööle asumise toetus</w:t>
      </w:r>
    </w:p>
    <w:bookmarkEnd w:id="3"/>
    <w:p w14:paraId="18E14515" w14:textId="77777777" w:rsidR="002371AB" w:rsidRPr="00FA1890" w:rsidRDefault="002371AB" w:rsidP="004034F3">
      <w:pPr>
        <w:jc w:val="both"/>
        <w:rPr>
          <w:bCs/>
          <w:noProof/>
          <w:lang w:val="et-EE"/>
        </w:rPr>
      </w:pPr>
    </w:p>
    <w:p w14:paraId="68F3CB04" w14:textId="4FA35FB0" w:rsidR="002371AB" w:rsidRPr="00FA1890" w:rsidRDefault="002371AB" w:rsidP="004034F3">
      <w:pPr>
        <w:jc w:val="both"/>
        <w:rPr>
          <w:bCs/>
          <w:noProof/>
          <w:lang w:val="et-EE"/>
        </w:rPr>
      </w:pPr>
      <w:r w:rsidRPr="00FA1890">
        <w:rPr>
          <w:bCs/>
          <w:noProof/>
          <w:lang w:val="et-EE"/>
        </w:rPr>
        <w:t>Põlevkivisektorit iseloomustab maakonna ja Eesti keskmisest oluliselt kõrgem keskmine palk</w:t>
      </w:r>
      <w:r w:rsidR="00B03528" w:rsidRPr="00FA1890">
        <w:rPr>
          <w:bCs/>
          <w:noProof/>
          <w:lang w:val="et-EE"/>
        </w:rPr>
        <w:t>.</w:t>
      </w:r>
      <w:r w:rsidRPr="00FA1890">
        <w:rPr>
          <w:bCs/>
          <w:noProof/>
          <w:lang w:val="et-EE"/>
        </w:rPr>
        <w:t xml:space="preserve"> 202</w:t>
      </w:r>
      <w:r w:rsidR="00697038" w:rsidRPr="00FA1890">
        <w:rPr>
          <w:bCs/>
          <w:noProof/>
          <w:lang w:val="et-EE"/>
        </w:rPr>
        <w:t>2</w:t>
      </w:r>
      <w:r w:rsidRPr="00FA1890">
        <w:rPr>
          <w:bCs/>
          <w:noProof/>
          <w:lang w:val="et-EE"/>
        </w:rPr>
        <w:t>.</w:t>
      </w:r>
      <w:r w:rsidR="00832C3C" w:rsidRPr="00FA1890">
        <w:rPr>
          <w:bCs/>
          <w:noProof/>
          <w:lang w:val="et-EE"/>
        </w:rPr>
        <w:t> aasta</w:t>
      </w:r>
      <w:r w:rsidRPr="00FA1890">
        <w:rPr>
          <w:bCs/>
          <w:noProof/>
          <w:lang w:val="et-EE"/>
        </w:rPr>
        <w:t xml:space="preserve"> Eesti </w:t>
      </w:r>
      <w:r w:rsidR="00832C3C" w:rsidRPr="00FA1890">
        <w:rPr>
          <w:bCs/>
          <w:noProof/>
          <w:lang w:val="et-EE"/>
        </w:rPr>
        <w:t>t</w:t>
      </w:r>
      <w:r w:rsidRPr="00FA1890">
        <w:rPr>
          <w:bCs/>
          <w:noProof/>
          <w:lang w:val="et-EE"/>
        </w:rPr>
        <w:t xml:space="preserve">ööjõu-uuringu andmetel oli Ida-Virumaa palgatöötajate viimane brutokuupalk </w:t>
      </w:r>
      <w:r w:rsidR="00697038" w:rsidRPr="00FA1890">
        <w:rPr>
          <w:bCs/>
          <w:noProof/>
          <w:lang w:val="et-EE"/>
        </w:rPr>
        <w:t>1232</w:t>
      </w:r>
      <w:r w:rsidRPr="00FA1890">
        <w:rPr>
          <w:bCs/>
          <w:noProof/>
          <w:lang w:val="et-EE"/>
        </w:rPr>
        <w:t xml:space="preserve"> eurot, mäetööstuses aga </w:t>
      </w:r>
      <w:r w:rsidR="00697038" w:rsidRPr="00FA1890">
        <w:rPr>
          <w:bCs/>
          <w:noProof/>
          <w:lang w:val="et-EE"/>
        </w:rPr>
        <w:t>2148</w:t>
      </w:r>
      <w:r w:rsidRPr="00FA1890">
        <w:rPr>
          <w:bCs/>
          <w:noProof/>
          <w:lang w:val="et-EE"/>
        </w:rPr>
        <w:t xml:space="preserve"> eurot. Töötlevas tööstuses oli palgatöötajate viimane brutokuupalk </w:t>
      </w:r>
      <w:r w:rsidR="00785A93" w:rsidRPr="00FA1890">
        <w:rPr>
          <w:bCs/>
          <w:noProof/>
          <w:lang w:val="et-EE"/>
        </w:rPr>
        <w:t xml:space="preserve">1308 </w:t>
      </w:r>
      <w:r w:rsidRPr="00FA1890">
        <w:rPr>
          <w:bCs/>
          <w:noProof/>
          <w:lang w:val="et-EE"/>
        </w:rPr>
        <w:t xml:space="preserve">eurot (erinevus mäetööstusega </w:t>
      </w:r>
      <w:r w:rsidR="00785A93" w:rsidRPr="00FA1890">
        <w:rPr>
          <w:bCs/>
          <w:noProof/>
          <w:lang w:val="et-EE"/>
        </w:rPr>
        <w:t>840</w:t>
      </w:r>
      <w:r w:rsidRPr="00FA1890">
        <w:rPr>
          <w:bCs/>
          <w:noProof/>
          <w:lang w:val="et-EE"/>
        </w:rPr>
        <w:t xml:space="preserve"> eurot), ehituses </w:t>
      </w:r>
      <w:r w:rsidR="00785A93" w:rsidRPr="00FA1890">
        <w:rPr>
          <w:bCs/>
          <w:noProof/>
          <w:lang w:val="et-EE"/>
        </w:rPr>
        <w:t>1439</w:t>
      </w:r>
      <w:r w:rsidRPr="00FA1890">
        <w:rPr>
          <w:bCs/>
          <w:noProof/>
          <w:lang w:val="et-EE"/>
        </w:rPr>
        <w:t xml:space="preserve"> eurot (erinevus </w:t>
      </w:r>
      <w:r w:rsidR="00785A93" w:rsidRPr="00FA1890">
        <w:rPr>
          <w:bCs/>
          <w:noProof/>
          <w:lang w:val="et-EE"/>
        </w:rPr>
        <w:t>709</w:t>
      </w:r>
      <w:r w:rsidR="00B475E1" w:rsidRPr="00FA1890">
        <w:rPr>
          <w:bCs/>
          <w:noProof/>
          <w:lang w:val="et-EE"/>
        </w:rPr>
        <w:t> eurot)</w:t>
      </w:r>
      <w:r w:rsidRPr="00FA1890">
        <w:rPr>
          <w:bCs/>
          <w:noProof/>
          <w:lang w:val="et-EE"/>
        </w:rPr>
        <w:t xml:space="preserve"> ning hulgi-</w:t>
      </w:r>
      <w:r w:rsidR="00832C3C" w:rsidRPr="00FA1890">
        <w:rPr>
          <w:bCs/>
          <w:noProof/>
          <w:lang w:val="et-EE"/>
        </w:rPr>
        <w:t xml:space="preserve"> ja</w:t>
      </w:r>
      <w:r w:rsidRPr="00FA1890">
        <w:rPr>
          <w:bCs/>
          <w:noProof/>
          <w:lang w:val="et-EE"/>
        </w:rPr>
        <w:t xml:space="preserve"> jaekaubanduses </w:t>
      </w:r>
      <w:r w:rsidR="00785A93" w:rsidRPr="00FA1890">
        <w:rPr>
          <w:bCs/>
          <w:noProof/>
          <w:lang w:val="et-EE"/>
        </w:rPr>
        <w:t>1002</w:t>
      </w:r>
      <w:r w:rsidRPr="00FA1890">
        <w:rPr>
          <w:bCs/>
          <w:noProof/>
          <w:lang w:val="et-EE"/>
        </w:rPr>
        <w:t xml:space="preserve"> eurot (erinevus </w:t>
      </w:r>
      <w:r w:rsidR="00257E86" w:rsidRPr="00FA1890">
        <w:rPr>
          <w:bCs/>
          <w:noProof/>
          <w:lang w:val="et-EE"/>
        </w:rPr>
        <w:t>1146</w:t>
      </w:r>
      <w:r w:rsidRPr="00FA1890">
        <w:rPr>
          <w:bCs/>
          <w:noProof/>
          <w:lang w:val="et-EE"/>
        </w:rPr>
        <w:t xml:space="preserve"> eurot). Statistikaameti andmetel oli keskmine töötasu Ida-Virumaal 202</w:t>
      </w:r>
      <w:r w:rsidR="00257E86" w:rsidRPr="00FA1890">
        <w:rPr>
          <w:bCs/>
          <w:noProof/>
          <w:lang w:val="et-EE"/>
        </w:rPr>
        <w:t>2</w:t>
      </w:r>
      <w:r w:rsidRPr="00FA1890">
        <w:rPr>
          <w:bCs/>
          <w:noProof/>
          <w:lang w:val="et-EE"/>
        </w:rPr>
        <w:t xml:space="preserve">. aasta </w:t>
      </w:r>
      <w:r w:rsidR="00257E86" w:rsidRPr="00FA1890">
        <w:rPr>
          <w:bCs/>
          <w:noProof/>
          <w:lang w:val="et-EE"/>
        </w:rPr>
        <w:t>3</w:t>
      </w:r>
      <w:r w:rsidRPr="00FA1890">
        <w:rPr>
          <w:bCs/>
          <w:noProof/>
          <w:lang w:val="et-EE"/>
        </w:rPr>
        <w:t xml:space="preserve">. kvartalis </w:t>
      </w:r>
      <w:r w:rsidR="00D87FE0" w:rsidRPr="00FA1890">
        <w:rPr>
          <w:bCs/>
          <w:noProof/>
          <w:lang w:val="et-EE"/>
        </w:rPr>
        <w:t xml:space="preserve">1383 </w:t>
      </w:r>
      <w:r w:rsidRPr="00FA1890">
        <w:rPr>
          <w:bCs/>
          <w:noProof/>
          <w:lang w:val="et-EE"/>
        </w:rPr>
        <w:t>eurot. Arvestades sektori keskmist palka (</w:t>
      </w:r>
      <w:r w:rsidRPr="00FA1890">
        <w:rPr>
          <w:bCs/>
          <w:i/>
          <w:iCs/>
          <w:noProof/>
          <w:lang w:val="et-EE"/>
        </w:rPr>
        <w:t>ca</w:t>
      </w:r>
      <w:r w:rsidRPr="00FA1890">
        <w:rPr>
          <w:bCs/>
          <w:noProof/>
          <w:lang w:val="et-EE"/>
        </w:rPr>
        <w:t xml:space="preserve"> </w:t>
      </w:r>
      <w:r w:rsidR="00B03528" w:rsidRPr="00FA1890">
        <w:rPr>
          <w:bCs/>
          <w:noProof/>
          <w:lang w:val="et-EE"/>
        </w:rPr>
        <w:t>2148</w:t>
      </w:r>
      <w:r w:rsidRPr="00FA1890">
        <w:rPr>
          <w:bCs/>
          <w:noProof/>
          <w:lang w:val="et-EE"/>
        </w:rPr>
        <w:t xml:space="preserve"> eurot), makstakse sektoris tööta jäänule töötuskindlustushüvitist esimesel 100 päeval </w:t>
      </w:r>
      <w:r w:rsidRPr="00FA1890">
        <w:rPr>
          <w:bCs/>
          <w:i/>
          <w:iCs/>
          <w:noProof/>
          <w:lang w:val="et-EE"/>
        </w:rPr>
        <w:t>ca</w:t>
      </w:r>
      <w:r w:rsidRPr="00FA1890">
        <w:rPr>
          <w:bCs/>
          <w:noProof/>
          <w:lang w:val="et-EE"/>
        </w:rPr>
        <w:t xml:space="preserve"> 1</w:t>
      </w:r>
      <w:r w:rsidR="000E25E8" w:rsidRPr="00FA1890">
        <w:rPr>
          <w:bCs/>
          <w:noProof/>
          <w:lang w:val="et-EE"/>
        </w:rPr>
        <w:t>288</w:t>
      </w:r>
      <w:r w:rsidRPr="00FA1890">
        <w:rPr>
          <w:bCs/>
          <w:noProof/>
          <w:lang w:val="et-EE"/>
        </w:rPr>
        <w:t xml:space="preserve"> eurot (60% varasemast sissetulekust) ja sealt edasi kuni hüvitise lõpuni </w:t>
      </w:r>
      <w:r w:rsidRPr="00FA1890">
        <w:rPr>
          <w:bCs/>
          <w:i/>
          <w:iCs/>
          <w:noProof/>
          <w:lang w:val="et-EE"/>
        </w:rPr>
        <w:t>ca</w:t>
      </w:r>
      <w:r w:rsidRPr="00FA1890">
        <w:rPr>
          <w:bCs/>
          <w:noProof/>
          <w:lang w:val="et-EE"/>
        </w:rPr>
        <w:t xml:space="preserve"> </w:t>
      </w:r>
      <w:r w:rsidR="00FA5107" w:rsidRPr="00FA1890">
        <w:rPr>
          <w:bCs/>
          <w:noProof/>
          <w:lang w:val="et-EE"/>
        </w:rPr>
        <w:t>860</w:t>
      </w:r>
      <w:r w:rsidRPr="00FA1890">
        <w:rPr>
          <w:bCs/>
          <w:noProof/>
          <w:lang w:val="et-EE"/>
        </w:rPr>
        <w:t xml:space="preserve"> eurot (40% varasemast sissetulekust). Kuna sektorist lahkunud töötajate töötuskindlustushüvitis on sageli samal tasemel või isegi kõrgem kui palk võimalikul uuel töökohal, ei kiirusta endised põlevkivisektori töötajad uue töö otsimisega</w:t>
      </w:r>
      <w:r w:rsidRPr="00FA1890">
        <w:rPr>
          <w:lang w:val="et-EE"/>
        </w:rPr>
        <w:t xml:space="preserve">. </w:t>
      </w:r>
      <w:r w:rsidR="00CA6938" w:rsidRPr="00FA1890">
        <w:rPr>
          <w:lang w:val="et-EE"/>
        </w:rPr>
        <w:t>2019. ja 2020. aastal töötuna registreeritud Ida-Virumaa põlevkivisektorist koondatud töötuskindlustushüvitise saajatest asus 100 päevaga tööle ligikaudu 11% ning aastaga ligikaudu 38%.</w:t>
      </w:r>
      <w:r w:rsidR="00CA6938" w:rsidRPr="00FA1890">
        <w:rPr>
          <w:bCs/>
          <w:noProof/>
          <w:lang w:val="et-EE"/>
        </w:rPr>
        <w:t xml:space="preserve"> </w:t>
      </w:r>
      <w:r w:rsidR="00CA6938" w:rsidRPr="00FA1890">
        <w:rPr>
          <w:lang w:val="et-EE"/>
        </w:rPr>
        <w:t>Seevastu muudest sektoritest koondatud töötuskindlustushüvitise saajatest asus sama ajaga tööle vastavalt 21% ja 60%.</w:t>
      </w:r>
      <w:r w:rsidR="00CA6938" w:rsidRPr="00FA1890">
        <w:rPr>
          <w:bCs/>
          <w:noProof/>
          <w:lang w:val="et-EE"/>
        </w:rPr>
        <w:t xml:space="preserve"> </w:t>
      </w:r>
      <w:r w:rsidR="00CA6938" w:rsidRPr="00FA1890">
        <w:rPr>
          <w:lang w:val="et-EE"/>
        </w:rPr>
        <w:t>Pikast tööstaažist tulenevalt on põlevkivisektorist koondatute hulgas ka rohkem 360-päevase töötuskindlustushüvitise saajaid kui muudest sektoritest koondatu</w:t>
      </w:r>
      <w:r w:rsidR="002B3BAE" w:rsidRPr="00FA1890">
        <w:rPr>
          <w:lang w:val="et-EE"/>
        </w:rPr>
        <w:t>te</w:t>
      </w:r>
      <w:r w:rsidR="00CA6938" w:rsidRPr="00FA1890">
        <w:rPr>
          <w:lang w:val="et-EE"/>
        </w:rPr>
        <w:t xml:space="preserve"> hulgas: vastavalt 72% ja 38%.</w:t>
      </w:r>
      <w:r w:rsidR="00CA6938" w:rsidRPr="00FA1890">
        <w:rPr>
          <w:bCs/>
          <w:noProof/>
          <w:lang w:val="et-EE"/>
        </w:rPr>
        <w:t xml:space="preserve"> Seega kujuneb sektorist töötuks jäänute töötus sageli pika</w:t>
      </w:r>
      <w:r w:rsidR="00B475E1" w:rsidRPr="00FA1890">
        <w:rPr>
          <w:bCs/>
          <w:noProof/>
          <w:lang w:val="et-EE"/>
        </w:rPr>
        <w:t>ajalise</w:t>
      </w:r>
      <w:r w:rsidR="00CA6938" w:rsidRPr="00FA1890">
        <w:rPr>
          <w:bCs/>
          <w:noProof/>
          <w:lang w:val="et-EE"/>
        </w:rPr>
        <w:t xml:space="preserve">ks. </w:t>
      </w:r>
      <w:r w:rsidRPr="00FA1890">
        <w:rPr>
          <w:bCs/>
          <w:noProof/>
          <w:lang w:val="et-EE"/>
        </w:rPr>
        <w:t xml:space="preserve">Samas, mida kauem inimene tööle asumisega viivitab, seda suurem on risk pikaajalise töötuse kujunemiseks. Samuti väheneb tööharjumus ja </w:t>
      </w:r>
      <w:r w:rsidR="00B475E1" w:rsidRPr="00FA1890">
        <w:rPr>
          <w:bCs/>
          <w:noProof/>
          <w:lang w:val="et-EE"/>
        </w:rPr>
        <w:t xml:space="preserve">langeb </w:t>
      </w:r>
      <w:r w:rsidRPr="00FA1890">
        <w:rPr>
          <w:bCs/>
          <w:noProof/>
          <w:lang w:val="et-EE"/>
        </w:rPr>
        <w:t>kvalifikatsioon</w:t>
      </w:r>
      <w:r w:rsidR="00B475E1" w:rsidRPr="00FA1890">
        <w:rPr>
          <w:bCs/>
          <w:noProof/>
          <w:lang w:val="et-EE"/>
        </w:rPr>
        <w:t>itase</w:t>
      </w:r>
      <w:r w:rsidRPr="00FA1890">
        <w:rPr>
          <w:bCs/>
          <w:noProof/>
          <w:lang w:val="et-EE"/>
        </w:rPr>
        <w:t xml:space="preserve"> ning </w:t>
      </w:r>
      <w:r w:rsidR="00B475E1" w:rsidRPr="00FA1890">
        <w:rPr>
          <w:bCs/>
          <w:noProof/>
          <w:lang w:val="et-EE"/>
        </w:rPr>
        <w:t>suureneb</w:t>
      </w:r>
      <w:r w:rsidRPr="00FA1890">
        <w:rPr>
          <w:bCs/>
          <w:noProof/>
          <w:lang w:val="et-EE"/>
        </w:rPr>
        <w:t xml:space="preserve"> sotsiaalsete ja sõltuvusprobleemide tekkimise risk.</w:t>
      </w:r>
    </w:p>
    <w:p w14:paraId="5BA4D75D" w14:textId="5DE6E153" w:rsidR="001B4E61" w:rsidRPr="00FA1890" w:rsidRDefault="001B4E61" w:rsidP="004034F3">
      <w:pPr>
        <w:jc w:val="both"/>
        <w:rPr>
          <w:bCs/>
          <w:noProof/>
          <w:lang w:val="et-EE"/>
        </w:rPr>
      </w:pPr>
    </w:p>
    <w:p w14:paraId="556B69A6" w14:textId="63D15E03" w:rsidR="007D784B" w:rsidRPr="00FA1890" w:rsidRDefault="00FA7A31" w:rsidP="004034F3">
      <w:pPr>
        <w:jc w:val="both"/>
        <w:rPr>
          <w:bCs/>
          <w:noProof/>
          <w:lang w:val="et-EE"/>
        </w:rPr>
      </w:pPr>
      <w:r w:rsidRPr="00FA1890">
        <w:rPr>
          <w:bCs/>
          <w:noProof/>
          <w:lang w:val="et-EE"/>
        </w:rPr>
        <w:t>Eeltoodud</w:t>
      </w:r>
      <w:r w:rsidR="001B4E61" w:rsidRPr="00FA1890">
        <w:rPr>
          <w:bCs/>
          <w:noProof/>
          <w:lang w:val="et-EE"/>
        </w:rPr>
        <w:t xml:space="preserve"> probleemide ennetamiseks rakendatakse tööle asumise toetust. </w:t>
      </w:r>
      <w:r w:rsidR="007D784B" w:rsidRPr="00FA1890">
        <w:rPr>
          <w:bCs/>
          <w:noProof/>
          <w:lang w:val="et-EE"/>
        </w:rPr>
        <w:t>Meetme sihtrühmaks on Ida-Viru maakonnas tegutsevatest põlevkivi tuumikettevõtetest peamiselt koondamise tõttu töötuks jäänud inimesed. Nende ettevõtete kõrge palgatase, sellega kaasnevad hüvitised ja muud soodustused (ettevõtete toetuskeemid, eripensionid) seavad nad kõrgendatud töötuse lõksu riski.</w:t>
      </w:r>
    </w:p>
    <w:p w14:paraId="5877E2F9" w14:textId="77777777" w:rsidR="007420CC" w:rsidRPr="00FA1890" w:rsidRDefault="007420CC" w:rsidP="004034F3">
      <w:pPr>
        <w:jc w:val="both"/>
        <w:rPr>
          <w:bCs/>
          <w:noProof/>
          <w:lang w:val="et-EE"/>
        </w:rPr>
      </w:pPr>
      <w:bookmarkStart w:id="4" w:name="_Hlk122622383"/>
    </w:p>
    <w:p w14:paraId="445B4E1D" w14:textId="7C953120" w:rsidR="00086E28" w:rsidRPr="00FA1890" w:rsidRDefault="007D784B" w:rsidP="004034F3">
      <w:pPr>
        <w:jc w:val="both"/>
        <w:rPr>
          <w:bCs/>
          <w:noProof/>
          <w:lang w:val="et-EE"/>
        </w:rPr>
      </w:pPr>
      <w:r w:rsidRPr="00FA1890">
        <w:rPr>
          <w:bCs/>
          <w:noProof/>
          <w:lang w:val="et-EE"/>
        </w:rPr>
        <w:t>Põlevkivisektori ettevõtted on ettevõtted, mis omavad kehtivat põlevkivi kaevandamise luba, või sellega samasse kontserni kuuluvad põlevkivi töötleva</w:t>
      </w:r>
      <w:r w:rsidR="00871976" w:rsidRPr="00FA1890">
        <w:rPr>
          <w:bCs/>
          <w:noProof/>
          <w:lang w:val="et-EE"/>
        </w:rPr>
        <w:t>d</w:t>
      </w:r>
      <w:r w:rsidRPr="00FA1890">
        <w:rPr>
          <w:bCs/>
          <w:noProof/>
          <w:lang w:val="et-EE"/>
        </w:rPr>
        <w:t xml:space="preserve"> või tootmisseadmete remondi ja hoolduse</w:t>
      </w:r>
      <w:r w:rsidR="00200F34" w:rsidRPr="00FA1890">
        <w:rPr>
          <w:bCs/>
          <w:noProof/>
          <w:lang w:val="et-EE"/>
        </w:rPr>
        <w:t xml:space="preserve"> </w:t>
      </w:r>
      <w:r w:rsidR="00200F34" w:rsidRPr="00FA1890">
        <w:rPr>
          <w:lang w:val="et-EE"/>
        </w:rPr>
        <w:t>või logistikaga</w:t>
      </w:r>
      <w:r w:rsidRPr="00FA1890">
        <w:rPr>
          <w:bCs/>
          <w:noProof/>
          <w:lang w:val="et-EE"/>
        </w:rPr>
        <w:t xml:space="preserve"> tegelevad ettevõtted</w:t>
      </w:r>
      <w:r w:rsidR="00E16896" w:rsidRPr="00FA1890">
        <w:rPr>
          <w:bCs/>
          <w:noProof/>
          <w:lang w:val="et-EE"/>
        </w:rPr>
        <w:t>.</w:t>
      </w:r>
      <w:r w:rsidRPr="00FA1890">
        <w:rPr>
          <w:bCs/>
          <w:noProof/>
          <w:lang w:val="et-EE"/>
        </w:rPr>
        <w:t xml:space="preserve"> </w:t>
      </w:r>
      <w:r w:rsidR="00086E28" w:rsidRPr="00FA1890">
        <w:rPr>
          <w:lang w:val="et-EE"/>
        </w:rPr>
        <w:t xml:space="preserve">Põlevkivi kaevandamise ja töötlemise tegevusalal tegutseb Ida-Virumaal kolm suurettevõtet: Eesti Energia AS, </w:t>
      </w:r>
      <w:r w:rsidR="00A755B0" w:rsidRPr="00FA1890">
        <w:rPr>
          <w:lang w:val="et-EE"/>
        </w:rPr>
        <w:t xml:space="preserve">Kirde Varad </w:t>
      </w:r>
      <w:r w:rsidR="00035E80" w:rsidRPr="00FA1890">
        <w:rPr>
          <w:lang w:val="et-EE"/>
        </w:rPr>
        <w:t xml:space="preserve">AS (endise nimega </w:t>
      </w:r>
      <w:r w:rsidR="00086E28" w:rsidRPr="00FA1890">
        <w:rPr>
          <w:lang w:val="et-EE"/>
        </w:rPr>
        <w:t>Viru Keemia Grupp AS</w:t>
      </w:r>
      <w:r w:rsidR="00035E80" w:rsidRPr="00FA1890">
        <w:rPr>
          <w:lang w:val="et-EE"/>
        </w:rPr>
        <w:t>)</w:t>
      </w:r>
      <w:r w:rsidR="007041D0" w:rsidRPr="00FA1890">
        <w:rPr>
          <w:lang w:val="et-EE"/>
        </w:rPr>
        <w:t xml:space="preserve"> ja</w:t>
      </w:r>
      <w:r w:rsidR="00086E28" w:rsidRPr="00FA1890">
        <w:rPr>
          <w:lang w:val="et-EE"/>
        </w:rPr>
        <w:t xml:space="preserve"> Kiviõli Keemiatööstuse OÜ. Põlevkivi kaevandamisega on otseselt seotud järgmised</w:t>
      </w:r>
      <w:r w:rsidR="00E16896" w:rsidRPr="00FA1890">
        <w:rPr>
          <w:lang w:val="et-EE"/>
        </w:rPr>
        <w:t xml:space="preserve"> nendega samasse</w:t>
      </w:r>
      <w:r w:rsidR="00086E28" w:rsidRPr="00FA1890">
        <w:rPr>
          <w:lang w:val="et-EE"/>
        </w:rPr>
        <w:t xml:space="preserve"> </w:t>
      </w:r>
      <w:r w:rsidR="00E16896" w:rsidRPr="00FA1890">
        <w:rPr>
          <w:lang w:val="et-EE"/>
        </w:rPr>
        <w:t>kontserni kuuluvad</w:t>
      </w:r>
      <w:r w:rsidR="00ED2E55" w:rsidRPr="00FA1890">
        <w:rPr>
          <w:lang w:val="et-EE"/>
        </w:rPr>
        <w:t xml:space="preserve"> ett</w:t>
      </w:r>
      <w:r w:rsidR="00302969" w:rsidRPr="00FA1890">
        <w:rPr>
          <w:lang w:val="et-EE"/>
        </w:rPr>
        <w:t>e</w:t>
      </w:r>
      <w:r w:rsidR="00ED2E55" w:rsidRPr="00FA1890">
        <w:rPr>
          <w:lang w:val="et-EE"/>
        </w:rPr>
        <w:t>võtted</w:t>
      </w:r>
      <w:r w:rsidR="00086E28" w:rsidRPr="00FA1890">
        <w:rPr>
          <w:lang w:val="et-EE"/>
        </w:rPr>
        <w:t xml:space="preserve">: </w:t>
      </w:r>
      <w:r w:rsidR="006B23D5" w:rsidRPr="00FA1890">
        <w:rPr>
          <w:lang w:val="et-EE"/>
        </w:rPr>
        <w:t xml:space="preserve">Enefit Power AS, Enefit Solutions AS, </w:t>
      </w:r>
      <w:r w:rsidR="00086E28" w:rsidRPr="00FA1890">
        <w:rPr>
          <w:lang w:val="et-EE"/>
        </w:rPr>
        <w:t xml:space="preserve">Osaühing VKG Kaevandused, VKG OIL AS, OÜ VIRU RMT, </w:t>
      </w:r>
      <w:r w:rsidR="00E16896" w:rsidRPr="00FA1890">
        <w:rPr>
          <w:lang w:val="et-EE"/>
        </w:rPr>
        <w:t>O</w:t>
      </w:r>
      <w:r w:rsidR="00DE59E5" w:rsidRPr="00FA1890">
        <w:rPr>
          <w:lang w:val="et-EE"/>
        </w:rPr>
        <w:t>saühing V</w:t>
      </w:r>
      <w:r w:rsidR="00E16896" w:rsidRPr="00FA1890">
        <w:rPr>
          <w:lang w:val="et-EE"/>
        </w:rPr>
        <w:t>KG E</w:t>
      </w:r>
      <w:r w:rsidR="00DE59E5" w:rsidRPr="00FA1890">
        <w:rPr>
          <w:lang w:val="et-EE"/>
        </w:rPr>
        <w:t>nergia</w:t>
      </w:r>
      <w:r w:rsidR="00713510" w:rsidRPr="00FA1890">
        <w:rPr>
          <w:lang w:val="et-EE"/>
        </w:rPr>
        <w:t xml:space="preserve"> ja VKG Logistika OÜ</w:t>
      </w:r>
      <w:r w:rsidR="00302969" w:rsidRPr="00FA1890">
        <w:rPr>
          <w:lang w:val="et-EE"/>
        </w:rPr>
        <w:t>.</w:t>
      </w:r>
    </w:p>
    <w:p w14:paraId="463483B7" w14:textId="77777777" w:rsidR="00086E28" w:rsidRPr="00FA1890" w:rsidRDefault="00086E28" w:rsidP="004034F3">
      <w:pPr>
        <w:jc w:val="both"/>
        <w:rPr>
          <w:bCs/>
          <w:noProof/>
          <w:lang w:val="et-EE"/>
        </w:rPr>
      </w:pPr>
    </w:p>
    <w:p w14:paraId="1B2F72B3" w14:textId="29B9D6BF" w:rsidR="007D784B" w:rsidRPr="00FA1890" w:rsidRDefault="00565A2A" w:rsidP="004034F3">
      <w:pPr>
        <w:jc w:val="both"/>
        <w:rPr>
          <w:bCs/>
          <w:noProof/>
          <w:lang w:val="et-EE"/>
        </w:rPr>
      </w:pPr>
      <w:r w:rsidRPr="00FA1890">
        <w:rPr>
          <w:bCs/>
          <w:noProof/>
          <w:lang w:val="et-EE"/>
        </w:rPr>
        <w:lastRenderedPageBreak/>
        <w:t xml:space="preserve">Sihtrühm on piiratud töötuskindlusushüvitise saajatega, et mitte hoogustada vabatahtlikku sektorist </w:t>
      </w:r>
      <w:r w:rsidR="00024708" w:rsidRPr="00FA1890">
        <w:rPr>
          <w:bCs/>
          <w:noProof/>
          <w:lang w:val="et-EE"/>
        </w:rPr>
        <w:t>välja</w:t>
      </w:r>
      <w:r w:rsidRPr="00FA1890">
        <w:rPr>
          <w:bCs/>
          <w:noProof/>
          <w:lang w:val="et-EE"/>
        </w:rPr>
        <w:t>liikumist, mis põhjustaks lisa</w:t>
      </w:r>
      <w:r w:rsidR="00024708" w:rsidRPr="00FA1890">
        <w:rPr>
          <w:bCs/>
          <w:noProof/>
          <w:lang w:val="et-EE"/>
        </w:rPr>
        <w:t>probleeme</w:t>
      </w:r>
      <w:r w:rsidRPr="00FA1890">
        <w:rPr>
          <w:bCs/>
          <w:noProof/>
          <w:lang w:val="et-EE"/>
        </w:rPr>
        <w:t xml:space="preserve"> tegutseva sektori </w:t>
      </w:r>
      <w:r w:rsidR="00024708" w:rsidRPr="00FA1890">
        <w:rPr>
          <w:bCs/>
          <w:noProof/>
          <w:lang w:val="et-EE"/>
        </w:rPr>
        <w:t>(</w:t>
      </w:r>
      <w:r w:rsidRPr="00FA1890">
        <w:rPr>
          <w:bCs/>
          <w:noProof/>
          <w:lang w:val="et-EE"/>
        </w:rPr>
        <w:t>mis endiselt töötajaid vajab ja värbab</w:t>
      </w:r>
      <w:r w:rsidR="00024708" w:rsidRPr="00FA1890">
        <w:rPr>
          <w:bCs/>
          <w:noProof/>
          <w:lang w:val="et-EE"/>
        </w:rPr>
        <w:t>)</w:t>
      </w:r>
      <w:r w:rsidRPr="00FA1890">
        <w:rPr>
          <w:bCs/>
          <w:noProof/>
          <w:lang w:val="et-EE"/>
        </w:rPr>
        <w:t xml:space="preserve"> tööandjatele. </w:t>
      </w:r>
      <w:r w:rsidR="00713510" w:rsidRPr="00FA1890">
        <w:rPr>
          <w:bCs/>
          <w:noProof/>
          <w:lang w:val="et-EE"/>
        </w:rPr>
        <w:t>I</w:t>
      </w:r>
      <w:r w:rsidR="00A637F4" w:rsidRPr="00FA1890">
        <w:rPr>
          <w:bCs/>
          <w:noProof/>
          <w:lang w:val="et-EE"/>
        </w:rPr>
        <w:t>nimene</w:t>
      </w:r>
      <w:r w:rsidR="00713510" w:rsidRPr="00FA1890">
        <w:rPr>
          <w:bCs/>
          <w:noProof/>
          <w:lang w:val="et-EE"/>
        </w:rPr>
        <w:t xml:space="preserve"> peab olema end teenusega tööle rakendumisele eelnevalt töötuna arvele võtnud </w:t>
      </w:r>
      <w:r w:rsidR="007041D0" w:rsidRPr="00FA1890">
        <w:rPr>
          <w:bCs/>
          <w:noProof/>
          <w:lang w:val="et-EE"/>
        </w:rPr>
        <w:t xml:space="preserve">ühes </w:t>
      </w:r>
      <w:r w:rsidR="00A637F4" w:rsidRPr="00FA1890">
        <w:rPr>
          <w:bCs/>
          <w:noProof/>
          <w:lang w:val="et-EE"/>
        </w:rPr>
        <w:t>Ida-Virumaa</w:t>
      </w:r>
      <w:r w:rsidR="00232829" w:rsidRPr="00FA1890">
        <w:rPr>
          <w:bCs/>
          <w:noProof/>
          <w:lang w:val="et-EE"/>
        </w:rPr>
        <w:t xml:space="preserve"> maakonna töötukassa esinduses</w:t>
      </w:r>
      <w:r w:rsidR="00713510" w:rsidRPr="00FA1890">
        <w:rPr>
          <w:bCs/>
          <w:noProof/>
          <w:lang w:val="et-EE"/>
        </w:rPr>
        <w:t>. Tavapärane on, et inimene võtab end arvele piirkonnas, millega ta on kõige enam seotud kas töö või elukoha kaudu</w:t>
      </w:r>
      <w:r w:rsidR="00C01C91">
        <w:rPr>
          <w:bCs/>
          <w:noProof/>
          <w:lang w:val="et-EE"/>
        </w:rPr>
        <w:t>, sest</w:t>
      </w:r>
      <w:r w:rsidR="00713510" w:rsidRPr="00FA1890">
        <w:rPr>
          <w:bCs/>
          <w:noProof/>
          <w:lang w:val="et-EE"/>
        </w:rPr>
        <w:t xml:space="preserve"> </w:t>
      </w:r>
      <w:r w:rsidR="00C01C91">
        <w:rPr>
          <w:bCs/>
          <w:noProof/>
          <w:lang w:val="et-EE"/>
        </w:rPr>
        <w:t>s</w:t>
      </w:r>
      <w:r w:rsidR="00713510" w:rsidRPr="00FA1890">
        <w:rPr>
          <w:bCs/>
          <w:noProof/>
          <w:lang w:val="et-EE"/>
        </w:rPr>
        <w:t>ee võimaldab tal kõige mugavamalt osaleda vajalikel teenustel. Samuti tunneb kohalik osakond kõige paremini kohalikku tööturgu ja tööandjaid, mis lihtsustab uue töö leidmist. Tingimus aitab luua sidet piirkonnaga, mille edendam</w:t>
      </w:r>
      <w:r w:rsidR="00D77327" w:rsidRPr="00FA1890">
        <w:rPr>
          <w:bCs/>
          <w:noProof/>
          <w:lang w:val="et-EE"/>
        </w:rPr>
        <w:t>i</w:t>
      </w:r>
      <w:r w:rsidR="00713510" w:rsidRPr="00FA1890">
        <w:rPr>
          <w:bCs/>
          <w:noProof/>
          <w:lang w:val="et-EE"/>
        </w:rPr>
        <w:t xml:space="preserve">seks meetme vahendid on </w:t>
      </w:r>
      <w:r w:rsidR="00D77327" w:rsidRPr="00FA1890">
        <w:rPr>
          <w:bCs/>
          <w:noProof/>
          <w:lang w:val="et-EE"/>
        </w:rPr>
        <w:t>mõeldud</w:t>
      </w:r>
      <w:r w:rsidR="00ED2851" w:rsidRPr="00FA1890">
        <w:rPr>
          <w:bCs/>
          <w:noProof/>
          <w:lang w:val="et-EE"/>
        </w:rPr>
        <w:t>.</w:t>
      </w:r>
    </w:p>
    <w:p w14:paraId="04CD49EC" w14:textId="77777777" w:rsidR="00232829" w:rsidRPr="00FA1890" w:rsidRDefault="00232829" w:rsidP="004034F3">
      <w:pPr>
        <w:jc w:val="both"/>
        <w:rPr>
          <w:bCs/>
          <w:noProof/>
          <w:lang w:val="et-EE"/>
        </w:rPr>
      </w:pPr>
    </w:p>
    <w:bookmarkEnd w:id="4"/>
    <w:p w14:paraId="78253050" w14:textId="7DC232DC" w:rsidR="007D784B" w:rsidRPr="00FA1890" w:rsidRDefault="007D784B" w:rsidP="004034F3">
      <w:pPr>
        <w:jc w:val="both"/>
        <w:rPr>
          <w:bCs/>
          <w:noProof/>
          <w:lang w:val="et-EE"/>
        </w:rPr>
      </w:pPr>
      <w:r w:rsidRPr="00FA1890">
        <w:rPr>
          <w:bCs/>
          <w:noProof/>
          <w:lang w:val="et-EE"/>
        </w:rPr>
        <w:t xml:space="preserve">Lähtudes toetuse eesmärgist – toetada kiiret liikumist uude valdkonda ja ennetada pikaajalise töötuse kujunemist </w:t>
      </w:r>
      <w:r w:rsidR="0047483A" w:rsidRPr="00FA1890">
        <w:rPr>
          <w:bCs/>
          <w:noProof/>
          <w:lang w:val="et-EE"/>
        </w:rPr>
        <w:t>–</w:t>
      </w:r>
      <w:r w:rsidRPr="00FA1890">
        <w:rPr>
          <w:bCs/>
          <w:noProof/>
          <w:lang w:val="et-EE"/>
        </w:rPr>
        <w:t xml:space="preserve"> on seatud tingimuseks, et toetust makstakse neile, kes on tulnud töötuna arvele </w:t>
      </w:r>
      <w:r w:rsidR="00A35729" w:rsidRPr="00FA1890">
        <w:rPr>
          <w:bCs/>
          <w:noProof/>
          <w:lang w:val="et-EE"/>
        </w:rPr>
        <w:t xml:space="preserve">60 </w:t>
      </w:r>
      <w:r w:rsidRPr="00FA1890">
        <w:rPr>
          <w:bCs/>
          <w:noProof/>
          <w:lang w:val="et-EE"/>
        </w:rPr>
        <w:t xml:space="preserve">päeva jooksul töösuhte lõpetamisest. Sama eesmärki täidab nõue liikuda tööle 100 päeva jooksul alates </w:t>
      </w:r>
      <w:r w:rsidR="0075271D" w:rsidRPr="00FA1890">
        <w:rPr>
          <w:bCs/>
          <w:noProof/>
          <w:lang w:val="et-EE"/>
        </w:rPr>
        <w:t xml:space="preserve">töötuskindlustuse seaduse § 6 alusel tehtud </w:t>
      </w:r>
      <w:r w:rsidRPr="00FA1890">
        <w:rPr>
          <w:bCs/>
          <w:noProof/>
          <w:lang w:val="et-EE"/>
        </w:rPr>
        <w:t xml:space="preserve">töötuskindlustushüvitise määramise otsuse päevast </w:t>
      </w:r>
      <w:r w:rsidR="005672A3" w:rsidRPr="00FA1890">
        <w:rPr>
          <w:bCs/>
          <w:noProof/>
          <w:lang w:val="et-EE"/>
        </w:rPr>
        <w:t>(</w:t>
      </w:r>
      <w:r w:rsidR="00BE7AAE" w:rsidRPr="00FA1890">
        <w:rPr>
          <w:bCs/>
          <w:noProof/>
          <w:lang w:val="et-EE"/>
        </w:rPr>
        <w:t>t</w:t>
      </w:r>
      <w:r w:rsidR="005672A3" w:rsidRPr="00FA1890">
        <w:rPr>
          <w:bCs/>
          <w:noProof/>
          <w:lang w:val="et-EE"/>
        </w:rPr>
        <w:t>öötukassa teeb töötuskindlustushüvitise määramise või määramata jätmise otsuse 14 kalendripäeva jooksul avalduse ja sellele lisatud dokumentide esitamise päevast arvates)</w:t>
      </w:r>
      <w:r w:rsidR="00BE7AAE" w:rsidRPr="00FA1890">
        <w:rPr>
          <w:bCs/>
          <w:noProof/>
          <w:lang w:val="et-EE"/>
        </w:rPr>
        <w:t>,</w:t>
      </w:r>
      <w:r w:rsidR="005672A3" w:rsidRPr="00FA1890">
        <w:rPr>
          <w:bCs/>
          <w:noProof/>
          <w:lang w:val="et-EE"/>
        </w:rPr>
        <w:t xml:space="preserve"> </w:t>
      </w:r>
      <w:r w:rsidRPr="00FA1890">
        <w:rPr>
          <w:bCs/>
          <w:noProof/>
          <w:lang w:val="et-EE"/>
        </w:rPr>
        <w:t>101. päevast väheneb töötuskindlustushüvitise asendusmäär (60%-lt 40%-ni varasemast sissetulekust), mis samuti toetab tööle asumise motivatsiooni. Nõue liikuda tööle 100</w:t>
      </w:r>
      <w:r w:rsidR="00BE075D" w:rsidRPr="00FA1890">
        <w:rPr>
          <w:bCs/>
          <w:noProof/>
          <w:lang w:val="et-EE"/>
        </w:rPr>
        <w:t> päeva</w:t>
      </w:r>
      <w:r w:rsidRPr="00FA1890">
        <w:rPr>
          <w:bCs/>
          <w:noProof/>
          <w:lang w:val="et-EE"/>
        </w:rPr>
        <w:t xml:space="preserve"> jooksul tuleneb asjaolust, et uue töö leidmine ja tööle asumine võtab teatud aja (ümberõpe, kandideerimine jmt).</w:t>
      </w:r>
    </w:p>
    <w:p w14:paraId="4C8E22D0" w14:textId="426C5248" w:rsidR="007D784B" w:rsidRPr="00FA1890" w:rsidRDefault="007D784B" w:rsidP="004034F3">
      <w:pPr>
        <w:jc w:val="both"/>
        <w:rPr>
          <w:bCs/>
          <w:noProof/>
          <w:lang w:val="et-EE"/>
        </w:rPr>
      </w:pPr>
    </w:p>
    <w:p w14:paraId="1FAA5592" w14:textId="4607E450" w:rsidR="003A288B" w:rsidRPr="00FA1890" w:rsidRDefault="003A288B" w:rsidP="004034F3">
      <w:pPr>
        <w:jc w:val="both"/>
        <w:rPr>
          <w:bCs/>
          <w:noProof/>
          <w:lang w:val="et-EE"/>
        </w:rPr>
      </w:pPr>
      <w:r w:rsidRPr="00FA1890">
        <w:rPr>
          <w:bCs/>
          <w:noProof/>
          <w:lang w:val="et-EE"/>
        </w:rPr>
        <w:t>T</w:t>
      </w:r>
      <w:r w:rsidR="00AD402C" w:rsidRPr="00FA1890">
        <w:rPr>
          <w:bCs/>
          <w:noProof/>
          <w:lang w:val="et-EE"/>
        </w:rPr>
        <w:t>oetuse saamise t</w:t>
      </w:r>
      <w:r w:rsidRPr="00FA1890">
        <w:rPr>
          <w:bCs/>
          <w:noProof/>
          <w:lang w:val="et-EE"/>
        </w:rPr>
        <w:t>ingimuseks on seatud töötamine viimase kolme aasta jooksul vähemalt kaks aastat põlevkivisektoris. Referentsperioodi sätestamine võimaldab suuremat paindlikkust juhtudeks, kus põlevkivisektori töötaja on vahepeal ajutiselt sektorist välja liikunud ja sinna seejärel tagasi tulnud. Arvesse läheb töötamine erinevates põlevkivisektori ettevõtetes. Kui</w:t>
      </w:r>
      <w:r w:rsidR="00024708" w:rsidRPr="00FA1890">
        <w:rPr>
          <w:bCs/>
          <w:noProof/>
          <w:lang w:val="et-EE"/>
        </w:rPr>
        <w:t xml:space="preserve"> aga</w:t>
      </w:r>
      <w:r w:rsidRPr="00FA1890">
        <w:rPr>
          <w:bCs/>
          <w:noProof/>
          <w:lang w:val="et-EE"/>
        </w:rPr>
        <w:t xml:space="preserve"> inimene töötas </w:t>
      </w:r>
      <w:r w:rsidR="00024708" w:rsidRPr="00FA1890">
        <w:rPr>
          <w:bCs/>
          <w:noProof/>
          <w:lang w:val="et-EE"/>
        </w:rPr>
        <w:t xml:space="preserve">samal ajal </w:t>
      </w:r>
      <w:r w:rsidRPr="00FA1890">
        <w:rPr>
          <w:bCs/>
          <w:noProof/>
          <w:lang w:val="et-EE"/>
        </w:rPr>
        <w:t>kahes või enamas põlevkiviettevõttes</w:t>
      </w:r>
      <w:r w:rsidR="00024708" w:rsidRPr="00FA1890">
        <w:rPr>
          <w:bCs/>
          <w:noProof/>
          <w:lang w:val="et-EE"/>
        </w:rPr>
        <w:t>,</w:t>
      </w:r>
      <w:r w:rsidRPr="00FA1890">
        <w:rPr>
          <w:bCs/>
          <w:noProof/>
          <w:lang w:val="et-EE"/>
        </w:rPr>
        <w:t xml:space="preserve"> siis töötamist mitmes ettevõttes kaheaastase töötamise tingimuse täitmise perioodi arvestamiseks</w:t>
      </w:r>
      <w:r w:rsidR="00024708" w:rsidRPr="00FA1890">
        <w:rPr>
          <w:bCs/>
          <w:noProof/>
          <w:lang w:val="et-EE"/>
        </w:rPr>
        <w:t xml:space="preserve"> ei summeerita</w:t>
      </w:r>
      <w:r w:rsidRPr="00FA1890">
        <w:rPr>
          <w:bCs/>
          <w:noProof/>
          <w:lang w:val="et-EE"/>
        </w:rPr>
        <w:t>. Näiteks, kui inimene töötas kolme aasta jooksul aasta ja kümme kuud ettevõttes X ning sama</w:t>
      </w:r>
      <w:r w:rsidR="00383E81" w:rsidRPr="00FA1890">
        <w:rPr>
          <w:bCs/>
          <w:noProof/>
          <w:lang w:val="et-EE"/>
        </w:rPr>
        <w:t xml:space="preserve"> perioodi sees </w:t>
      </w:r>
      <w:r w:rsidRPr="00FA1890">
        <w:rPr>
          <w:bCs/>
          <w:noProof/>
          <w:lang w:val="et-EE"/>
        </w:rPr>
        <w:t xml:space="preserve">ajutiselt ka kaks kuud ettevõttes Y, siis neid perioode ei liideta. Antud näite puhul läheb töötamise kestusena arvesse aasta ja kümme kuud, järelikult </w:t>
      </w:r>
      <w:r w:rsidR="00024708" w:rsidRPr="00FA1890">
        <w:rPr>
          <w:bCs/>
          <w:noProof/>
          <w:lang w:val="et-EE"/>
        </w:rPr>
        <w:t xml:space="preserve">ei ole </w:t>
      </w:r>
      <w:r w:rsidRPr="00FA1890">
        <w:rPr>
          <w:bCs/>
          <w:noProof/>
          <w:lang w:val="et-EE"/>
        </w:rPr>
        <w:t>töötamise kestus toetuse saamiseks piisav, kuna isik ei ole viimase kolme aasta jooksul vähemalt kaks aastat töötanud põlevkivisektoris. Tingimus on täidetud</w:t>
      </w:r>
      <w:r w:rsidR="00BE075D" w:rsidRPr="00FA1890">
        <w:rPr>
          <w:bCs/>
          <w:noProof/>
          <w:lang w:val="et-EE"/>
        </w:rPr>
        <w:t>,</w:t>
      </w:r>
      <w:r w:rsidRPr="00FA1890">
        <w:rPr>
          <w:bCs/>
          <w:noProof/>
          <w:lang w:val="et-EE"/>
        </w:rPr>
        <w:t xml:space="preserve"> kui inimene töötas kolme aasta jooksul aasta ja </w:t>
      </w:r>
      <w:r w:rsidR="00024708" w:rsidRPr="00FA1890">
        <w:rPr>
          <w:bCs/>
          <w:noProof/>
          <w:lang w:val="et-EE"/>
        </w:rPr>
        <w:t>kümme </w:t>
      </w:r>
      <w:r w:rsidRPr="00FA1890">
        <w:rPr>
          <w:bCs/>
          <w:noProof/>
          <w:lang w:val="et-EE"/>
        </w:rPr>
        <w:t xml:space="preserve">kuud ettevõttes X ning seejärel sama kolme-aastase perioodi sees kaks kuud ettevõttes Y. </w:t>
      </w:r>
      <w:r w:rsidR="007312C7" w:rsidRPr="00FA1890">
        <w:rPr>
          <w:bCs/>
          <w:noProof/>
          <w:lang w:val="et-EE"/>
        </w:rPr>
        <w:t>Töötamise aja arvutamisel lähtutakse tsiviilseadustiku üldosa seaduse § 136 lõigetes 2 ja 3 sätestatud aastase ja kuuajase tähtaja arvutamise põhimõttest. Nt kui inimene töötab vahemikus 15.06-15.08</w:t>
      </w:r>
      <w:r w:rsidR="007041D0" w:rsidRPr="00FA1890">
        <w:rPr>
          <w:bCs/>
          <w:noProof/>
          <w:lang w:val="et-EE"/>
        </w:rPr>
        <w:t xml:space="preserve">, siis </w:t>
      </w:r>
      <w:r w:rsidR="007312C7" w:rsidRPr="00FA1890">
        <w:rPr>
          <w:bCs/>
          <w:noProof/>
          <w:lang w:val="et-EE"/>
        </w:rPr>
        <w:t>on ta töötanud kaks kuud. Kui inimene töötab vahemikus 12.06-20.08</w:t>
      </w:r>
      <w:r w:rsidR="00395792">
        <w:rPr>
          <w:bCs/>
          <w:noProof/>
          <w:lang w:val="et-EE"/>
        </w:rPr>
        <w:t>,</w:t>
      </w:r>
      <w:r w:rsidR="007312C7" w:rsidRPr="00FA1890">
        <w:rPr>
          <w:bCs/>
          <w:noProof/>
          <w:lang w:val="et-EE"/>
        </w:rPr>
        <w:t xml:space="preserve"> on ta samuti töötanud kaks kuud, mitte kolm. </w:t>
      </w:r>
      <w:r w:rsidR="00395792">
        <w:rPr>
          <w:bCs/>
          <w:noProof/>
          <w:lang w:val="et-EE"/>
        </w:rPr>
        <w:t>Töölepingujärgset p</w:t>
      </w:r>
      <w:r w:rsidRPr="00FA1890">
        <w:rPr>
          <w:bCs/>
          <w:noProof/>
          <w:lang w:val="et-EE"/>
        </w:rPr>
        <w:t>uhkuse</w:t>
      </w:r>
      <w:r w:rsidR="00395792">
        <w:rPr>
          <w:bCs/>
          <w:noProof/>
          <w:lang w:val="et-EE"/>
        </w:rPr>
        <w:t>perioodi</w:t>
      </w:r>
      <w:r w:rsidRPr="00FA1890">
        <w:rPr>
          <w:bCs/>
          <w:noProof/>
          <w:lang w:val="et-EE"/>
        </w:rPr>
        <w:t xml:space="preserve"> arvestatakse töötamisena.</w:t>
      </w:r>
    </w:p>
    <w:p w14:paraId="2BEF5AE1" w14:textId="64A1979B" w:rsidR="003A288B" w:rsidRPr="00FA1890" w:rsidRDefault="003A288B" w:rsidP="004034F3">
      <w:pPr>
        <w:jc w:val="both"/>
        <w:rPr>
          <w:bCs/>
          <w:noProof/>
          <w:lang w:val="et-EE"/>
        </w:rPr>
      </w:pPr>
    </w:p>
    <w:p w14:paraId="092AC44D" w14:textId="2DCB6D88" w:rsidR="003A288B" w:rsidRPr="00FA1890" w:rsidRDefault="007D784B" w:rsidP="004034F3">
      <w:pPr>
        <w:jc w:val="both"/>
        <w:rPr>
          <w:bCs/>
          <w:noProof/>
          <w:lang w:val="et-EE"/>
        </w:rPr>
      </w:pPr>
      <w:r w:rsidRPr="00FA1890">
        <w:rPr>
          <w:bCs/>
          <w:lang w:val="et-EE"/>
        </w:rPr>
        <w:t>Toetuse maksmise kestus sõltub</w:t>
      </w:r>
      <w:r w:rsidRPr="00FA1890">
        <w:rPr>
          <w:bCs/>
          <w:noProof/>
          <w:lang w:val="et-EE"/>
        </w:rPr>
        <w:t xml:space="preserve"> inimese töötuskindlustusstaažist. Toetuse maksmise diferentseerimine võimaldab pikema staažiga töötajatel saada toetust pikema aja jooksul. Samuti võivad ühes sektoris pikka aega töötanud inimesed vajada pikemat aega kohanemisel ja ümberõppel. Töötukassa 2019.</w:t>
      </w:r>
      <w:r w:rsidR="0098254C" w:rsidRPr="00FA1890">
        <w:rPr>
          <w:bCs/>
          <w:noProof/>
          <w:lang w:val="et-EE"/>
        </w:rPr>
        <w:t>–2020. aasta</w:t>
      </w:r>
      <w:r w:rsidRPr="00FA1890">
        <w:rPr>
          <w:bCs/>
          <w:noProof/>
          <w:lang w:val="et-EE"/>
        </w:rPr>
        <w:t xml:space="preserve"> andmetel oleks pea kolmveerandil sihtrühmast (72%) õigus </w:t>
      </w:r>
      <w:r w:rsidR="0098254C" w:rsidRPr="00FA1890">
        <w:rPr>
          <w:bCs/>
          <w:noProof/>
          <w:lang w:val="et-EE"/>
        </w:rPr>
        <w:t xml:space="preserve">saada toetust </w:t>
      </w:r>
      <w:r w:rsidRPr="00FA1890">
        <w:rPr>
          <w:bCs/>
          <w:noProof/>
          <w:lang w:val="et-EE"/>
        </w:rPr>
        <w:t>12 kuu</w:t>
      </w:r>
      <w:r w:rsidR="0098254C" w:rsidRPr="00FA1890">
        <w:rPr>
          <w:bCs/>
          <w:noProof/>
          <w:lang w:val="et-EE"/>
        </w:rPr>
        <w:t>d,</w:t>
      </w:r>
      <w:r w:rsidRPr="00FA1890">
        <w:rPr>
          <w:bCs/>
          <w:noProof/>
          <w:lang w:val="et-EE"/>
        </w:rPr>
        <w:t xml:space="preserve"> 13%</w:t>
      </w:r>
      <w:r w:rsidR="00A4140A" w:rsidRPr="00FA1890">
        <w:rPr>
          <w:bCs/>
          <w:noProof/>
          <w:lang w:val="et-EE"/>
        </w:rPr>
        <w:t>-l</w:t>
      </w:r>
      <w:r w:rsidRPr="00FA1890">
        <w:rPr>
          <w:bCs/>
          <w:noProof/>
          <w:lang w:val="et-EE"/>
        </w:rPr>
        <w:t xml:space="preserve"> üheksa kuu</w:t>
      </w:r>
      <w:r w:rsidR="00A4140A" w:rsidRPr="00FA1890">
        <w:rPr>
          <w:bCs/>
          <w:noProof/>
          <w:lang w:val="et-EE"/>
        </w:rPr>
        <w:t>d</w:t>
      </w:r>
      <w:r w:rsidRPr="00FA1890">
        <w:rPr>
          <w:bCs/>
          <w:noProof/>
          <w:lang w:val="et-EE"/>
        </w:rPr>
        <w:t xml:space="preserve"> ja 15%</w:t>
      </w:r>
      <w:r w:rsidR="00A4140A" w:rsidRPr="00FA1890">
        <w:rPr>
          <w:bCs/>
          <w:noProof/>
          <w:lang w:val="et-EE"/>
        </w:rPr>
        <w:t>-l</w:t>
      </w:r>
      <w:r w:rsidRPr="00FA1890">
        <w:rPr>
          <w:bCs/>
          <w:noProof/>
          <w:lang w:val="et-EE"/>
        </w:rPr>
        <w:t xml:space="preserve"> kuu</w:t>
      </w:r>
      <w:r w:rsidR="00A4140A" w:rsidRPr="00FA1890">
        <w:rPr>
          <w:bCs/>
          <w:noProof/>
          <w:lang w:val="et-EE"/>
        </w:rPr>
        <w:t>s</w:t>
      </w:r>
      <w:r w:rsidRPr="00FA1890">
        <w:rPr>
          <w:bCs/>
          <w:noProof/>
          <w:lang w:val="et-EE"/>
        </w:rPr>
        <w:t xml:space="preserve"> kuu</w:t>
      </w:r>
      <w:r w:rsidR="00A4140A" w:rsidRPr="00FA1890">
        <w:rPr>
          <w:bCs/>
          <w:noProof/>
          <w:lang w:val="et-EE"/>
        </w:rPr>
        <w:t>d.</w:t>
      </w:r>
    </w:p>
    <w:p w14:paraId="53A4E2FF" w14:textId="77A53B08" w:rsidR="00104C0D" w:rsidRPr="00FA1890" w:rsidRDefault="00104C0D" w:rsidP="004034F3">
      <w:pPr>
        <w:jc w:val="both"/>
        <w:rPr>
          <w:bCs/>
          <w:noProof/>
          <w:lang w:val="et-EE"/>
        </w:rPr>
      </w:pPr>
    </w:p>
    <w:p w14:paraId="18D69F6A" w14:textId="1FDC4BAE" w:rsidR="00104C0D" w:rsidRPr="00FA1890" w:rsidRDefault="00E1133B" w:rsidP="004034F3">
      <w:pPr>
        <w:jc w:val="both"/>
        <w:rPr>
          <w:bCs/>
          <w:noProof/>
          <w:lang w:val="et-EE"/>
        </w:rPr>
      </w:pPr>
      <w:r w:rsidRPr="00FA1890">
        <w:rPr>
          <w:bCs/>
          <w:noProof/>
          <w:lang w:val="et-EE"/>
        </w:rPr>
        <w:t xml:space="preserve">Toetust makstakse </w:t>
      </w:r>
      <w:r w:rsidR="00D806CE" w:rsidRPr="00FA1890">
        <w:rPr>
          <w:bCs/>
          <w:noProof/>
          <w:lang w:val="et-EE"/>
        </w:rPr>
        <w:t>töötamise ajal</w:t>
      </w:r>
      <w:r w:rsidRPr="00FA1890">
        <w:rPr>
          <w:bCs/>
          <w:noProof/>
          <w:lang w:val="et-EE"/>
        </w:rPr>
        <w:t xml:space="preserve">, et motiveerida tööle asumist ja tasandada uues valdkonnas töötamise alguses vana ja uue töökoha palgavahet. </w:t>
      </w:r>
      <w:r w:rsidR="00395792">
        <w:rPr>
          <w:bCs/>
          <w:noProof/>
          <w:lang w:val="et-EE"/>
        </w:rPr>
        <w:t>P</w:t>
      </w:r>
      <w:r w:rsidR="00272E61" w:rsidRPr="00FA1890">
        <w:rPr>
          <w:bCs/>
          <w:noProof/>
          <w:lang w:val="et-EE"/>
        </w:rPr>
        <w:t>üsivasse hõivesse liikumis</w:t>
      </w:r>
      <w:r w:rsidR="00395792">
        <w:rPr>
          <w:bCs/>
          <w:noProof/>
          <w:lang w:val="et-EE"/>
        </w:rPr>
        <w:t>e toetamiseks</w:t>
      </w:r>
      <w:r w:rsidR="00272E61" w:rsidRPr="00FA1890">
        <w:rPr>
          <w:bCs/>
          <w:noProof/>
          <w:lang w:val="et-EE"/>
        </w:rPr>
        <w:t xml:space="preserve"> makstakse toetust juhul, kui inimene asub tööle töölepingu alusel või avalikku teenistusse ning teenistus- või töösuhte kestus on </w:t>
      </w:r>
      <w:r w:rsidR="00952281" w:rsidRPr="00FA1890">
        <w:rPr>
          <w:bCs/>
          <w:noProof/>
          <w:lang w:val="et-EE"/>
        </w:rPr>
        <w:t>tähtajatu</w:t>
      </w:r>
      <w:r w:rsidR="009F1976" w:rsidRPr="00FA1890">
        <w:rPr>
          <w:bCs/>
          <w:noProof/>
          <w:lang w:val="et-EE"/>
        </w:rPr>
        <w:t>.</w:t>
      </w:r>
      <w:r w:rsidR="00272E61" w:rsidRPr="00FA1890">
        <w:rPr>
          <w:bCs/>
          <w:noProof/>
          <w:lang w:val="et-EE"/>
        </w:rPr>
        <w:t xml:space="preserve"> </w:t>
      </w:r>
      <w:r w:rsidR="00E07D2C" w:rsidRPr="00FA1890">
        <w:rPr>
          <w:bCs/>
          <w:noProof/>
          <w:lang w:val="et-EE"/>
        </w:rPr>
        <w:t xml:space="preserve">Kui tööle asumise kuul jääb töö- või teenistussuhte kestus alla 14 kalendripäeva, </w:t>
      </w:r>
      <w:r w:rsidR="009F1976" w:rsidRPr="00FA1890">
        <w:rPr>
          <w:bCs/>
          <w:noProof/>
          <w:lang w:val="et-EE"/>
        </w:rPr>
        <w:t xml:space="preserve">siis </w:t>
      </w:r>
      <w:r w:rsidR="00E07D2C" w:rsidRPr="00FA1890">
        <w:rPr>
          <w:bCs/>
          <w:noProof/>
          <w:lang w:val="et-EE"/>
        </w:rPr>
        <w:t xml:space="preserve">selle kuu eest toetust ei maksta. Toetust hakatakse maksma järgmisest kuust. Sellega välditakse toetuse maksmist väga lühiajalise töötamise korral, kui </w:t>
      </w:r>
      <w:r w:rsidR="00773FE7" w:rsidRPr="00FA1890">
        <w:rPr>
          <w:bCs/>
          <w:noProof/>
          <w:lang w:val="et-EE"/>
        </w:rPr>
        <w:t xml:space="preserve">töö- või teenistussuhe järgmisel kuul mingil põhjusel ei jätku. </w:t>
      </w:r>
      <w:r w:rsidR="00E07D2C" w:rsidRPr="00FA1890">
        <w:rPr>
          <w:bCs/>
          <w:noProof/>
          <w:lang w:val="et-EE"/>
        </w:rPr>
        <w:t>Samuti, k</w:t>
      </w:r>
      <w:r w:rsidR="00E26AE1" w:rsidRPr="00FA1890">
        <w:rPr>
          <w:bCs/>
          <w:noProof/>
          <w:lang w:val="et-EE"/>
        </w:rPr>
        <w:t xml:space="preserve">ui töö- või teenistussuhte lõpeb enne </w:t>
      </w:r>
      <w:r w:rsidR="00E26AE1" w:rsidRPr="00FA1890">
        <w:rPr>
          <w:bCs/>
          <w:noProof/>
          <w:lang w:val="et-EE"/>
        </w:rPr>
        <w:lastRenderedPageBreak/>
        <w:t>toetuse perioodi</w:t>
      </w:r>
      <w:r w:rsidR="00BC69DB" w:rsidRPr="00FA1890">
        <w:rPr>
          <w:bCs/>
          <w:noProof/>
          <w:lang w:val="et-EE"/>
        </w:rPr>
        <w:t xml:space="preserve"> lõppu</w:t>
      </w:r>
      <w:r w:rsidR="00E26AE1" w:rsidRPr="00FA1890">
        <w:rPr>
          <w:bCs/>
          <w:noProof/>
          <w:lang w:val="et-EE"/>
        </w:rPr>
        <w:t>, makstakse viimasel kuul toetust juhul, kui töö- või teenistussuhte kestus nendes kuudes on vähemalt 14 kalendripäeva.</w:t>
      </w:r>
    </w:p>
    <w:p w14:paraId="1CF2D3F3" w14:textId="7EF8A776" w:rsidR="008C0C77" w:rsidRPr="00FA1890" w:rsidRDefault="008C0C77" w:rsidP="004034F3">
      <w:pPr>
        <w:jc w:val="both"/>
        <w:rPr>
          <w:bCs/>
          <w:noProof/>
          <w:lang w:val="et-EE"/>
        </w:rPr>
      </w:pPr>
    </w:p>
    <w:p w14:paraId="49F173C5" w14:textId="37E0F868" w:rsidR="00D806CE" w:rsidRPr="00FA1890" w:rsidRDefault="00D6635A" w:rsidP="004034F3">
      <w:pPr>
        <w:jc w:val="both"/>
        <w:rPr>
          <w:bCs/>
          <w:noProof/>
          <w:lang w:val="et-EE"/>
        </w:rPr>
      </w:pPr>
      <w:r w:rsidRPr="00FA1890">
        <w:rPr>
          <w:bCs/>
          <w:noProof/>
          <w:lang w:val="et-EE"/>
        </w:rPr>
        <w:t xml:space="preserve">Toetuse suuruseks ühes kalendrikuus on 30% isiku </w:t>
      </w:r>
      <w:r w:rsidR="003135D4" w:rsidRPr="00FA1890">
        <w:rPr>
          <w:bCs/>
          <w:noProof/>
          <w:lang w:val="et-EE"/>
        </w:rPr>
        <w:t>keskmisest ühe kuu töötasust</w:t>
      </w:r>
      <w:r w:rsidRPr="00FA1890">
        <w:rPr>
          <w:bCs/>
          <w:noProof/>
          <w:lang w:val="et-EE"/>
        </w:rPr>
        <w:t xml:space="preserve"> põlevkivisektoris, kuid </w:t>
      </w:r>
      <w:r w:rsidR="009F1976" w:rsidRPr="00FA1890">
        <w:rPr>
          <w:bCs/>
          <w:noProof/>
          <w:lang w:val="et-EE"/>
        </w:rPr>
        <w:t>kõige</w:t>
      </w:r>
      <w:r w:rsidRPr="00FA1890">
        <w:rPr>
          <w:bCs/>
          <w:noProof/>
          <w:lang w:val="et-EE"/>
        </w:rPr>
        <w:t xml:space="preserve"> rohkem 1000 eurot </w:t>
      </w:r>
      <w:r w:rsidR="003135D4" w:rsidRPr="00FA1890">
        <w:rPr>
          <w:bCs/>
          <w:noProof/>
          <w:lang w:val="et-EE"/>
        </w:rPr>
        <w:t xml:space="preserve">(bruto) </w:t>
      </w:r>
      <w:r w:rsidRPr="00FA1890">
        <w:rPr>
          <w:bCs/>
          <w:noProof/>
          <w:lang w:val="et-EE"/>
        </w:rPr>
        <w:t>kuus.</w:t>
      </w:r>
    </w:p>
    <w:p w14:paraId="409F49FC" w14:textId="77777777" w:rsidR="00D6635A" w:rsidRPr="00FA1890" w:rsidRDefault="00D6635A" w:rsidP="004034F3">
      <w:pPr>
        <w:jc w:val="both"/>
        <w:rPr>
          <w:bCs/>
          <w:noProof/>
          <w:lang w:val="et-EE"/>
        </w:rPr>
      </w:pPr>
    </w:p>
    <w:p w14:paraId="3C83CEBC" w14:textId="21ADA3E0" w:rsidR="008C0C77" w:rsidRPr="00FA1890" w:rsidRDefault="008C0C77" w:rsidP="004034F3">
      <w:pPr>
        <w:jc w:val="both"/>
        <w:rPr>
          <w:bCs/>
          <w:noProof/>
          <w:lang w:val="et-EE"/>
        </w:rPr>
      </w:pPr>
      <w:r w:rsidRPr="00FA1890">
        <w:rPr>
          <w:bCs/>
          <w:noProof/>
          <w:lang w:val="et-EE"/>
        </w:rPr>
        <w:t xml:space="preserve">Uue töökoha asukoht ei </w:t>
      </w:r>
      <w:r w:rsidR="00194FA7" w:rsidRPr="00FA1890">
        <w:rPr>
          <w:bCs/>
          <w:noProof/>
          <w:lang w:val="et-EE"/>
        </w:rPr>
        <w:t xml:space="preserve">ole piiratud, see võib asuda </w:t>
      </w:r>
      <w:r w:rsidRPr="00FA1890">
        <w:rPr>
          <w:bCs/>
          <w:noProof/>
          <w:lang w:val="et-EE"/>
        </w:rPr>
        <w:t>üle Eesti. See laiendab võimalike töökohtade ringi</w:t>
      </w:r>
      <w:r w:rsidR="006450D8" w:rsidRPr="00FA1890">
        <w:rPr>
          <w:bCs/>
          <w:noProof/>
          <w:lang w:val="et-EE"/>
        </w:rPr>
        <w:t xml:space="preserve"> ja suurendab sihtrühma kiire tööle naasmise võimalusi</w:t>
      </w:r>
      <w:r w:rsidR="00B414E9" w:rsidRPr="00FA1890">
        <w:rPr>
          <w:bCs/>
          <w:noProof/>
          <w:lang w:val="et-EE"/>
        </w:rPr>
        <w:t xml:space="preserve">. </w:t>
      </w:r>
      <w:r w:rsidR="00194FA7" w:rsidRPr="00FA1890">
        <w:rPr>
          <w:bCs/>
          <w:noProof/>
          <w:lang w:val="et-EE"/>
        </w:rPr>
        <w:t>Arvestades sektori töötajate profiili (keskmine vanus 43 aastat, vanemaealiste suur osakaal, vähene eesti keele oskus)</w:t>
      </w:r>
      <w:r w:rsidR="003F7DF6" w:rsidRPr="00FA1890">
        <w:rPr>
          <w:bCs/>
          <w:noProof/>
          <w:lang w:val="et-EE"/>
        </w:rPr>
        <w:t>,</w:t>
      </w:r>
      <w:r w:rsidR="00194FA7" w:rsidRPr="00FA1890">
        <w:rPr>
          <w:bCs/>
          <w:noProof/>
          <w:lang w:val="et-EE"/>
        </w:rPr>
        <w:t xml:space="preserve"> võib eeldada, et peamiselt asutakse tööle Ida-Virumaal.</w:t>
      </w:r>
    </w:p>
    <w:p w14:paraId="32FD5A73" w14:textId="3EA94A54" w:rsidR="008C0C77" w:rsidRPr="00FA1890" w:rsidRDefault="008C0C77" w:rsidP="004034F3">
      <w:pPr>
        <w:jc w:val="both"/>
        <w:rPr>
          <w:bCs/>
          <w:noProof/>
          <w:lang w:val="et-EE"/>
        </w:rPr>
      </w:pPr>
    </w:p>
    <w:p w14:paraId="7F95447D" w14:textId="56841443" w:rsidR="00AB60AA" w:rsidRPr="00FA1890" w:rsidRDefault="00AB60AA" w:rsidP="004034F3">
      <w:pPr>
        <w:jc w:val="both"/>
        <w:rPr>
          <w:bCs/>
          <w:noProof/>
          <w:lang w:val="et-EE"/>
        </w:rPr>
      </w:pPr>
      <w:r w:rsidRPr="00FA1890">
        <w:rPr>
          <w:bCs/>
          <w:noProof/>
          <w:lang w:val="et-EE"/>
        </w:rPr>
        <w:t>Toetust makstakse</w:t>
      </w:r>
      <w:r w:rsidR="006D7E70" w:rsidRPr="00FA1890">
        <w:rPr>
          <w:bCs/>
          <w:noProof/>
          <w:lang w:val="et-EE"/>
        </w:rPr>
        <w:t xml:space="preserve"> inimesele ühe</w:t>
      </w:r>
      <w:r w:rsidRPr="00FA1890">
        <w:rPr>
          <w:bCs/>
          <w:noProof/>
          <w:lang w:val="et-EE"/>
        </w:rPr>
        <w:t xml:space="preserve"> ülemineku t</w:t>
      </w:r>
      <w:r w:rsidR="006D7E70" w:rsidRPr="00FA1890">
        <w:rPr>
          <w:bCs/>
          <w:noProof/>
          <w:lang w:val="et-EE"/>
        </w:rPr>
        <w:t>oetamiseks. Ee</w:t>
      </w:r>
      <w:r w:rsidR="009F1976" w:rsidRPr="00FA1890">
        <w:rPr>
          <w:bCs/>
          <w:noProof/>
          <w:lang w:val="et-EE"/>
        </w:rPr>
        <w:t>l</w:t>
      </w:r>
      <w:r w:rsidR="006D7E70" w:rsidRPr="00FA1890">
        <w:rPr>
          <w:bCs/>
          <w:noProof/>
          <w:lang w:val="et-EE"/>
        </w:rPr>
        <w:t xml:space="preserve">duslikult </w:t>
      </w:r>
      <w:r w:rsidR="009F1976" w:rsidRPr="00FA1890">
        <w:rPr>
          <w:bCs/>
          <w:noProof/>
          <w:lang w:val="et-EE"/>
        </w:rPr>
        <w:t xml:space="preserve">põlevkivisektor </w:t>
      </w:r>
      <w:r w:rsidR="006D7E70" w:rsidRPr="00FA1890">
        <w:rPr>
          <w:bCs/>
          <w:noProof/>
          <w:lang w:val="et-EE"/>
        </w:rPr>
        <w:t xml:space="preserve">tegevuse rakendamise ajal töötajaid tööjõuvajaduse püsiva vähenemise tõttu tagasi ei värba. Kui peaks siiski tekkima olukord, kus varem </w:t>
      </w:r>
      <w:r w:rsidRPr="00FA1890">
        <w:rPr>
          <w:bCs/>
          <w:noProof/>
          <w:lang w:val="et-EE"/>
        </w:rPr>
        <w:t>tööle asumise toetusega</w:t>
      </w:r>
      <w:r w:rsidR="006D7E70" w:rsidRPr="00FA1890">
        <w:rPr>
          <w:bCs/>
          <w:noProof/>
          <w:lang w:val="et-EE"/>
        </w:rPr>
        <w:t xml:space="preserve"> mujal</w:t>
      </w:r>
      <w:r w:rsidRPr="00FA1890">
        <w:rPr>
          <w:bCs/>
          <w:noProof/>
          <w:lang w:val="et-EE"/>
        </w:rPr>
        <w:t xml:space="preserve"> t</w:t>
      </w:r>
      <w:r w:rsidR="006D7E70" w:rsidRPr="00FA1890">
        <w:rPr>
          <w:bCs/>
          <w:noProof/>
          <w:lang w:val="et-EE"/>
        </w:rPr>
        <w:t xml:space="preserve">öötanud inimene rakendub </w:t>
      </w:r>
      <w:r w:rsidRPr="00FA1890">
        <w:rPr>
          <w:bCs/>
          <w:noProof/>
          <w:lang w:val="et-EE"/>
        </w:rPr>
        <w:t>uuesti põlevkivisektorisse tööle</w:t>
      </w:r>
      <w:r w:rsidR="006D7E70" w:rsidRPr="00FA1890">
        <w:rPr>
          <w:bCs/>
          <w:noProof/>
          <w:lang w:val="et-EE"/>
        </w:rPr>
        <w:t xml:space="preserve"> ja soovib mõne aja pärast taas sektorist väljuda, vastatates kõigile tegevuse tingimustele, siis järgmist uut töökohta tööle asumise toetusega ei toetatata. Kuna inimesel on juba mujal töötamise kogemus, on üleminek talle selle võrra lihtsam.</w:t>
      </w:r>
    </w:p>
    <w:p w14:paraId="7AAC6837" w14:textId="77777777" w:rsidR="00AB60AA" w:rsidRPr="00FA1890" w:rsidRDefault="00AB60AA" w:rsidP="004034F3">
      <w:pPr>
        <w:jc w:val="both"/>
        <w:rPr>
          <w:bCs/>
          <w:noProof/>
          <w:lang w:val="et-EE"/>
        </w:rPr>
      </w:pPr>
    </w:p>
    <w:p w14:paraId="62CE54B8" w14:textId="17258D6B" w:rsidR="00C90629" w:rsidRPr="00FA1890" w:rsidRDefault="00C90629" w:rsidP="004034F3">
      <w:pPr>
        <w:jc w:val="both"/>
        <w:rPr>
          <w:bCs/>
          <w:noProof/>
          <w:lang w:val="et-EE"/>
        </w:rPr>
      </w:pPr>
      <w:r w:rsidRPr="00FA1890">
        <w:rPr>
          <w:bCs/>
          <w:noProof/>
          <w:lang w:val="et-EE"/>
        </w:rPr>
        <w:t>Tööle asumise toetus maksustatakse tulumaksuseaduse § 19 lõike 2 kohaselt tulumaksuga</w:t>
      </w:r>
      <w:r w:rsidR="00383E81" w:rsidRPr="00FA1890">
        <w:rPr>
          <w:bCs/>
          <w:noProof/>
          <w:lang w:val="et-EE"/>
        </w:rPr>
        <w:t>, mille tasub inimene</w:t>
      </w:r>
      <w:r w:rsidRPr="00FA1890">
        <w:rPr>
          <w:bCs/>
          <w:noProof/>
          <w:lang w:val="et-EE"/>
        </w:rPr>
        <w:t>.</w:t>
      </w:r>
    </w:p>
    <w:p w14:paraId="0F2AD0BF" w14:textId="7896F4FE" w:rsidR="0051555B" w:rsidRPr="00FA1890" w:rsidRDefault="0051555B" w:rsidP="004034F3">
      <w:pPr>
        <w:jc w:val="both"/>
        <w:rPr>
          <w:bCs/>
          <w:noProof/>
          <w:lang w:val="et-EE"/>
        </w:rPr>
      </w:pPr>
    </w:p>
    <w:p w14:paraId="660D22C1" w14:textId="4BF21EC8" w:rsidR="0051555B" w:rsidRPr="00FA1890" w:rsidRDefault="0051555B" w:rsidP="004034F3">
      <w:pPr>
        <w:jc w:val="both"/>
        <w:rPr>
          <w:b/>
          <w:noProof/>
          <w:lang w:val="et-EE"/>
        </w:rPr>
      </w:pPr>
      <w:bookmarkStart w:id="5" w:name="_Hlk82593301"/>
      <w:r w:rsidRPr="00FA1890">
        <w:rPr>
          <w:b/>
          <w:noProof/>
          <w:lang w:val="et-EE"/>
        </w:rPr>
        <w:t>2.2</w:t>
      </w:r>
      <w:r w:rsidR="00A43555" w:rsidRPr="00FA1890">
        <w:rPr>
          <w:b/>
          <w:noProof/>
          <w:lang w:val="et-EE"/>
        </w:rPr>
        <w:t>.</w:t>
      </w:r>
      <w:r w:rsidRPr="00FA1890">
        <w:rPr>
          <w:b/>
          <w:noProof/>
          <w:lang w:val="et-EE"/>
        </w:rPr>
        <w:t xml:space="preserve"> </w:t>
      </w:r>
      <w:r w:rsidR="000E5824" w:rsidRPr="00FA1890">
        <w:rPr>
          <w:b/>
          <w:noProof/>
          <w:lang w:val="et-EE"/>
        </w:rPr>
        <w:t xml:space="preserve">Oskuste arendamise </w:t>
      </w:r>
      <w:r w:rsidRPr="00FA1890">
        <w:rPr>
          <w:b/>
          <w:noProof/>
          <w:lang w:val="et-EE"/>
        </w:rPr>
        <w:t>toetamine</w:t>
      </w:r>
    </w:p>
    <w:bookmarkEnd w:id="5"/>
    <w:p w14:paraId="48E45466" w14:textId="77777777" w:rsidR="000E3B99" w:rsidRPr="00FA1890" w:rsidRDefault="000E3B99" w:rsidP="004034F3">
      <w:pPr>
        <w:jc w:val="both"/>
        <w:rPr>
          <w:bCs/>
          <w:noProof/>
          <w:lang w:val="et-EE"/>
        </w:rPr>
      </w:pPr>
    </w:p>
    <w:p w14:paraId="7A86A757" w14:textId="5C2AC330" w:rsidR="000E3B99" w:rsidRPr="00FA1890" w:rsidRDefault="000E3B99" w:rsidP="004034F3">
      <w:pPr>
        <w:jc w:val="both"/>
        <w:rPr>
          <w:bCs/>
          <w:noProof/>
          <w:lang w:val="et-EE"/>
        </w:rPr>
      </w:pPr>
      <w:r w:rsidRPr="00FA1890">
        <w:rPr>
          <w:bCs/>
          <w:noProof/>
          <w:lang w:val="et-EE"/>
        </w:rPr>
        <w:t>Rohe- ja digipöör</w:t>
      </w:r>
      <w:r w:rsidR="006B33CF" w:rsidRPr="00FA1890">
        <w:rPr>
          <w:bCs/>
          <w:noProof/>
          <w:lang w:val="et-EE"/>
        </w:rPr>
        <w:t>d</w:t>
      </w:r>
      <w:r w:rsidRPr="00FA1890">
        <w:rPr>
          <w:bCs/>
          <w:noProof/>
          <w:lang w:val="et-EE"/>
        </w:rPr>
        <w:t>e</w:t>
      </w:r>
      <w:r w:rsidR="006B33CF" w:rsidRPr="00FA1890">
        <w:rPr>
          <w:bCs/>
          <w:noProof/>
          <w:lang w:val="et-EE"/>
        </w:rPr>
        <w:t xml:space="preserve">le kaasaaitamine </w:t>
      </w:r>
      <w:r w:rsidR="002C2161" w:rsidRPr="00FA1890">
        <w:rPr>
          <w:bCs/>
          <w:noProof/>
          <w:lang w:val="et-EE"/>
        </w:rPr>
        <w:t>eelda</w:t>
      </w:r>
      <w:r w:rsidRPr="00FA1890">
        <w:rPr>
          <w:bCs/>
          <w:noProof/>
          <w:lang w:val="et-EE"/>
        </w:rPr>
        <w:t xml:space="preserve">b inimestelt täiend- või ümberõpet, et edukalt liikuda ühelt töökohalt </w:t>
      </w:r>
      <w:r w:rsidR="009F1976" w:rsidRPr="00FA1890">
        <w:rPr>
          <w:bCs/>
          <w:noProof/>
          <w:lang w:val="et-EE"/>
        </w:rPr>
        <w:t xml:space="preserve">teisele </w:t>
      </w:r>
      <w:r w:rsidRPr="00FA1890">
        <w:rPr>
          <w:bCs/>
          <w:noProof/>
          <w:lang w:val="et-EE"/>
        </w:rPr>
        <w:t xml:space="preserve">või </w:t>
      </w:r>
      <w:r w:rsidR="009F1976" w:rsidRPr="00FA1890">
        <w:rPr>
          <w:bCs/>
          <w:noProof/>
          <w:lang w:val="et-EE"/>
        </w:rPr>
        <w:t xml:space="preserve">ühest </w:t>
      </w:r>
      <w:r w:rsidRPr="00FA1890">
        <w:rPr>
          <w:bCs/>
          <w:noProof/>
          <w:lang w:val="et-EE"/>
        </w:rPr>
        <w:t xml:space="preserve">majandussektorist teise. Põlevkivisektori ettevõtetest </w:t>
      </w:r>
      <w:r w:rsidR="009F1976" w:rsidRPr="00FA1890">
        <w:rPr>
          <w:bCs/>
          <w:noProof/>
          <w:lang w:val="et-EE"/>
        </w:rPr>
        <w:t>lahkuvatel</w:t>
      </w:r>
      <w:r w:rsidR="00D82B8A" w:rsidRPr="00FA1890">
        <w:rPr>
          <w:bCs/>
          <w:noProof/>
          <w:lang w:val="et-EE"/>
        </w:rPr>
        <w:t xml:space="preserve">, seda plaanivatel või selle vajadusega silmitsi seisvatel </w:t>
      </w:r>
      <w:r w:rsidRPr="00FA1890">
        <w:rPr>
          <w:bCs/>
          <w:noProof/>
          <w:lang w:val="et-EE"/>
        </w:rPr>
        <w:t>inimestel</w:t>
      </w:r>
      <w:r w:rsidR="009F1976" w:rsidRPr="00FA1890">
        <w:rPr>
          <w:bCs/>
          <w:noProof/>
          <w:lang w:val="et-EE"/>
        </w:rPr>
        <w:t>, samuti</w:t>
      </w:r>
      <w:r w:rsidR="00D82B8A" w:rsidRPr="00FA1890">
        <w:rPr>
          <w:bCs/>
          <w:noProof/>
          <w:lang w:val="et-EE"/>
        </w:rPr>
        <w:t xml:space="preserve"> neil, kes jäävad tööle ümberprofileeruva</w:t>
      </w:r>
      <w:r w:rsidR="009F1976" w:rsidRPr="00FA1890">
        <w:rPr>
          <w:bCs/>
          <w:noProof/>
          <w:lang w:val="et-EE"/>
        </w:rPr>
        <w:t>sse</w:t>
      </w:r>
      <w:r w:rsidR="00D82B8A" w:rsidRPr="00FA1890">
        <w:rPr>
          <w:bCs/>
          <w:noProof/>
          <w:lang w:val="et-EE"/>
        </w:rPr>
        <w:t xml:space="preserve"> ettevõttesse, </w:t>
      </w:r>
      <w:r w:rsidRPr="00FA1890">
        <w:rPr>
          <w:bCs/>
          <w:noProof/>
          <w:lang w:val="et-EE"/>
        </w:rPr>
        <w:t>on vaja uuendada oma teadmisi</w:t>
      </w:r>
      <w:r w:rsidR="009F1976" w:rsidRPr="00FA1890">
        <w:rPr>
          <w:bCs/>
          <w:noProof/>
          <w:lang w:val="et-EE"/>
        </w:rPr>
        <w:t xml:space="preserve"> ja</w:t>
      </w:r>
      <w:r w:rsidRPr="00FA1890">
        <w:rPr>
          <w:bCs/>
          <w:noProof/>
          <w:lang w:val="et-EE"/>
        </w:rPr>
        <w:t xml:space="preserve"> oskusi</w:t>
      </w:r>
      <w:r w:rsidR="009F1976" w:rsidRPr="00FA1890">
        <w:rPr>
          <w:bCs/>
          <w:noProof/>
          <w:lang w:val="et-EE"/>
        </w:rPr>
        <w:t>, et täita</w:t>
      </w:r>
      <w:r w:rsidRPr="00FA1890">
        <w:rPr>
          <w:bCs/>
          <w:noProof/>
          <w:lang w:val="et-EE"/>
        </w:rPr>
        <w:t xml:space="preserve"> lõhet formaalhariduse</w:t>
      </w:r>
      <w:r w:rsidR="00D82B8A" w:rsidRPr="00FA1890">
        <w:rPr>
          <w:bCs/>
          <w:noProof/>
          <w:lang w:val="et-EE"/>
        </w:rPr>
        <w:t xml:space="preserve"> </w:t>
      </w:r>
      <w:r w:rsidR="009F1976" w:rsidRPr="00FA1890">
        <w:rPr>
          <w:bCs/>
          <w:noProof/>
          <w:lang w:val="et-EE"/>
        </w:rPr>
        <w:t>(</w:t>
      </w:r>
      <w:r w:rsidR="00D82B8A" w:rsidRPr="00FA1890">
        <w:rPr>
          <w:bCs/>
          <w:noProof/>
          <w:lang w:val="et-EE"/>
        </w:rPr>
        <w:t>mis võib olla vananenud</w:t>
      </w:r>
      <w:r w:rsidR="009F1976" w:rsidRPr="00FA1890">
        <w:rPr>
          <w:bCs/>
          <w:noProof/>
          <w:lang w:val="et-EE"/>
        </w:rPr>
        <w:t>)</w:t>
      </w:r>
      <w:r w:rsidRPr="00FA1890">
        <w:rPr>
          <w:bCs/>
          <w:noProof/>
          <w:lang w:val="et-EE"/>
        </w:rPr>
        <w:t xml:space="preserve"> ning kiiresti muutuvate teadmiste arendamise ja tööturu vajaduste vahel.</w:t>
      </w:r>
    </w:p>
    <w:p w14:paraId="448BF936" w14:textId="77777777" w:rsidR="000E3B99" w:rsidRPr="00FA1890" w:rsidRDefault="000E3B99" w:rsidP="004034F3">
      <w:pPr>
        <w:jc w:val="both"/>
        <w:rPr>
          <w:bCs/>
          <w:noProof/>
          <w:lang w:val="et-EE"/>
        </w:rPr>
      </w:pPr>
    </w:p>
    <w:p w14:paraId="608F1C93" w14:textId="076F750B" w:rsidR="0051555B" w:rsidRPr="00FA1890" w:rsidRDefault="00C26D45" w:rsidP="004034F3">
      <w:pPr>
        <w:jc w:val="both"/>
        <w:rPr>
          <w:bCs/>
          <w:noProof/>
          <w:lang w:val="et-EE"/>
        </w:rPr>
      </w:pPr>
      <w:r w:rsidRPr="00FA1890">
        <w:rPr>
          <w:bCs/>
          <w:noProof/>
          <w:lang w:val="et-EE"/>
        </w:rPr>
        <w:t>Põlevkivisektori ettevõtete</w:t>
      </w:r>
      <w:r w:rsidR="00D82B8A" w:rsidRPr="00FA1890">
        <w:rPr>
          <w:bCs/>
          <w:noProof/>
          <w:lang w:val="et-EE"/>
        </w:rPr>
        <w:t xml:space="preserve"> töötajate ja neis töö kaotanud inimeste</w:t>
      </w:r>
      <w:r w:rsidRPr="00FA1890">
        <w:rPr>
          <w:bCs/>
          <w:noProof/>
          <w:lang w:val="et-EE"/>
        </w:rPr>
        <w:t xml:space="preserve"> oskuste kaasajastamiseks ja piirkonna muutuva</w:t>
      </w:r>
      <w:r w:rsidR="009F1976" w:rsidRPr="00FA1890">
        <w:rPr>
          <w:bCs/>
          <w:noProof/>
          <w:lang w:val="et-EE"/>
        </w:rPr>
        <w:t>te</w:t>
      </w:r>
      <w:r w:rsidRPr="00FA1890">
        <w:rPr>
          <w:bCs/>
          <w:noProof/>
          <w:lang w:val="et-EE"/>
        </w:rPr>
        <w:t xml:space="preserve"> tööturuvajadustega </w:t>
      </w:r>
      <w:r w:rsidR="009F1976" w:rsidRPr="00FA1890">
        <w:rPr>
          <w:bCs/>
          <w:noProof/>
          <w:lang w:val="et-EE"/>
        </w:rPr>
        <w:t>kokku</w:t>
      </w:r>
      <w:r w:rsidRPr="00FA1890">
        <w:rPr>
          <w:bCs/>
          <w:noProof/>
          <w:lang w:val="et-EE"/>
        </w:rPr>
        <w:t xml:space="preserve">viimiseks rakendatakse tasemeõppes osalemise toetust </w:t>
      </w:r>
      <w:r w:rsidR="007420CC" w:rsidRPr="00FA1890">
        <w:rPr>
          <w:bCs/>
          <w:noProof/>
          <w:lang w:val="et-EE"/>
        </w:rPr>
        <w:t xml:space="preserve">soodsamatel </w:t>
      </w:r>
      <w:r w:rsidR="00A10F89" w:rsidRPr="00FA1890">
        <w:rPr>
          <w:bCs/>
          <w:noProof/>
          <w:lang w:val="et-EE"/>
        </w:rPr>
        <w:t>tingimu</w:t>
      </w:r>
      <w:r w:rsidR="00DF64A4" w:rsidRPr="00FA1890">
        <w:rPr>
          <w:bCs/>
          <w:noProof/>
          <w:lang w:val="et-EE"/>
        </w:rPr>
        <w:t>st</w:t>
      </w:r>
      <w:r w:rsidR="00A10F89" w:rsidRPr="00FA1890">
        <w:rPr>
          <w:bCs/>
          <w:noProof/>
          <w:lang w:val="et-EE"/>
        </w:rPr>
        <w:t xml:space="preserve">el kui teistele sihtrühmadele </w:t>
      </w:r>
      <w:r w:rsidR="009F1976" w:rsidRPr="00FA1890">
        <w:rPr>
          <w:bCs/>
          <w:noProof/>
          <w:lang w:val="et-EE"/>
        </w:rPr>
        <w:t>ning</w:t>
      </w:r>
      <w:r w:rsidRPr="00FA1890">
        <w:rPr>
          <w:bCs/>
          <w:noProof/>
          <w:lang w:val="et-EE"/>
        </w:rPr>
        <w:t xml:space="preserve"> </w:t>
      </w:r>
      <w:r w:rsidR="00A10F89" w:rsidRPr="00FA1890">
        <w:rPr>
          <w:bCs/>
          <w:noProof/>
          <w:lang w:val="et-EE"/>
        </w:rPr>
        <w:t xml:space="preserve">uue meetmena </w:t>
      </w:r>
      <w:r w:rsidR="009F1976" w:rsidRPr="00FA1890">
        <w:rPr>
          <w:bCs/>
          <w:noProof/>
          <w:lang w:val="et-EE"/>
        </w:rPr>
        <w:t xml:space="preserve">rakendatakse </w:t>
      </w:r>
      <w:r w:rsidRPr="00FA1890">
        <w:rPr>
          <w:bCs/>
          <w:noProof/>
          <w:lang w:val="et-EE"/>
        </w:rPr>
        <w:t>mikr</w:t>
      </w:r>
      <w:r w:rsidR="00D82B8A" w:rsidRPr="00FA1890">
        <w:rPr>
          <w:bCs/>
          <w:noProof/>
          <w:lang w:val="et-EE"/>
        </w:rPr>
        <w:t>o</w:t>
      </w:r>
      <w:r w:rsidRPr="00FA1890">
        <w:rPr>
          <w:bCs/>
          <w:noProof/>
          <w:lang w:val="et-EE"/>
        </w:rPr>
        <w:t xml:space="preserve">kvalifikatsiooni </w:t>
      </w:r>
      <w:r w:rsidR="000E5824" w:rsidRPr="00FA1890">
        <w:rPr>
          <w:bCs/>
          <w:noProof/>
          <w:lang w:val="et-EE"/>
        </w:rPr>
        <w:t>omandamise</w:t>
      </w:r>
      <w:r w:rsidRPr="00FA1890">
        <w:rPr>
          <w:bCs/>
          <w:noProof/>
          <w:lang w:val="et-EE"/>
        </w:rPr>
        <w:t xml:space="preserve"> toetust.</w:t>
      </w:r>
    </w:p>
    <w:p w14:paraId="42BAD979" w14:textId="1535D2F9" w:rsidR="00C26D45" w:rsidRPr="00FA1890" w:rsidRDefault="00C26D45" w:rsidP="004034F3">
      <w:pPr>
        <w:jc w:val="both"/>
        <w:rPr>
          <w:bCs/>
          <w:noProof/>
          <w:lang w:val="et-EE"/>
        </w:rPr>
      </w:pPr>
    </w:p>
    <w:p w14:paraId="4CEB5008" w14:textId="055F3CE2" w:rsidR="00C26D45" w:rsidRPr="00FA1890" w:rsidRDefault="00877E53" w:rsidP="004034F3">
      <w:pPr>
        <w:jc w:val="both"/>
        <w:rPr>
          <w:bCs/>
          <w:noProof/>
          <w:lang w:val="et-EE"/>
        </w:rPr>
      </w:pPr>
      <w:r w:rsidRPr="00FA1890">
        <w:rPr>
          <w:bCs/>
          <w:noProof/>
          <w:lang w:val="et-EE"/>
        </w:rPr>
        <w:t>Tegevuse</w:t>
      </w:r>
      <w:r w:rsidR="00C26D45" w:rsidRPr="00FA1890">
        <w:rPr>
          <w:bCs/>
          <w:noProof/>
          <w:lang w:val="et-EE"/>
        </w:rPr>
        <w:t xml:space="preserve"> sihtrühmaks on Ida-Viru maakonnas tegutsevatest põlevkivi</w:t>
      </w:r>
      <w:r w:rsidR="00BE075D" w:rsidRPr="00FA1890">
        <w:rPr>
          <w:bCs/>
          <w:noProof/>
          <w:lang w:val="et-EE"/>
        </w:rPr>
        <w:t>ettevõtetest</w:t>
      </w:r>
      <w:r w:rsidR="00C26D45" w:rsidRPr="00FA1890">
        <w:rPr>
          <w:bCs/>
          <w:noProof/>
          <w:lang w:val="et-EE"/>
        </w:rPr>
        <w:t xml:space="preserve"> töötuks jäänud</w:t>
      </w:r>
      <w:r w:rsidR="00A76172" w:rsidRPr="00FA1890">
        <w:rPr>
          <w:bCs/>
          <w:noProof/>
          <w:lang w:val="et-EE"/>
        </w:rPr>
        <w:t xml:space="preserve"> ja töötuna registreeritud</w:t>
      </w:r>
      <w:r w:rsidR="00C26D45" w:rsidRPr="00FA1890">
        <w:rPr>
          <w:bCs/>
          <w:noProof/>
          <w:lang w:val="et-EE"/>
        </w:rPr>
        <w:t xml:space="preserve"> inimesed</w:t>
      </w:r>
      <w:r w:rsidR="00ED53F5" w:rsidRPr="00FA1890">
        <w:rPr>
          <w:bCs/>
          <w:noProof/>
          <w:lang w:val="et-EE"/>
        </w:rPr>
        <w:t xml:space="preserve"> ning </w:t>
      </w:r>
      <w:r w:rsidR="00C26D45" w:rsidRPr="00FA1890">
        <w:rPr>
          <w:bCs/>
          <w:noProof/>
          <w:lang w:val="et-EE"/>
        </w:rPr>
        <w:t>nende ettevõtete töötajad</w:t>
      </w:r>
      <w:r w:rsidR="00777AD5" w:rsidRPr="00FA1890">
        <w:rPr>
          <w:bCs/>
          <w:noProof/>
          <w:lang w:val="et-EE"/>
        </w:rPr>
        <w:t xml:space="preserve">. </w:t>
      </w:r>
      <w:r w:rsidR="00ED53F5" w:rsidRPr="00FA1890">
        <w:rPr>
          <w:bCs/>
          <w:noProof/>
          <w:lang w:val="et-EE"/>
        </w:rPr>
        <w:t xml:space="preserve">Põlevkivisektori töötajaid </w:t>
      </w:r>
      <w:r w:rsidR="00777AD5" w:rsidRPr="00FA1890">
        <w:rPr>
          <w:bCs/>
          <w:noProof/>
          <w:lang w:val="et-EE"/>
        </w:rPr>
        <w:t xml:space="preserve">on </w:t>
      </w:r>
      <w:r w:rsidR="002978E7" w:rsidRPr="00FA1890">
        <w:rPr>
          <w:bCs/>
          <w:noProof/>
          <w:lang w:val="et-EE"/>
        </w:rPr>
        <w:t>üleminekust kõige otsesemalt mõjutatud</w:t>
      </w:r>
      <w:r w:rsidR="00777AD5" w:rsidRPr="00FA1890">
        <w:rPr>
          <w:bCs/>
          <w:noProof/>
          <w:lang w:val="et-EE"/>
        </w:rPr>
        <w:t xml:space="preserve"> ja vaja</w:t>
      </w:r>
      <w:r w:rsidR="00ED53F5" w:rsidRPr="00FA1890">
        <w:rPr>
          <w:bCs/>
          <w:noProof/>
          <w:lang w:val="et-EE"/>
        </w:rPr>
        <w:t>vad</w:t>
      </w:r>
      <w:r w:rsidR="00777AD5" w:rsidRPr="00FA1890">
        <w:rPr>
          <w:bCs/>
          <w:noProof/>
          <w:lang w:val="et-EE"/>
        </w:rPr>
        <w:t xml:space="preserve"> täiendavat tuge. </w:t>
      </w:r>
      <w:r w:rsidR="009F1976" w:rsidRPr="00FA1890">
        <w:rPr>
          <w:bCs/>
          <w:noProof/>
          <w:lang w:val="et-EE"/>
        </w:rPr>
        <w:t xml:space="preserve"> Põlevkivisektoris</w:t>
      </w:r>
      <w:r w:rsidR="00ED53F5" w:rsidRPr="00FA1890">
        <w:rPr>
          <w:bCs/>
          <w:noProof/>
          <w:lang w:val="et-EE"/>
        </w:rPr>
        <w:t xml:space="preserve"> töö kaotanud inimesed vajavad muus valdkonnas töö leidmiseks täiend</w:t>
      </w:r>
      <w:r w:rsidR="003200BE" w:rsidRPr="00FA1890">
        <w:rPr>
          <w:bCs/>
          <w:noProof/>
          <w:lang w:val="et-EE"/>
        </w:rPr>
        <w:t>-</w:t>
      </w:r>
      <w:r w:rsidR="00ED53F5" w:rsidRPr="00FA1890">
        <w:rPr>
          <w:bCs/>
          <w:noProof/>
          <w:lang w:val="et-EE"/>
        </w:rPr>
        <w:t xml:space="preserve"> ja ümberõpet. Võimalus juba enne põlevkivisektoris töö kaotamist õppima asuda kiirendab üleminekut.</w:t>
      </w:r>
    </w:p>
    <w:p w14:paraId="15789BED" w14:textId="79BF41FC" w:rsidR="008123F6" w:rsidRPr="00FA1890" w:rsidRDefault="008123F6" w:rsidP="004034F3">
      <w:pPr>
        <w:jc w:val="both"/>
        <w:rPr>
          <w:rFonts w:eastAsia="Calibri"/>
          <w:lang w:val="et-EE" w:eastAsia="et-EE"/>
        </w:rPr>
      </w:pPr>
    </w:p>
    <w:p w14:paraId="0460E615" w14:textId="59E9D094" w:rsidR="00F70346" w:rsidRPr="00FA1890" w:rsidRDefault="008123F6" w:rsidP="004034F3">
      <w:pPr>
        <w:jc w:val="both"/>
        <w:rPr>
          <w:rFonts w:eastAsia="Calibri"/>
          <w:lang w:val="et-EE" w:eastAsia="et-EE"/>
        </w:rPr>
      </w:pPr>
      <w:bookmarkStart w:id="6" w:name="_Hlk131005127"/>
      <w:bookmarkStart w:id="7" w:name="_Hlk98420780"/>
      <w:r w:rsidRPr="00FA1890">
        <w:rPr>
          <w:rFonts w:eastAsia="Calibri"/>
          <w:b/>
          <w:bCs/>
          <w:lang w:val="et-EE" w:eastAsia="et-EE"/>
        </w:rPr>
        <w:t>Tasemeõppes osalemise toetus</w:t>
      </w:r>
      <w:bookmarkEnd w:id="6"/>
      <w:r w:rsidRPr="00FA1890">
        <w:rPr>
          <w:rFonts w:eastAsia="Calibri"/>
          <w:b/>
          <w:bCs/>
          <w:lang w:val="et-EE" w:eastAsia="et-EE"/>
        </w:rPr>
        <w:t>e</w:t>
      </w:r>
      <w:r w:rsidRPr="00FA1890">
        <w:rPr>
          <w:rFonts w:eastAsia="Calibri"/>
          <w:lang w:val="et-EE" w:eastAsia="et-EE"/>
        </w:rPr>
        <w:t xml:space="preserve"> eesmärk on toetada põlevkivisektori töötajate või selles sektoris töö kaotanud </w:t>
      </w:r>
      <w:r w:rsidR="007041D0" w:rsidRPr="00FA1890">
        <w:rPr>
          <w:rFonts w:eastAsia="Calibri"/>
          <w:lang w:val="et-EE" w:eastAsia="et-EE"/>
        </w:rPr>
        <w:t>inimeste</w:t>
      </w:r>
      <w:r w:rsidRPr="00FA1890">
        <w:rPr>
          <w:rFonts w:eastAsia="Calibri"/>
          <w:lang w:val="et-EE" w:eastAsia="et-EE"/>
        </w:rPr>
        <w:t xml:space="preserve"> kutsehariduse või kõrghariduse omandamist.</w:t>
      </w:r>
    </w:p>
    <w:p w14:paraId="0D172EDA" w14:textId="77777777" w:rsidR="00A016A7" w:rsidRPr="00FA1890" w:rsidRDefault="00A016A7" w:rsidP="004034F3">
      <w:pPr>
        <w:jc w:val="both"/>
        <w:rPr>
          <w:rFonts w:eastAsia="Calibri"/>
          <w:lang w:val="et-EE" w:eastAsia="et-EE"/>
        </w:rPr>
      </w:pPr>
    </w:p>
    <w:p w14:paraId="7F451731" w14:textId="7AC38E00" w:rsidR="00507E0C" w:rsidRPr="00FA1890" w:rsidRDefault="00F70346" w:rsidP="004034F3">
      <w:pPr>
        <w:jc w:val="both"/>
        <w:rPr>
          <w:bCs/>
          <w:noProof/>
          <w:lang w:val="et-EE"/>
        </w:rPr>
      </w:pPr>
      <w:r w:rsidRPr="00FA1890">
        <w:rPr>
          <w:bCs/>
          <w:noProof/>
          <w:lang w:val="et-EE"/>
        </w:rPr>
        <w:t xml:space="preserve">Toetust makstakse kutsehariduse, rakenduskõrghariduse või bakalaureuseõppe õppekavadel kõrghariduse omandamiseks, kui </w:t>
      </w:r>
      <w:r w:rsidR="007041D0" w:rsidRPr="00FA1890">
        <w:rPr>
          <w:bCs/>
          <w:noProof/>
          <w:lang w:val="et-EE"/>
        </w:rPr>
        <w:t>inimene</w:t>
      </w:r>
      <w:r w:rsidRPr="00FA1890">
        <w:rPr>
          <w:bCs/>
          <w:noProof/>
          <w:lang w:val="et-EE"/>
        </w:rPr>
        <w:t xml:space="preserve"> asub õppima õppekohale, mida rahastatakse riikliku koolitustellimuse alusel, riigi tegevustoetusest või Õ</w:t>
      </w:r>
      <w:r w:rsidR="00ED53F5" w:rsidRPr="00FA1890">
        <w:rPr>
          <w:bCs/>
          <w:noProof/>
          <w:lang w:val="et-EE"/>
        </w:rPr>
        <w:t>ÜFist</w:t>
      </w:r>
      <w:r w:rsidRPr="00FA1890">
        <w:rPr>
          <w:bCs/>
          <w:noProof/>
          <w:lang w:val="et-EE"/>
        </w:rPr>
        <w:t>.</w:t>
      </w:r>
      <w:r w:rsidR="003D756F" w:rsidRPr="00FA1890">
        <w:rPr>
          <w:rFonts w:eastAsia="Calibri"/>
          <w:lang w:val="et-EE" w:eastAsia="et-EE"/>
        </w:rPr>
        <w:t xml:space="preserve"> </w:t>
      </w:r>
      <w:bookmarkStart w:id="8" w:name="_Hlk116639192"/>
      <w:bookmarkEnd w:id="7"/>
      <w:r w:rsidR="00ED53F5" w:rsidRPr="00FA1890">
        <w:rPr>
          <w:bCs/>
          <w:noProof/>
          <w:lang w:val="et-EE"/>
        </w:rPr>
        <w:t>ÕÜFi</w:t>
      </w:r>
      <w:r w:rsidR="00C446C2" w:rsidRPr="00FA1890">
        <w:rPr>
          <w:bCs/>
          <w:noProof/>
          <w:lang w:val="et-EE"/>
        </w:rPr>
        <w:t>st rahastatavate</w:t>
      </w:r>
      <w:r w:rsidR="00931DAC" w:rsidRPr="00FA1890">
        <w:rPr>
          <w:bCs/>
          <w:noProof/>
          <w:lang w:val="et-EE"/>
        </w:rPr>
        <w:t xml:space="preserve"> õppekavad</w:t>
      </w:r>
      <w:r w:rsidR="00ED53F5" w:rsidRPr="00FA1890">
        <w:rPr>
          <w:bCs/>
          <w:noProof/>
          <w:lang w:val="et-EE"/>
        </w:rPr>
        <w:t>e</w:t>
      </w:r>
      <w:r w:rsidR="00931DAC" w:rsidRPr="00FA1890">
        <w:rPr>
          <w:bCs/>
          <w:noProof/>
          <w:lang w:val="et-EE"/>
        </w:rPr>
        <w:t xml:space="preserve"> ja mikrokvalifikatsiooni</w:t>
      </w:r>
      <w:r w:rsidR="004756D6" w:rsidRPr="00FA1890">
        <w:rPr>
          <w:bCs/>
          <w:noProof/>
          <w:lang w:val="et-EE"/>
        </w:rPr>
        <w:t xml:space="preserve"> </w:t>
      </w:r>
      <w:r w:rsidR="00C446C2" w:rsidRPr="00FA1890">
        <w:rPr>
          <w:bCs/>
          <w:noProof/>
          <w:lang w:val="et-EE"/>
        </w:rPr>
        <w:t xml:space="preserve">omandamise </w:t>
      </w:r>
      <w:r w:rsidR="004756D6" w:rsidRPr="00FA1890">
        <w:rPr>
          <w:bCs/>
          <w:noProof/>
          <w:lang w:val="et-EE"/>
        </w:rPr>
        <w:t>õppekava</w:t>
      </w:r>
      <w:r w:rsidR="00931DAC" w:rsidRPr="00FA1890">
        <w:rPr>
          <w:bCs/>
          <w:noProof/>
          <w:lang w:val="et-EE"/>
        </w:rPr>
        <w:t>de väljatöötami</w:t>
      </w:r>
      <w:r w:rsidRPr="00FA1890">
        <w:rPr>
          <w:bCs/>
          <w:noProof/>
          <w:lang w:val="et-EE"/>
        </w:rPr>
        <w:t>s</w:t>
      </w:r>
      <w:r w:rsidR="00931DAC" w:rsidRPr="00FA1890">
        <w:rPr>
          <w:bCs/>
          <w:noProof/>
          <w:lang w:val="et-EE"/>
        </w:rPr>
        <w:t>se</w:t>
      </w:r>
      <w:r w:rsidRPr="00FA1890">
        <w:rPr>
          <w:bCs/>
          <w:noProof/>
          <w:lang w:val="et-EE"/>
        </w:rPr>
        <w:t xml:space="preserve"> panustavad </w:t>
      </w:r>
      <w:bookmarkEnd w:id="8"/>
      <w:r w:rsidR="00B05896" w:rsidRPr="00FA1890">
        <w:rPr>
          <w:bCs/>
          <w:noProof/>
          <w:lang w:val="et-EE"/>
        </w:rPr>
        <w:t>„</w:t>
      </w:r>
      <w:r w:rsidR="00ED53F5" w:rsidRPr="00FA1890">
        <w:rPr>
          <w:bCs/>
          <w:noProof/>
          <w:lang w:val="et-EE"/>
        </w:rPr>
        <w:t>Teadus- ja arendustegevuse, innovatsiooni ning ettevõtluse (TAIE) arengukava 2021–2035</w:t>
      </w:r>
      <w:r w:rsidR="00B05896" w:rsidRPr="00FA1890">
        <w:rPr>
          <w:bCs/>
          <w:noProof/>
          <w:lang w:val="et-EE"/>
        </w:rPr>
        <w:t>“</w:t>
      </w:r>
      <w:r w:rsidR="00931DAC" w:rsidRPr="00FA1890">
        <w:rPr>
          <w:bCs/>
          <w:noProof/>
          <w:lang w:val="et-EE"/>
        </w:rPr>
        <w:t xml:space="preserve"> fookusvaldkondade konsortsiumid</w:t>
      </w:r>
      <w:r w:rsidRPr="00FA1890">
        <w:rPr>
          <w:bCs/>
          <w:noProof/>
          <w:lang w:val="et-EE"/>
        </w:rPr>
        <w:t xml:space="preserve">, kes jälgivad, et </w:t>
      </w:r>
      <w:r w:rsidR="00931DAC" w:rsidRPr="00FA1890">
        <w:rPr>
          <w:bCs/>
          <w:noProof/>
          <w:lang w:val="et-EE"/>
        </w:rPr>
        <w:t>kavandatav tasemeõpe</w:t>
      </w:r>
      <w:r w:rsidR="00B05896" w:rsidRPr="00FA1890">
        <w:rPr>
          <w:bCs/>
          <w:noProof/>
          <w:lang w:val="et-EE"/>
        </w:rPr>
        <w:t xml:space="preserve"> </w:t>
      </w:r>
      <w:r w:rsidR="00A4386E" w:rsidRPr="00FA1890">
        <w:rPr>
          <w:bCs/>
          <w:noProof/>
          <w:lang w:val="et-EE"/>
        </w:rPr>
        <w:t xml:space="preserve">ning </w:t>
      </w:r>
      <w:r w:rsidR="00931DAC" w:rsidRPr="00FA1890">
        <w:rPr>
          <w:bCs/>
          <w:noProof/>
          <w:lang w:val="et-EE"/>
        </w:rPr>
        <w:lastRenderedPageBreak/>
        <w:t>mikrokvalifikatsiooniõpe moodusta</w:t>
      </w:r>
      <w:r w:rsidRPr="00FA1890">
        <w:rPr>
          <w:bCs/>
          <w:noProof/>
          <w:lang w:val="et-EE"/>
        </w:rPr>
        <w:t>vad</w:t>
      </w:r>
      <w:r w:rsidR="00931DAC" w:rsidRPr="00FA1890">
        <w:rPr>
          <w:bCs/>
          <w:noProof/>
          <w:lang w:val="et-EE"/>
        </w:rPr>
        <w:t xml:space="preserve"> ühtse terviku teadus- ja arendustegevusega. Õppekavade lõpliku valiku</w:t>
      </w:r>
      <w:r w:rsidRPr="00FA1890">
        <w:rPr>
          <w:bCs/>
          <w:noProof/>
          <w:lang w:val="et-EE"/>
        </w:rPr>
        <w:t xml:space="preserve"> teeb</w:t>
      </w:r>
      <w:r w:rsidR="00931DAC" w:rsidRPr="00FA1890">
        <w:rPr>
          <w:bCs/>
          <w:noProof/>
          <w:lang w:val="et-EE"/>
        </w:rPr>
        <w:t xml:space="preserve"> </w:t>
      </w:r>
      <w:r w:rsidR="009F5901" w:rsidRPr="00FA1890">
        <w:rPr>
          <w:bCs/>
          <w:noProof/>
          <w:lang w:val="et-EE"/>
        </w:rPr>
        <w:t>Ida-Virumaa õiglase ülemineku tegevus</w:t>
      </w:r>
      <w:r w:rsidR="00B05896" w:rsidRPr="00FA1890">
        <w:rPr>
          <w:bCs/>
          <w:noProof/>
          <w:lang w:val="et-EE"/>
        </w:rPr>
        <w:t>e</w:t>
      </w:r>
      <w:r w:rsidR="009F5901" w:rsidRPr="00FA1890">
        <w:rPr>
          <w:bCs/>
          <w:noProof/>
          <w:lang w:val="et-EE"/>
        </w:rPr>
        <w:t xml:space="preserve"> „Täiendkoolituse mahu suurendamine ning uute tasemeõppe õppekavade arendamine ja käivitamine kutse- ja kõrghariduses“ juhtkomisjon</w:t>
      </w:r>
      <w:r w:rsidR="009F5901" w:rsidRPr="00FA1890">
        <w:rPr>
          <w:rStyle w:val="Allmrkuseviide"/>
          <w:bCs/>
          <w:noProof/>
          <w:lang w:val="et-EE"/>
        </w:rPr>
        <w:footnoteReference w:id="5"/>
      </w:r>
      <w:r w:rsidR="00931DAC" w:rsidRPr="00FA1890">
        <w:rPr>
          <w:bCs/>
          <w:noProof/>
          <w:lang w:val="et-EE"/>
        </w:rPr>
        <w:t xml:space="preserve">, kuhu kuuluvad nii tööandjate esindajad kui ka Ida-Virumaa piirkonna </w:t>
      </w:r>
      <w:r w:rsidR="00B05896" w:rsidRPr="00FA1890">
        <w:rPr>
          <w:bCs/>
          <w:noProof/>
          <w:lang w:val="et-EE"/>
        </w:rPr>
        <w:t>katus</w:t>
      </w:r>
      <w:r w:rsidR="00931DAC" w:rsidRPr="00FA1890">
        <w:rPr>
          <w:bCs/>
          <w:noProof/>
          <w:lang w:val="et-EE"/>
        </w:rPr>
        <w:t>organisatsioonid.</w:t>
      </w:r>
    </w:p>
    <w:p w14:paraId="6A2FE97C" w14:textId="77777777" w:rsidR="008A1123" w:rsidRPr="00FA1890" w:rsidRDefault="008A1123" w:rsidP="004034F3">
      <w:pPr>
        <w:jc w:val="both"/>
        <w:rPr>
          <w:rFonts w:eastAsia="Calibri"/>
          <w:lang w:val="et-EE" w:eastAsia="et-EE"/>
        </w:rPr>
      </w:pPr>
    </w:p>
    <w:p w14:paraId="27396866" w14:textId="61501EC9" w:rsidR="008A1123" w:rsidRPr="00FA1890" w:rsidRDefault="008A1123" w:rsidP="004034F3">
      <w:pPr>
        <w:jc w:val="both"/>
        <w:rPr>
          <w:rFonts w:eastAsia="Calibri"/>
          <w:lang w:val="et-EE" w:eastAsia="et-EE"/>
        </w:rPr>
      </w:pPr>
      <w:r w:rsidRPr="00FA1890">
        <w:rPr>
          <w:rFonts w:eastAsia="Calibri"/>
          <w:lang w:val="et-EE" w:eastAsia="et-EE"/>
        </w:rPr>
        <w:t>Erandina ei kohaldata õppekavade piirangut töötutele ja töötajatele, kes ei saa terviseseisundi tõttu senise töö tegemist jätkata.  Et nende isikute valikud on terviseseisundist tulenevalt juba piiratud ja olukord haavatavam kui teistel sihtrühma kuuluvate isikutel, on terviseseisundist tulevate piirangutega isikute õppekavade valik vaba, et neil oleks võimalik õppida eriala, millel töötamist nende terviseseisund võimaldab.</w:t>
      </w:r>
    </w:p>
    <w:p w14:paraId="24D33B5A" w14:textId="77777777" w:rsidR="00D87A95" w:rsidRPr="00FA1890" w:rsidRDefault="00D87A95" w:rsidP="004034F3">
      <w:pPr>
        <w:jc w:val="both"/>
        <w:rPr>
          <w:rFonts w:eastAsia="Calibri"/>
          <w:lang w:val="et-EE" w:eastAsia="et-EE"/>
        </w:rPr>
      </w:pPr>
    </w:p>
    <w:p w14:paraId="579923D2" w14:textId="4C5C3DF3" w:rsidR="00076624" w:rsidRPr="00FA1890" w:rsidRDefault="00877E53" w:rsidP="004034F3">
      <w:pPr>
        <w:jc w:val="both"/>
        <w:rPr>
          <w:bCs/>
          <w:noProof/>
          <w:lang w:val="et-EE"/>
        </w:rPr>
      </w:pPr>
      <w:r w:rsidRPr="00FA1890">
        <w:rPr>
          <w:bCs/>
          <w:noProof/>
          <w:lang w:val="et-EE"/>
        </w:rPr>
        <w:t>Tegevuse sihtrühmaks on Ida-Viru maakonnas tegutsevatest põlevkivi</w:t>
      </w:r>
      <w:r w:rsidR="00A4140A" w:rsidRPr="00FA1890">
        <w:rPr>
          <w:bCs/>
          <w:noProof/>
          <w:lang w:val="et-EE"/>
        </w:rPr>
        <w:t>ettevõtetest</w:t>
      </w:r>
      <w:r w:rsidRPr="00FA1890">
        <w:rPr>
          <w:bCs/>
          <w:noProof/>
          <w:lang w:val="et-EE"/>
        </w:rPr>
        <w:t xml:space="preserve"> töötuks jäänud ja töötuna registreeritud inimesed ning nende ettevõtete töötajad. Kooskõlas tasemeõppe toetuse üldise põhimõttega</w:t>
      </w:r>
      <w:r w:rsidR="00076624" w:rsidRPr="00FA1890">
        <w:rPr>
          <w:bCs/>
          <w:noProof/>
          <w:lang w:val="et-EE"/>
        </w:rPr>
        <w:t xml:space="preserve"> peab töötaja tasemeõppe toetuse saamiseks olema panustanud töötuskindlustuse vahenditesse ehk tal peab olema töötuskindlustusstaaži vähemalt 12 kuud eelneva 36 kuu jooksul.</w:t>
      </w:r>
    </w:p>
    <w:p w14:paraId="0B7AD5B6" w14:textId="77777777" w:rsidR="00101E1B" w:rsidRPr="00FA1890" w:rsidRDefault="00101E1B" w:rsidP="004034F3">
      <w:pPr>
        <w:jc w:val="both"/>
        <w:rPr>
          <w:bCs/>
          <w:noProof/>
          <w:lang w:val="et-EE"/>
        </w:rPr>
      </w:pPr>
    </w:p>
    <w:p w14:paraId="71A14791" w14:textId="2D841E18" w:rsidR="00101E1B" w:rsidRPr="00FA1890" w:rsidRDefault="00101E1B" w:rsidP="004034F3">
      <w:pPr>
        <w:jc w:val="both"/>
        <w:rPr>
          <w:bCs/>
          <w:noProof/>
          <w:lang w:val="et-EE"/>
        </w:rPr>
      </w:pPr>
      <w:r w:rsidRPr="00FA1890">
        <w:rPr>
          <w:bCs/>
          <w:noProof/>
          <w:lang w:val="et-EE"/>
        </w:rPr>
        <w:t>Tasemeõppes osalemise toetust ei arvestata sissetulekuna töötutoetuse õiguse hindamisel vastavalt tööturumeetmete seaduse § 18 lõike 2 punktile 8. Toetust maksustatakse tulumaksuseaduse § 19 lõike 2 kohaselt tulumaksuga, mille tasub inimene.</w:t>
      </w:r>
    </w:p>
    <w:p w14:paraId="5CBA8DD7" w14:textId="20836A99" w:rsidR="00246453" w:rsidRPr="00FA1890" w:rsidRDefault="00246453" w:rsidP="004034F3">
      <w:pPr>
        <w:jc w:val="both"/>
        <w:rPr>
          <w:bCs/>
          <w:noProof/>
          <w:lang w:val="et-EE"/>
        </w:rPr>
      </w:pPr>
    </w:p>
    <w:p w14:paraId="2A51FBDE" w14:textId="3B2B8DBC" w:rsidR="00E22617" w:rsidRPr="00FA1890" w:rsidRDefault="0045753A" w:rsidP="004034F3">
      <w:pPr>
        <w:jc w:val="both"/>
        <w:rPr>
          <w:bCs/>
          <w:noProof/>
          <w:lang w:val="et-EE"/>
        </w:rPr>
      </w:pPr>
      <w:bookmarkStart w:id="9" w:name="_Hlk131005156"/>
      <w:r w:rsidRPr="00FA1890">
        <w:rPr>
          <w:rFonts w:eastAsia="Calibri"/>
          <w:b/>
          <w:bCs/>
          <w:lang w:val="et-EE" w:eastAsia="et-EE"/>
        </w:rPr>
        <w:t xml:space="preserve">Mikrokvalifikatsiooni </w:t>
      </w:r>
      <w:r w:rsidR="00E82450" w:rsidRPr="00FA1890">
        <w:rPr>
          <w:rFonts w:eastAsia="Calibri"/>
          <w:b/>
          <w:bCs/>
          <w:lang w:val="et-EE" w:eastAsia="et-EE"/>
        </w:rPr>
        <w:t>omandamise</w:t>
      </w:r>
      <w:r w:rsidRPr="00FA1890">
        <w:rPr>
          <w:rFonts w:eastAsia="Calibri"/>
          <w:b/>
          <w:bCs/>
          <w:lang w:val="et-EE" w:eastAsia="et-EE"/>
        </w:rPr>
        <w:t xml:space="preserve"> toetus</w:t>
      </w:r>
      <w:bookmarkEnd w:id="9"/>
      <w:r w:rsidRPr="00FA1890">
        <w:rPr>
          <w:rFonts w:eastAsia="Calibri"/>
          <w:b/>
          <w:bCs/>
          <w:lang w:val="et-EE" w:eastAsia="et-EE"/>
        </w:rPr>
        <w:t>e</w:t>
      </w:r>
      <w:r w:rsidRPr="00FA1890">
        <w:rPr>
          <w:rFonts w:eastAsia="Calibri"/>
          <w:lang w:val="et-EE" w:eastAsia="et-EE"/>
        </w:rPr>
        <w:t xml:space="preserve"> eesmärk on toetada põlevkivisektori töötajate või selles sektoris töö kaotanud </w:t>
      </w:r>
      <w:r w:rsidR="007041D0" w:rsidRPr="00FA1890">
        <w:rPr>
          <w:rFonts w:eastAsia="Calibri"/>
          <w:lang w:val="et-EE" w:eastAsia="et-EE"/>
        </w:rPr>
        <w:t>inimeste</w:t>
      </w:r>
      <w:r w:rsidRPr="00FA1890">
        <w:rPr>
          <w:rFonts w:eastAsia="Calibri"/>
          <w:lang w:val="et-EE" w:eastAsia="et-EE"/>
        </w:rPr>
        <w:t xml:space="preserve"> mikrokvalifikatsiooni omandamist.</w:t>
      </w:r>
    </w:p>
    <w:p w14:paraId="7D56672E" w14:textId="77777777" w:rsidR="00877E53" w:rsidRPr="00FA1890" w:rsidRDefault="00877E53" w:rsidP="004034F3">
      <w:pPr>
        <w:jc w:val="both"/>
        <w:rPr>
          <w:bCs/>
          <w:noProof/>
          <w:lang w:val="et-EE"/>
        </w:rPr>
      </w:pPr>
    </w:p>
    <w:p w14:paraId="080D04C0" w14:textId="2DBF31AE" w:rsidR="0045753A" w:rsidRPr="00FA1890" w:rsidRDefault="00877E53" w:rsidP="004034F3">
      <w:pPr>
        <w:jc w:val="both"/>
        <w:rPr>
          <w:bCs/>
          <w:noProof/>
          <w:lang w:val="et-EE"/>
        </w:rPr>
      </w:pPr>
      <w:r w:rsidRPr="00FA1890">
        <w:rPr>
          <w:bCs/>
          <w:noProof/>
          <w:lang w:val="et-EE"/>
        </w:rPr>
        <w:t>Tegevuse sihtrühmaks on Ida-Viru maakonnas tegutsevatest põlevkivi</w:t>
      </w:r>
      <w:r w:rsidR="00B05896" w:rsidRPr="00FA1890">
        <w:rPr>
          <w:bCs/>
          <w:noProof/>
          <w:lang w:val="et-EE"/>
        </w:rPr>
        <w:t>ettevõtetest</w:t>
      </w:r>
      <w:r w:rsidRPr="00FA1890">
        <w:rPr>
          <w:bCs/>
          <w:noProof/>
          <w:lang w:val="et-EE"/>
        </w:rPr>
        <w:t xml:space="preserve"> töötuks jäänud ja töötuna registreeritud inimesed ning nende ettevõtete töötajad.</w:t>
      </w:r>
    </w:p>
    <w:p w14:paraId="641178EF" w14:textId="77777777" w:rsidR="00877E53" w:rsidRPr="00FA1890" w:rsidRDefault="00877E53" w:rsidP="004034F3">
      <w:pPr>
        <w:jc w:val="both"/>
        <w:rPr>
          <w:bCs/>
          <w:noProof/>
          <w:lang w:val="et-EE"/>
        </w:rPr>
      </w:pPr>
    </w:p>
    <w:p w14:paraId="2F91E17A" w14:textId="71300064" w:rsidR="0045753A" w:rsidRPr="00FA1890" w:rsidRDefault="00C26D45" w:rsidP="004034F3">
      <w:pPr>
        <w:jc w:val="both"/>
        <w:rPr>
          <w:iCs/>
          <w:lang w:val="et-EE"/>
        </w:rPr>
      </w:pPr>
      <w:r w:rsidRPr="00FA1890">
        <w:rPr>
          <w:bCs/>
          <w:noProof/>
          <w:lang w:val="et-EE"/>
        </w:rPr>
        <w:t>Mikrokvalifikatsiooni</w:t>
      </w:r>
      <w:r w:rsidR="00B05896" w:rsidRPr="00FA1890">
        <w:rPr>
          <w:bCs/>
          <w:noProof/>
          <w:lang w:val="et-EE"/>
        </w:rPr>
        <w:t xml:space="preserve"> omandamise</w:t>
      </w:r>
      <w:r w:rsidRPr="00FA1890">
        <w:rPr>
          <w:bCs/>
          <w:noProof/>
          <w:lang w:val="et-EE"/>
        </w:rPr>
        <w:t xml:space="preserve"> toetust makstakse</w:t>
      </w:r>
      <w:r w:rsidR="0045753A" w:rsidRPr="00FA1890">
        <w:rPr>
          <w:iCs/>
          <w:lang w:val="et-EE"/>
        </w:rPr>
        <w:t xml:space="preserve">, kui </w:t>
      </w:r>
      <w:r w:rsidR="007041D0" w:rsidRPr="00FA1890">
        <w:rPr>
          <w:iCs/>
          <w:lang w:val="et-EE"/>
        </w:rPr>
        <w:t>inimene</w:t>
      </w:r>
      <w:r w:rsidR="0045753A" w:rsidRPr="00FA1890">
        <w:rPr>
          <w:iCs/>
          <w:lang w:val="et-EE"/>
        </w:rPr>
        <w:t xml:space="preserve"> </w:t>
      </w:r>
      <w:r w:rsidR="00E82450" w:rsidRPr="00FA1890">
        <w:rPr>
          <w:iCs/>
          <w:lang w:val="et-EE"/>
        </w:rPr>
        <w:t xml:space="preserve">omandab mikrokvalifikatsiooni </w:t>
      </w:r>
      <w:r w:rsidR="0045753A" w:rsidRPr="00FA1890">
        <w:rPr>
          <w:iCs/>
          <w:lang w:val="et-EE"/>
        </w:rPr>
        <w:t>õppe</w:t>
      </w:r>
      <w:r w:rsidR="00F70346" w:rsidRPr="00FA1890">
        <w:rPr>
          <w:iCs/>
          <w:lang w:val="et-EE"/>
        </w:rPr>
        <w:t xml:space="preserve">kohal, mis on rahastatud </w:t>
      </w:r>
      <w:r w:rsidR="0045753A" w:rsidRPr="00FA1890">
        <w:rPr>
          <w:iCs/>
          <w:lang w:val="et-EE"/>
        </w:rPr>
        <w:t>Õ</w:t>
      </w:r>
      <w:r w:rsidR="0098254C" w:rsidRPr="00FA1890">
        <w:rPr>
          <w:iCs/>
          <w:lang w:val="et-EE"/>
        </w:rPr>
        <w:t xml:space="preserve">ÜFist. ÕÜFist </w:t>
      </w:r>
      <w:r w:rsidR="00F70346" w:rsidRPr="00FA1890">
        <w:rPr>
          <w:iCs/>
          <w:lang w:val="et-EE"/>
        </w:rPr>
        <w:t xml:space="preserve">rahastatakse </w:t>
      </w:r>
      <w:r w:rsidR="00BD796C" w:rsidRPr="00FA1890">
        <w:rPr>
          <w:iCs/>
          <w:lang w:val="et-EE"/>
        </w:rPr>
        <w:t xml:space="preserve">mikrokvalifikatsiooni </w:t>
      </w:r>
      <w:r w:rsidR="00C446C2" w:rsidRPr="00FA1890">
        <w:rPr>
          <w:iCs/>
          <w:lang w:val="et-EE"/>
        </w:rPr>
        <w:t xml:space="preserve">omandamise </w:t>
      </w:r>
      <w:r w:rsidR="00BD796C" w:rsidRPr="00FA1890">
        <w:rPr>
          <w:iCs/>
          <w:lang w:val="et-EE"/>
        </w:rPr>
        <w:t xml:space="preserve">õppekohti </w:t>
      </w:r>
      <w:r w:rsidR="0045753A" w:rsidRPr="00FA1890">
        <w:rPr>
          <w:iCs/>
          <w:lang w:val="et-EE"/>
        </w:rPr>
        <w:t>õppekavad</w:t>
      </w:r>
      <w:r w:rsidR="00BD796C" w:rsidRPr="00FA1890">
        <w:rPr>
          <w:iCs/>
          <w:lang w:val="et-EE"/>
        </w:rPr>
        <w:t>el, mis</w:t>
      </w:r>
      <w:r w:rsidR="0045753A" w:rsidRPr="00FA1890">
        <w:rPr>
          <w:iCs/>
          <w:lang w:val="et-EE"/>
        </w:rPr>
        <w:t xml:space="preserve"> lähtuvad Ida-Virumaa majanduse restruktureerimisel eelistatud kasvuvaldkondadest ja mitmekesistamise vajadusest</w:t>
      </w:r>
      <w:r w:rsidR="00BD796C" w:rsidRPr="00FA1890">
        <w:rPr>
          <w:iCs/>
          <w:lang w:val="et-EE"/>
        </w:rPr>
        <w:t xml:space="preserve"> ning </w:t>
      </w:r>
      <w:r w:rsidR="00B05896" w:rsidRPr="00FA1890">
        <w:rPr>
          <w:iCs/>
          <w:lang w:val="et-EE"/>
        </w:rPr>
        <w:t>mille</w:t>
      </w:r>
      <w:r w:rsidR="00BD796C" w:rsidRPr="00FA1890">
        <w:rPr>
          <w:iCs/>
          <w:lang w:val="et-EE"/>
        </w:rPr>
        <w:t xml:space="preserve"> </w:t>
      </w:r>
      <w:r w:rsidR="00B05896" w:rsidRPr="00FA1890">
        <w:rPr>
          <w:iCs/>
          <w:lang w:val="et-EE"/>
        </w:rPr>
        <w:t>(</w:t>
      </w:r>
      <w:r w:rsidR="00BD796C" w:rsidRPr="00FA1890">
        <w:rPr>
          <w:iCs/>
          <w:lang w:val="et-EE"/>
        </w:rPr>
        <w:t>nagu ka tasemeõppekavad</w:t>
      </w:r>
      <w:r w:rsidR="00B05896" w:rsidRPr="00FA1890">
        <w:rPr>
          <w:iCs/>
          <w:lang w:val="et-EE"/>
        </w:rPr>
        <w:t>)</w:t>
      </w:r>
      <w:r w:rsidR="00BD796C" w:rsidRPr="00FA1890">
        <w:rPr>
          <w:iCs/>
          <w:lang w:val="et-EE"/>
        </w:rPr>
        <w:t xml:space="preserve"> </w:t>
      </w:r>
      <w:r w:rsidR="00B05896" w:rsidRPr="00FA1890">
        <w:rPr>
          <w:iCs/>
          <w:lang w:val="et-EE"/>
        </w:rPr>
        <w:t xml:space="preserve">on </w:t>
      </w:r>
      <w:r w:rsidR="00BD796C" w:rsidRPr="00FA1890">
        <w:rPr>
          <w:iCs/>
          <w:lang w:val="et-EE"/>
        </w:rPr>
        <w:t>välja vali</w:t>
      </w:r>
      <w:r w:rsidR="00B05896" w:rsidRPr="00FA1890">
        <w:rPr>
          <w:iCs/>
          <w:lang w:val="et-EE"/>
        </w:rPr>
        <w:t>nud</w:t>
      </w:r>
      <w:r w:rsidR="00574DE5" w:rsidRPr="00FA1890">
        <w:rPr>
          <w:bCs/>
          <w:noProof/>
          <w:lang w:val="et-EE"/>
        </w:rPr>
        <w:t xml:space="preserve"> ülalmainitud</w:t>
      </w:r>
      <w:r w:rsidR="00BD796C" w:rsidRPr="00FA1890">
        <w:rPr>
          <w:iCs/>
          <w:lang w:val="et-EE"/>
        </w:rPr>
        <w:t xml:space="preserve"> </w:t>
      </w:r>
      <w:r w:rsidR="00BD796C" w:rsidRPr="00FA1890">
        <w:rPr>
          <w:bCs/>
          <w:noProof/>
          <w:lang w:val="et-EE"/>
        </w:rPr>
        <w:t>juhtkomisjon</w:t>
      </w:r>
      <w:r w:rsidR="00574DE5" w:rsidRPr="00FA1890">
        <w:rPr>
          <w:bCs/>
          <w:noProof/>
          <w:lang w:val="et-EE"/>
        </w:rPr>
        <w:t>.</w:t>
      </w:r>
    </w:p>
    <w:p w14:paraId="2FFEE5F1" w14:textId="60C82936" w:rsidR="00997764" w:rsidRPr="00FA1890" w:rsidRDefault="00997764" w:rsidP="004034F3">
      <w:pPr>
        <w:jc w:val="both"/>
        <w:rPr>
          <w:bCs/>
          <w:noProof/>
          <w:lang w:val="et-EE"/>
        </w:rPr>
      </w:pPr>
    </w:p>
    <w:p w14:paraId="64C93E53" w14:textId="60AEE1CC" w:rsidR="001E3B85" w:rsidRPr="00FA1890" w:rsidRDefault="00997764" w:rsidP="004034F3">
      <w:pPr>
        <w:jc w:val="both"/>
        <w:rPr>
          <w:bCs/>
          <w:noProof/>
          <w:lang w:val="et-EE"/>
        </w:rPr>
      </w:pPr>
      <w:r w:rsidRPr="00FA1890">
        <w:rPr>
          <w:bCs/>
          <w:noProof/>
          <w:lang w:val="et-EE"/>
        </w:rPr>
        <w:t xml:space="preserve">Mikrokvalifikatsiooni </w:t>
      </w:r>
      <w:r w:rsidR="00E82450" w:rsidRPr="00FA1890">
        <w:rPr>
          <w:bCs/>
          <w:noProof/>
          <w:lang w:val="et-EE"/>
        </w:rPr>
        <w:t xml:space="preserve">omandamise </w:t>
      </w:r>
      <w:r w:rsidRPr="00FA1890">
        <w:rPr>
          <w:bCs/>
          <w:noProof/>
          <w:lang w:val="et-EE"/>
        </w:rPr>
        <w:t>toetust makstakse</w:t>
      </w:r>
      <w:r w:rsidR="00B05896" w:rsidRPr="00FA1890">
        <w:rPr>
          <w:bCs/>
          <w:noProof/>
          <w:lang w:val="et-EE"/>
        </w:rPr>
        <w:t>, kui on läbitud</w:t>
      </w:r>
      <w:r w:rsidRPr="00FA1890">
        <w:rPr>
          <w:bCs/>
          <w:noProof/>
          <w:lang w:val="et-EE"/>
        </w:rPr>
        <w:t xml:space="preserve"> mikrokvalifikatsiooni </w:t>
      </w:r>
      <w:r w:rsidR="00773099" w:rsidRPr="00FA1890">
        <w:rPr>
          <w:bCs/>
          <w:noProof/>
          <w:lang w:val="et-EE"/>
        </w:rPr>
        <w:t>õppekava</w:t>
      </w:r>
      <w:r w:rsidRPr="00FA1890">
        <w:rPr>
          <w:bCs/>
          <w:noProof/>
          <w:lang w:val="et-EE"/>
        </w:rPr>
        <w:t>, mille maht on vähemalt 18 ainepunkti (EAP). Eesmärk on toetada p</w:t>
      </w:r>
      <w:r w:rsidR="00E978A6" w:rsidRPr="00FA1890">
        <w:rPr>
          <w:bCs/>
          <w:noProof/>
          <w:lang w:val="et-EE"/>
        </w:rPr>
        <w:t>õhjalikumat väljaõpet</w:t>
      </w:r>
      <w:r w:rsidRPr="00FA1890">
        <w:rPr>
          <w:bCs/>
          <w:noProof/>
          <w:lang w:val="et-EE"/>
        </w:rPr>
        <w:t xml:space="preserve">, </w:t>
      </w:r>
      <w:r w:rsidR="00881FF1" w:rsidRPr="00FA1890">
        <w:rPr>
          <w:bCs/>
          <w:noProof/>
          <w:lang w:val="et-EE"/>
        </w:rPr>
        <w:t>et omandatavad oskused oleksid piisavad teises valdkonnas töö leidmiseks.</w:t>
      </w:r>
    </w:p>
    <w:p w14:paraId="403D3A12" w14:textId="6B2ECF18" w:rsidR="00997764" w:rsidRPr="00FA1890" w:rsidRDefault="00997764" w:rsidP="004034F3">
      <w:pPr>
        <w:jc w:val="both"/>
        <w:rPr>
          <w:bCs/>
          <w:noProof/>
          <w:lang w:val="et-EE"/>
        </w:rPr>
      </w:pPr>
    </w:p>
    <w:p w14:paraId="33239E71" w14:textId="3019377C" w:rsidR="00B849A6" w:rsidRPr="00FA1890" w:rsidRDefault="00997764" w:rsidP="004034F3">
      <w:pPr>
        <w:jc w:val="both"/>
        <w:rPr>
          <w:bCs/>
          <w:noProof/>
          <w:lang w:val="et-EE"/>
        </w:rPr>
      </w:pPr>
      <w:r w:rsidRPr="00FA1890">
        <w:rPr>
          <w:bCs/>
          <w:noProof/>
          <w:lang w:val="et-EE"/>
        </w:rPr>
        <w:t xml:space="preserve">Mikrokvalifikatsiooni </w:t>
      </w:r>
      <w:r w:rsidR="00E82450" w:rsidRPr="00FA1890">
        <w:rPr>
          <w:bCs/>
          <w:noProof/>
          <w:lang w:val="et-EE"/>
        </w:rPr>
        <w:t xml:space="preserve">omandamise </w:t>
      </w:r>
      <w:r w:rsidRPr="00FA1890">
        <w:rPr>
          <w:bCs/>
          <w:noProof/>
          <w:lang w:val="et-EE"/>
        </w:rPr>
        <w:t>toetust makstakse ühekordse väljamaksena</w:t>
      </w:r>
      <w:r w:rsidR="0045753A" w:rsidRPr="00FA1890">
        <w:rPr>
          <w:bCs/>
          <w:noProof/>
          <w:lang w:val="et-EE"/>
        </w:rPr>
        <w:t xml:space="preserve"> </w:t>
      </w:r>
      <w:r w:rsidRPr="00FA1890">
        <w:rPr>
          <w:bCs/>
          <w:noProof/>
          <w:lang w:val="et-EE"/>
        </w:rPr>
        <w:t>pärast</w:t>
      </w:r>
      <w:r w:rsidR="003135D4" w:rsidRPr="00FA1890">
        <w:rPr>
          <w:bCs/>
          <w:noProof/>
          <w:lang w:val="et-EE"/>
        </w:rPr>
        <w:t xml:space="preserve"> mikrokvalifikatsiooni omandamist</w:t>
      </w:r>
      <w:r w:rsidRPr="00FA1890">
        <w:rPr>
          <w:bCs/>
          <w:noProof/>
          <w:lang w:val="et-EE"/>
        </w:rPr>
        <w:t>. Eesmär</w:t>
      </w:r>
      <w:r w:rsidR="00B05896" w:rsidRPr="00FA1890">
        <w:rPr>
          <w:bCs/>
          <w:noProof/>
          <w:lang w:val="et-EE"/>
        </w:rPr>
        <w:t>k</w:t>
      </w:r>
      <w:r w:rsidRPr="00FA1890">
        <w:rPr>
          <w:bCs/>
          <w:noProof/>
          <w:lang w:val="et-EE"/>
        </w:rPr>
        <w:t xml:space="preserve"> on motiveerida </w:t>
      </w:r>
      <w:r w:rsidR="00881FF1" w:rsidRPr="00FA1890">
        <w:rPr>
          <w:bCs/>
          <w:noProof/>
          <w:lang w:val="et-EE"/>
        </w:rPr>
        <w:t xml:space="preserve">inimest </w:t>
      </w:r>
      <w:r w:rsidRPr="00FA1890">
        <w:rPr>
          <w:bCs/>
          <w:noProof/>
          <w:lang w:val="et-EE"/>
        </w:rPr>
        <w:t>õppima</w:t>
      </w:r>
      <w:r w:rsidR="00881FF1" w:rsidRPr="00FA1890">
        <w:rPr>
          <w:bCs/>
          <w:noProof/>
          <w:lang w:val="et-EE"/>
        </w:rPr>
        <w:t xml:space="preserve"> asuma ja </w:t>
      </w:r>
      <w:r w:rsidRPr="00FA1890">
        <w:rPr>
          <w:bCs/>
          <w:noProof/>
          <w:lang w:val="et-EE"/>
        </w:rPr>
        <w:t>õpet lõpetama.</w:t>
      </w:r>
    </w:p>
    <w:p w14:paraId="4ADDE3FB" w14:textId="59F37805" w:rsidR="00B849A6" w:rsidRPr="00FA1890" w:rsidRDefault="00B849A6" w:rsidP="004034F3">
      <w:pPr>
        <w:jc w:val="both"/>
        <w:rPr>
          <w:bCs/>
          <w:noProof/>
          <w:lang w:val="et-EE"/>
        </w:rPr>
      </w:pPr>
    </w:p>
    <w:p w14:paraId="7928A3AC" w14:textId="084BB22E" w:rsidR="00372123" w:rsidRPr="00FA1890" w:rsidRDefault="00B849A6" w:rsidP="004034F3">
      <w:pPr>
        <w:jc w:val="both"/>
        <w:rPr>
          <w:bCs/>
          <w:noProof/>
          <w:lang w:val="et-EE"/>
        </w:rPr>
      </w:pPr>
      <w:r w:rsidRPr="00FA1890">
        <w:rPr>
          <w:bCs/>
          <w:noProof/>
          <w:lang w:val="et-EE"/>
        </w:rPr>
        <w:t>Mikrokvalifikatsiooni omandamise toetuse suuruseks on kolmekordne Vabariigi Valitsuse 19. novembri 2020. a määrusega nr 87 kehtestatud „Tööhõiveprogrammis 2021–2023“ sätestatud tasemeõppes osalemise toetuse määr (§ 19</w:t>
      </w:r>
      <w:r w:rsidRPr="00FA1890">
        <w:rPr>
          <w:bCs/>
          <w:noProof/>
          <w:vertAlign w:val="superscript"/>
          <w:lang w:val="et-EE"/>
        </w:rPr>
        <w:t>5</w:t>
      </w:r>
      <w:r w:rsidRPr="00FA1890">
        <w:rPr>
          <w:bCs/>
          <w:noProof/>
          <w:lang w:val="et-EE"/>
        </w:rPr>
        <w:t xml:space="preserve"> lõige 9), milleks on ühes kuus riigieelarvega kehtestatud töötutoetuse 31-kordne päevamäär. 2023. aastal on se</w:t>
      </w:r>
      <w:r w:rsidR="00D517A0" w:rsidRPr="00FA1890">
        <w:rPr>
          <w:bCs/>
          <w:noProof/>
          <w:lang w:val="et-EE"/>
        </w:rPr>
        <w:t>e</w:t>
      </w:r>
      <w:r w:rsidRPr="00FA1890">
        <w:rPr>
          <w:bCs/>
          <w:noProof/>
          <w:lang w:val="et-EE"/>
        </w:rPr>
        <w:t xml:space="preserve"> 327,05 eurot kuus. </w:t>
      </w:r>
      <w:r w:rsidR="00D517A0" w:rsidRPr="00FA1890">
        <w:rPr>
          <w:bCs/>
          <w:noProof/>
          <w:lang w:val="et-EE"/>
        </w:rPr>
        <w:t>Kolmekordne toetuse määr annab mikrokvalifikatsiooni toetuse suuruseks seega</w:t>
      </w:r>
      <w:r w:rsidR="009B6517" w:rsidRPr="00FA1890">
        <w:rPr>
          <w:bCs/>
          <w:noProof/>
          <w:lang w:val="et-EE"/>
        </w:rPr>
        <w:t xml:space="preserve"> 981,15</w:t>
      </w:r>
      <w:r w:rsidR="00863DA4" w:rsidRPr="00FA1890">
        <w:rPr>
          <w:bCs/>
          <w:noProof/>
          <w:lang w:val="et-EE"/>
        </w:rPr>
        <w:t xml:space="preserve"> eurot</w:t>
      </w:r>
      <w:r w:rsidR="009B6517" w:rsidRPr="00FA1890">
        <w:rPr>
          <w:bCs/>
          <w:noProof/>
          <w:lang w:val="et-EE"/>
        </w:rPr>
        <w:t>.</w:t>
      </w:r>
    </w:p>
    <w:p w14:paraId="76FFE4C5" w14:textId="77777777" w:rsidR="00372123" w:rsidRPr="00FA1890" w:rsidRDefault="00372123" w:rsidP="004034F3">
      <w:pPr>
        <w:jc w:val="both"/>
        <w:rPr>
          <w:bCs/>
          <w:noProof/>
          <w:lang w:val="et-EE"/>
        </w:rPr>
      </w:pPr>
    </w:p>
    <w:p w14:paraId="0CD358BC" w14:textId="63CC8E5C" w:rsidR="00372123" w:rsidRPr="00FA1890" w:rsidRDefault="00EA228D" w:rsidP="004034F3">
      <w:pPr>
        <w:jc w:val="both"/>
        <w:rPr>
          <w:bCs/>
          <w:noProof/>
          <w:lang w:val="et-EE"/>
        </w:rPr>
      </w:pPr>
      <w:r w:rsidRPr="00FA1890">
        <w:rPr>
          <w:bCs/>
          <w:noProof/>
          <w:lang w:val="et-EE"/>
        </w:rPr>
        <w:lastRenderedPageBreak/>
        <w:t>Mikrokvalifikatsiooni</w:t>
      </w:r>
      <w:r w:rsidR="00C80584" w:rsidRPr="00FA1890">
        <w:rPr>
          <w:bCs/>
          <w:noProof/>
          <w:lang w:val="et-EE"/>
        </w:rPr>
        <w:t>õppe</w:t>
      </w:r>
      <w:r w:rsidRPr="00FA1890">
        <w:rPr>
          <w:bCs/>
          <w:noProof/>
          <w:lang w:val="et-EE"/>
        </w:rPr>
        <w:t xml:space="preserve"> õppekava on pikem tervikliku sisuga täiendusõppekava, mis on loodud ühe või mitme tasemeõppekava ainete baasil või eraldiseisva täiendusõppena. Mikrok</w:t>
      </w:r>
      <w:r w:rsidR="00135AEA" w:rsidRPr="00FA1890">
        <w:rPr>
          <w:bCs/>
          <w:noProof/>
          <w:lang w:val="et-EE"/>
        </w:rPr>
        <w:t>valifikatsioon</w:t>
      </w:r>
      <w:r w:rsidRPr="00FA1890">
        <w:rPr>
          <w:bCs/>
          <w:noProof/>
          <w:lang w:val="et-EE"/>
        </w:rPr>
        <w:t xml:space="preserve"> võimaldab paindlikult ja tööturu vajadusi arvestades omandada eriala</w:t>
      </w:r>
      <w:r w:rsidR="00135AEA" w:rsidRPr="00FA1890">
        <w:rPr>
          <w:bCs/>
          <w:noProof/>
          <w:lang w:val="et-EE"/>
        </w:rPr>
        <w:t>s</w:t>
      </w:r>
      <w:r w:rsidRPr="00FA1890">
        <w:rPr>
          <w:bCs/>
          <w:noProof/>
          <w:lang w:val="et-EE"/>
        </w:rPr>
        <w:t>e pädevus</w:t>
      </w:r>
      <w:r w:rsidR="00135AEA" w:rsidRPr="00FA1890">
        <w:rPr>
          <w:bCs/>
          <w:noProof/>
          <w:lang w:val="et-EE"/>
        </w:rPr>
        <w:t>e</w:t>
      </w:r>
      <w:r w:rsidRPr="00FA1890">
        <w:rPr>
          <w:bCs/>
          <w:noProof/>
          <w:lang w:val="et-EE"/>
        </w:rPr>
        <w:t xml:space="preserve"> ühes kitsamas valdkonnas.</w:t>
      </w:r>
      <w:r w:rsidR="00135AEA" w:rsidRPr="00FA1890">
        <w:rPr>
          <w:bCs/>
          <w:noProof/>
          <w:lang w:val="et-EE"/>
        </w:rPr>
        <w:t xml:space="preserve"> </w:t>
      </w:r>
      <w:r w:rsidR="00A4386E" w:rsidRPr="00FA1890">
        <w:rPr>
          <w:bCs/>
          <w:noProof/>
          <w:lang w:val="et-EE"/>
        </w:rPr>
        <w:t>M</w:t>
      </w:r>
      <w:r w:rsidRPr="00FA1890">
        <w:rPr>
          <w:bCs/>
          <w:noProof/>
          <w:lang w:val="et-EE"/>
        </w:rPr>
        <w:t>ikr</w:t>
      </w:r>
      <w:r w:rsidR="00DB4932">
        <w:rPr>
          <w:bCs/>
          <w:noProof/>
          <w:lang w:val="et-EE"/>
        </w:rPr>
        <w:t>o</w:t>
      </w:r>
      <w:r w:rsidRPr="00FA1890">
        <w:rPr>
          <w:bCs/>
          <w:noProof/>
          <w:lang w:val="et-EE"/>
        </w:rPr>
        <w:t xml:space="preserve">kvalifikatsiooni omandamist </w:t>
      </w:r>
      <w:r w:rsidR="00A4386E" w:rsidRPr="00FA1890">
        <w:rPr>
          <w:bCs/>
          <w:noProof/>
          <w:lang w:val="et-EE"/>
        </w:rPr>
        <w:t xml:space="preserve">toetatakse </w:t>
      </w:r>
      <w:r w:rsidR="00372123" w:rsidRPr="00FA1890">
        <w:rPr>
          <w:bCs/>
          <w:noProof/>
          <w:lang w:val="et-EE"/>
        </w:rPr>
        <w:t>õppe- või koolituskoh</w:t>
      </w:r>
      <w:r w:rsidRPr="00FA1890">
        <w:rPr>
          <w:bCs/>
          <w:noProof/>
          <w:lang w:val="et-EE"/>
        </w:rPr>
        <w:t xml:space="preserve">tadel, mis </w:t>
      </w:r>
      <w:r w:rsidR="00372123" w:rsidRPr="00FA1890">
        <w:rPr>
          <w:bCs/>
          <w:noProof/>
          <w:lang w:val="et-EE"/>
        </w:rPr>
        <w:t>on rahastatud ÕÜFst</w:t>
      </w:r>
      <w:r w:rsidRPr="00FA1890">
        <w:rPr>
          <w:bCs/>
          <w:noProof/>
          <w:lang w:val="et-EE"/>
        </w:rPr>
        <w:t xml:space="preserve">. Need on planeeritud toimuma üksnes riiklikes </w:t>
      </w:r>
      <w:r w:rsidR="00372123" w:rsidRPr="00FA1890">
        <w:rPr>
          <w:bCs/>
          <w:noProof/>
          <w:lang w:val="et-EE"/>
        </w:rPr>
        <w:t xml:space="preserve">kutse- ja </w:t>
      </w:r>
      <w:r w:rsidR="00135AEA" w:rsidRPr="00FA1890">
        <w:rPr>
          <w:bCs/>
          <w:noProof/>
          <w:lang w:val="et-EE"/>
        </w:rPr>
        <w:t>kõrgharidusasutustes</w:t>
      </w:r>
      <w:r w:rsidR="00372123" w:rsidRPr="00FA1890">
        <w:rPr>
          <w:bCs/>
          <w:noProof/>
          <w:lang w:val="et-EE"/>
        </w:rPr>
        <w:t>. Seega on õppe sisu sarnane tasemeõppele, mida toetatakse tasemeõppes osalemise toetusega.</w:t>
      </w:r>
    </w:p>
    <w:p w14:paraId="1DAB1BDE" w14:textId="77777777" w:rsidR="00372123" w:rsidRPr="00FA1890" w:rsidRDefault="00372123" w:rsidP="004034F3">
      <w:pPr>
        <w:jc w:val="both"/>
        <w:rPr>
          <w:bCs/>
          <w:noProof/>
          <w:lang w:val="et-EE"/>
        </w:rPr>
      </w:pPr>
    </w:p>
    <w:p w14:paraId="29848BA2" w14:textId="79F3B6B2" w:rsidR="00372123" w:rsidRPr="00FA1890" w:rsidRDefault="00135AEA" w:rsidP="004034F3">
      <w:pPr>
        <w:jc w:val="both"/>
        <w:rPr>
          <w:bCs/>
          <w:noProof/>
          <w:lang w:val="et-EE"/>
        </w:rPr>
      </w:pPr>
      <w:r w:rsidRPr="00FA1890">
        <w:rPr>
          <w:bCs/>
          <w:noProof/>
          <w:lang w:val="et-EE"/>
        </w:rPr>
        <w:t xml:space="preserve">Toetuse suuruse määratlemisel on </w:t>
      </w:r>
      <w:r w:rsidR="00B849A6" w:rsidRPr="00FA1890">
        <w:rPr>
          <w:bCs/>
          <w:noProof/>
          <w:lang w:val="et-EE"/>
        </w:rPr>
        <w:t>arvestatud, et TAT aluse</w:t>
      </w:r>
      <w:r w:rsidRPr="00FA1890">
        <w:rPr>
          <w:bCs/>
          <w:noProof/>
          <w:lang w:val="et-EE"/>
        </w:rPr>
        <w:t>l</w:t>
      </w:r>
      <w:r w:rsidR="00B849A6" w:rsidRPr="00FA1890">
        <w:rPr>
          <w:bCs/>
          <w:noProof/>
          <w:lang w:val="et-EE"/>
        </w:rPr>
        <w:t xml:space="preserve"> toetatakse mikrokvalifikatsiooni</w:t>
      </w:r>
      <w:r w:rsidR="00C80584" w:rsidRPr="00FA1890">
        <w:rPr>
          <w:bCs/>
          <w:noProof/>
          <w:lang w:val="et-EE"/>
        </w:rPr>
        <w:t>õppe</w:t>
      </w:r>
      <w:r w:rsidR="00B849A6" w:rsidRPr="00FA1890">
        <w:rPr>
          <w:bCs/>
          <w:noProof/>
          <w:lang w:val="et-EE"/>
        </w:rPr>
        <w:t xml:space="preserve"> õppekavade läbimist, mille maht on vähemalt 18 ainepunkti. Õppides kutsehariduse, rakenduskõrghariduse või bakalaureuseõppe õppekavadel tasemeõppes arvestatakse 18 ainepunkti läbimiseks üldiselt kolme kuuga (nominaalajaga õppes on ühe õppeaasta jooksul nõutav ainepunktide arv 60). Eeldatavasti läbib suur osa toetuse taotlejaid õppekava mahus 18-24 </w:t>
      </w:r>
      <w:r w:rsidR="00A4386E" w:rsidRPr="00FA1890">
        <w:rPr>
          <w:bCs/>
          <w:noProof/>
          <w:lang w:val="et-EE"/>
        </w:rPr>
        <w:t>EAP</w:t>
      </w:r>
      <w:r w:rsidR="00B849A6" w:rsidRPr="00FA1890">
        <w:rPr>
          <w:bCs/>
          <w:noProof/>
          <w:lang w:val="et-EE"/>
        </w:rPr>
        <w:t xml:space="preserve">-d. </w:t>
      </w:r>
      <w:r w:rsidR="00372123" w:rsidRPr="00FA1890">
        <w:rPr>
          <w:bCs/>
          <w:noProof/>
          <w:lang w:val="et-EE"/>
        </w:rPr>
        <w:t xml:space="preserve">Toetuse disainis on arvestatud, et mikrokvalifikatsiooni omandamisel on võrreldes tasemeõppe toetusega suurem ajaline paindlikkus, st väiksem koormus, mis võimaldab paremini tööd ja õppimist ühitada, mistõttu ei ole nt töötava inimese puhul niivõrd oluline abi jooksvate kuludega toime tulemisel, kui inimene on vähendanud õpingute ajaks töökoormust, kuivõrd toetuse motiveeriv </w:t>
      </w:r>
      <w:r w:rsidR="007041D0" w:rsidRPr="00FA1890">
        <w:rPr>
          <w:bCs/>
          <w:noProof/>
          <w:lang w:val="et-EE"/>
        </w:rPr>
        <w:t>mõju</w:t>
      </w:r>
      <w:r w:rsidR="00372123" w:rsidRPr="00FA1890">
        <w:rPr>
          <w:bCs/>
          <w:noProof/>
          <w:lang w:val="et-EE"/>
        </w:rPr>
        <w:t>.</w:t>
      </w:r>
    </w:p>
    <w:p w14:paraId="5138789D" w14:textId="77777777" w:rsidR="00B849A6" w:rsidRPr="00FA1890" w:rsidRDefault="00B849A6" w:rsidP="004034F3">
      <w:pPr>
        <w:jc w:val="both"/>
        <w:rPr>
          <w:bCs/>
          <w:noProof/>
          <w:lang w:val="et-EE"/>
        </w:rPr>
      </w:pPr>
    </w:p>
    <w:p w14:paraId="07E9892D" w14:textId="15B4D150" w:rsidR="00997764" w:rsidRPr="00FA1890" w:rsidRDefault="001E3B85" w:rsidP="004034F3">
      <w:pPr>
        <w:jc w:val="both"/>
        <w:rPr>
          <w:bCs/>
          <w:noProof/>
          <w:lang w:val="et-EE"/>
        </w:rPr>
      </w:pPr>
      <w:r w:rsidRPr="00FA1890">
        <w:rPr>
          <w:bCs/>
          <w:noProof/>
          <w:lang w:val="et-EE"/>
        </w:rPr>
        <w:t>Toetust makstakse ühe mikrokvalifikatsiooni omandamiseks, mille omandamist alustati pärast 30.06.2023.</w:t>
      </w:r>
    </w:p>
    <w:p w14:paraId="7A482E45" w14:textId="77777777" w:rsidR="0045753A" w:rsidRPr="00FA1890" w:rsidRDefault="0045753A" w:rsidP="004034F3">
      <w:pPr>
        <w:jc w:val="both"/>
        <w:rPr>
          <w:iCs/>
          <w:u w:val="single"/>
          <w:lang w:val="et-EE"/>
        </w:rPr>
      </w:pPr>
    </w:p>
    <w:p w14:paraId="1F4F36A8" w14:textId="1E4FC0E1" w:rsidR="008B4336" w:rsidRPr="00FA1890" w:rsidRDefault="008B4336" w:rsidP="004034F3">
      <w:pPr>
        <w:jc w:val="both"/>
        <w:rPr>
          <w:bCs/>
          <w:noProof/>
          <w:lang w:val="et-EE"/>
        </w:rPr>
      </w:pPr>
      <w:r w:rsidRPr="00FA1890">
        <w:rPr>
          <w:bCs/>
          <w:noProof/>
          <w:lang w:val="et-EE"/>
        </w:rPr>
        <w:t>Mikrokvalifikatsiooni omandamise toetust maksustatakse tulumaksuseaduse § 19 lõike 2 kohaselt tulumaksuga</w:t>
      </w:r>
      <w:r w:rsidR="00A323FD" w:rsidRPr="00FA1890">
        <w:rPr>
          <w:bCs/>
          <w:noProof/>
          <w:lang w:val="et-EE"/>
        </w:rPr>
        <w:t>, mille tasub inimene.</w:t>
      </w:r>
    </w:p>
    <w:p w14:paraId="2569460C" w14:textId="52B1115A" w:rsidR="00C07F6F" w:rsidRPr="00FA1890" w:rsidRDefault="00C07F6F" w:rsidP="004034F3">
      <w:pPr>
        <w:jc w:val="both"/>
        <w:rPr>
          <w:bCs/>
          <w:noProof/>
          <w:lang w:val="et-EE"/>
        </w:rPr>
      </w:pPr>
    </w:p>
    <w:p w14:paraId="31605813" w14:textId="7CAAC7C6" w:rsidR="00C07F6F" w:rsidRPr="00FA1890" w:rsidRDefault="00C07F6F" w:rsidP="004034F3">
      <w:pPr>
        <w:jc w:val="both"/>
        <w:rPr>
          <w:bCs/>
          <w:noProof/>
          <w:lang w:val="et-EE"/>
        </w:rPr>
      </w:pPr>
      <w:r w:rsidRPr="00FA1890">
        <w:rPr>
          <w:bCs/>
          <w:noProof/>
          <w:lang w:val="et-EE"/>
        </w:rPr>
        <w:t xml:space="preserve">ÕÜFi </w:t>
      </w:r>
      <w:r w:rsidR="000B1CA7" w:rsidRPr="00FA1890">
        <w:rPr>
          <w:bCs/>
          <w:noProof/>
          <w:lang w:val="et-EE"/>
        </w:rPr>
        <w:t xml:space="preserve">tasemeõppe </w:t>
      </w:r>
      <w:r w:rsidRPr="00FA1890">
        <w:rPr>
          <w:bCs/>
          <w:noProof/>
          <w:lang w:val="et-EE"/>
        </w:rPr>
        <w:t>õppekavade ja mikrokvalifikatsiooni õppekavade loetelu kinnitab ja edastab töötukassale Haridus- ja Teadusministeerium.</w:t>
      </w:r>
      <w:r w:rsidR="000F4834" w:rsidRPr="00FA1890">
        <w:rPr>
          <w:bCs/>
          <w:noProof/>
          <w:lang w:val="et-EE"/>
        </w:rPr>
        <w:t xml:space="preserve"> Mõlemad loetelud avaldatakse Eesti Töötukassa veebilehel.</w:t>
      </w:r>
    </w:p>
    <w:p w14:paraId="34FFDAE7" w14:textId="567DA496" w:rsidR="00DE768C" w:rsidRPr="00FA1890" w:rsidRDefault="00DE768C" w:rsidP="004034F3">
      <w:pPr>
        <w:jc w:val="both"/>
        <w:rPr>
          <w:bCs/>
          <w:noProof/>
          <w:lang w:val="et-EE"/>
        </w:rPr>
      </w:pPr>
    </w:p>
    <w:p w14:paraId="2D1FF213" w14:textId="542C773E" w:rsidR="00DE768C" w:rsidRPr="00FA1890" w:rsidRDefault="00DE768C" w:rsidP="004034F3">
      <w:pPr>
        <w:jc w:val="both"/>
        <w:rPr>
          <w:b/>
          <w:noProof/>
          <w:lang w:val="et-EE"/>
        </w:rPr>
      </w:pPr>
      <w:r w:rsidRPr="00FA1890">
        <w:rPr>
          <w:b/>
          <w:noProof/>
          <w:lang w:val="et-EE"/>
        </w:rPr>
        <w:t>2.</w:t>
      </w:r>
      <w:r w:rsidR="00AF511E" w:rsidRPr="00FA1890">
        <w:rPr>
          <w:b/>
          <w:noProof/>
          <w:lang w:val="et-EE"/>
        </w:rPr>
        <w:t>3</w:t>
      </w:r>
      <w:r w:rsidR="00A43555" w:rsidRPr="00FA1890">
        <w:rPr>
          <w:b/>
          <w:noProof/>
          <w:lang w:val="et-EE"/>
        </w:rPr>
        <w:t>.</w:t>
      </w:r>
      <w:r w:rsidRPr="00FA1890">
        <w:rPr>
          <w:b/>
          <w:noProof/>
          <w:lang w:val="et-EE"/>
        </w:rPr>
        <w:t xml:space="preserve"> Riigiabi</w:t>
      </w:r>
      <w:r w:rsidR="00952281" w:rsidRPr="00FA1890">
        <w:rPr>
          <w:b/>
          <w:noProof/>
          <w:lang w:val="et-EE"/>
        </w:rPr>
        <w:t xml:space="preserve"> ja vähese tähtsusega abi</w:t>
      </w:r>
    </w:p>
    <w:p w14:paraId="13867BAB" w14:textId="29430346" w:rsidR="00DE768C" w:rsidRPr="00FA1890" w:rsidRDefault="00DE768C" w:rsidP="004034F3">
      <w:pPr>
        <w:jc w:val="both"/>
        <w:rPr>
          <w:bCs/>
          <w:noProof/>
          <w:lang w:val="et-EE"/>
        </w:rPr>
      </w:pPr>
    </w:p>
    <w:p w14:paraId="74BAFE7E" w14:textId="57DD8EA5" w:rsidR="00C42F80" w:rsidRPr="00FA1890" w:rsidRDefault="00C42F80" w:rsidP="004034F3">
      <w:pPr>
        <w:jc w:val="both"/>
        <w:rPr>
          <w:bCs/>
          <w:lang w:val="et-EE"/>
        </w:rPr>
      </w:pPr>
      <w:r w:rsidRPr="00FA1890">
        <w:rPr>
          <w:bCs/>
          <w:lang w:val="et-EE"/>
        </w:rPr>
        <w:t>Riigiabi reeglistiku eesmärk on välistada igasugune Euroopa Liidu siseturu kaitset kahjustav ja konkurentsi moonutav abi ettevõtjatele riigi poolt, mis on keelatud juba Euroopa Liidu aluslepingute tasemel. Euroopa Liidu toimimise lepingu (ELTL) artikli 107 kohaselt on siseturuga kokkusobimatu igasugune liikmesriigi poolt või riigi (sh riigisisesed haldusüksused) ressurssidest ükskõik missugusel kujul antav abi, mis kahjustab või ähvardab kahjustada konkurentsi, soodustades teatud ettevõtjaid või teatud kaupade tootmist.</w:t>
      </w:r>
    </w:p>
    <w:p w14:paraId="26AB814A" w14:textId="77777777" w:rsidR="00C42F80" w:rsidRPr="00FA1890" w:rsidRDefault="00C42F80" w:rsidP="004034F3">
      <w:pPr>
        <w:jc w:val="both"/>
        <w:rPr>
          <w:bCs/>
          <w:lang w:val="et-EE"/>
        </w:rPr>
      </w:pPr>
    </w:p>
    <w:p w14:paraId="6E8A3E63" w14:textId="00432CFF" w:rsidR="00C039E7" w:rsidRPr="00FA1890" w:rsidRDefault="00C039E7" w:rsidP="004034F3">
      <w:pPr>
        <w:jc w:val="both"/>
        <w:rPr>
          <w:bCs/>
          <w:lang w:val="et-EE"/>
        </w:rPr>
      </w:pPr>
      <w:r w:rsidRPr="00FA1890">
        <w:rPr>
          <w:bCs/>
          <w:lang w:val="et-EE"/>
        </w:rPr>
        <w:t xml:space="preserve">TAT raames maksab töötukassa </w:t>
      </w:r>
      <w:r w:rsidR="007870EF" w:rsidRPr="00FA1890">
        <w:rPr>
          <w:bCs/>
          <w:lang w:val="et-EE"/>
        </w:rPr>
        <w:t>tööle asumise toetust</w:t>
      </w:r>
      <w:r w:rsidRPr="00FA1890">
        <w:rPr>
          <w:bCs/>
          <w:lang w:val="et-EE"/>
        </w:rPr>
        <w:t xml:space="preserve"> põlevkivisektori ettevõttest koondatule (töötule)</w:t>
      </w:r>
      <w:r w:rsidR="00A4386E" w:rsidRPr="00FA1890">
        <w:rPr>
          <w:bCs/>
          <w:lang w:val="et-EE"/>
        </w:rPr>
        <w:t>,</w:t>
      </w:r>
      <w:r w:rsidRPr="00FA1890">
        <w:rPr>
          <w:bCs/>
          <w:lang w:val="et-EE"/>
        </w:rPr>
        <w:t xml:space="preserve"> sama sektori töötajale</w:t>
      </w:r>
      <w:r w:rsidR="00AE3C0D" w:rsidRPr="00FA1890">
        <w:rPr>
          <w:bCs/>
          <w:lang w:val="et-EE"/>
        </w:rPr>
        <w:t xml:space="preserve"> või endisele töötajale</w:t>
      </w:r>
      <w:r w:rsidRPr="00FA1890">
        <w:rPr>
          <w:bCs/>
          <w:lang w:val="et-EE"/>
        </w:rPr>
        <w:t xml:space="preserve"> tasemeõppe</w:t>
      </w:r>
      <w:r w:rsidR="00AE3C0D" w:rsidRPr="00FA1890">
        <w:rPr>
          <w:bCs/>
          <w:lang w:val="et-EE"/>
        </w:rPr>
        <w:t>s osalemise ja mikrokvalifikatsiooni omandamise toetust.</w:t>
      </w:r>
    </w:p>
    <w:p w14:paraId="761926F8" w14:textId="77777777" w:rsidR="007870EF" w:rsidRPr="00FA1890" w:rsidRDefault="007870EF" w:rsidP="004034F3">
      <w:pPr>
        <w:jc w:val="both"/>
        <w:rPr>
          <w:bCs/>
          <w:lang w:val="et-EE"/>
        </w:rPr>
      </w:pPr>
    </w:p>
    <w:p w14:paraId="441B5A0E" w14:textId="00958F37" w:rsidR="006B33CF" w:rsidRPr="00FA1890" w:rsidRDefault="006B33CF" w:rsidP="004034F3">
      <w:pPr>
        <w:jc w:val="both"/>
        <w:rPr>
          <w:bCs/>
          <w:lang w:val="et-EE"/>
        </w:rPr>
      </w:pPr>
      <w:r w:rsidRPr="00FA1890">
        <w:rPr>
          <w:bCs/>
          <w:lang w:val="et-EE"/>
        </w:rPr>
        <w:t>Kuna TAT alusel on toetuse saajad inimesed, mitte ettevõtjad, siis riigiabi reeglid toetusele ei kohaldu</w:t>
      </w:r>
      <w:r w:rsidR="007870EF" w:rsidRPr="00FA1890">
        <w:rPr>
          <w:bCs/>
          <w:lang w:val="et-EE"/>
        </w:rPr>
        <w:t>.</w:t>
      </w:r>
      <w:r w:rsidR="00C039E7" w:rsidRPr="00FA1890">
        <w:rPr>
          <w:bCs/>
          <w:lang w:val="et-EE"/>
        </w:rPr>
        <w:t xml:space="preserve"> </w:t>
      </w:r>
      <w:r w:rsidR="007870EF" w:rsidRPr="00FA1890">
        <w:rPr>
          <w:bCs/>
          <w:lang w:val="et-EE"/>
        </w:rPr>
        <w:t>T</w:t>
      </w:r>
      <w:r w:rsidR="00C039E7" w:rsidRPr="00FA1890">
        <w:rPr>
          <w:bCs/>
          <w:lang w:val="et-EE"/>
        </w:rPr>
        <w:t xml:space="preserve">asemeõppe eriala </w:t>
      </w:r>
      <w:r w:rsidR="007870EF" w:rsidRPr="00FA1890">
        <w:rPr>
          <w:bCs/>
          <w:lang w:val="et-EE"/>
        </w:rPr>
        <w:t xml:space="preserve">ei tohi olla </w:t>
      </w:r>
      <w:r w:rsidR="00C039E7" w:rsidRPr="00FA1890">
        <w:rPr>
          <w:bCs/>
          <w:lang w:val="et-EE"/>
        </w:rPr>
        <w:t xml:space="preserve">seotud töötamise valdkonnaga, seega ei </w:t>
      </w:r>
      <w:r w:rsidR="007870EF" w:rsidRPr="00FA1890">
        <w:rPr>
          <w:bCs/>
          <w:lang w:val="et-EE"/>
        </w:rPr>
        <w:t xml:space="preserve">ole </w:t>
      </w:r>
      <w:r w:rsidR="00C039E7" w:rsidRPr="00FA1890">
        <w:rPr>
          <w:bCs/>
          <w:lang w:val="et-EE"/>
        </w:rPr>
        <w:t>ettevõte, kus töötaja töötab</w:t>
      </w:r>
      <w:r w:rsidR="00686232" w:rsidRPr="00FA1890">
        <w:rPr>
          <w:bCs/>
          <w:lang w:val="et-EE"/>
        </w:rPr>
        <w:t>,</w:t>
      </w:r>
      <w:r w:rsidR="00C039E7" w:rsidRPr="00FA1890">
        <w:rPr>
          <w:bCs/>
          <w:lang w:val="et-EE"/>
        </w:rPr>
        <w:t xml:space="preserve"> kaudne abisaaja.</w:t>
      </w:r>
      <w:r w:rsidR="00EA7A26" w:rsidRPr="00FA1890">
        <w:rPr>
          <w:bCs/>
          <w:lang w:val="et-EE"/>
        </w:rPr>
        <w:t xml:space="preserve"> Kaudne abi saaja ei ole ka ettevõte, kuhu tööle asumise toetuse saaja tööle asub, sest tegemist ei ole ettevõtte makstava palgakulu katmisega.</w:t>
      </w:r>
    </w:p>
    <w:p w14:paraId="1B3904A8" w14:textId="77777777" w:rsidR="009719DC" w:rsidRPr="00FA1890" w:rsidRDefault="009719DC" w:rsidP="004034F3">
      <w:pPr>
        <w:jc w:val="both"/>
        <w:rPr>
          <w:bCs/>
          <w:noProof/>
          <w:lang w:val="et-EE"/>
        </w:rPr>
      </w:pPr>
    </w:p>
    <w:p w14:paraId="240CC3E3" w14:textId="7CCB9F97" w:rsidR="003349CB" w:rsidRPr="00FA1890" w:rsidRDefault="00DE768C" w:rsidP="004034F3">
      <w:pPr>
        <w:rPr>
          <w:b/>
          <w:noProof/>
          <w:lang w:val="et-EE"/>
        </w:rPr>
      </w:pPr>
      <w:bookmarkStart w:id="10" w:name="_Hlk128662314"/>
      <w:bookmarkStart w:id="11" w:name="_Hlk85528821"/>
      <w:r w:rsidRPr="00FA1890">
        <w:rPr>
          <w:b/>
          <w:noProof/>
          <w:lang w:val="et-EE"/>
        </w:rPr>
        <w:t xml:space="preserve">Punkt </w:t>
      </w:r>
      <w:r w:rsidR="003349CB" w:rsidRPr="00FA1890">
        <w:rPr>
          <w:b/>
          <w:noProof/>
          <w:lang w:val="et-EE"/>
        </w:rPr>
        <w:t>3</w:t>
      </w:r>
      <w:r w:rsidRPr="00FA1890">
        <w:rPr>
          <w:b/>
          <w:noProof/>
          <w:lang w:val="et-EE"/>
        </w:rPr>
        <w:t xml:space="preserve"> „Näitajad</w:t>
      </w:r>
      <w:r w:rsidR="003349CB" w:rsidRPr="00FA1890">
        <w:rPr>
          <w:b/>
          <w:noProof/>
          <w:lang w:val="et-EE"/>
        </w:rPr>
        <w:t>“</w:t>
      </w:r>
    </w:p>
    <w:p w14:paraId="18C39CA8" w14:textId="77777777" w:rsidR="003349CB" w:rsidRPr="00FA1890" w:rsidRDefault="003349CB" w:rsidP="004034F3">
      <w:pPr>
        <w:jc w:val="both"/>
        <w:rPr>
          <w:bCs/>
          <w:noProof/>
          <w:lang w:val="et-EE"/>
        </w:rPr>
      </w:pPr>
    </w:p>
    <w:p w14:paraId="2006617C" w14:textId="2C21E30B" w:rsidR="00CD5180" w:rsidRPr="00FA1890" w:rsidRDefault="003A03C9" w:rsidP="004034F3">
      <w:pPr>
        <w:jc w:val="both"/>
        <w:rPr>
          <w:lang w:val="et-EE"/>
        </w:rPr>
      </w:pPr>
      <w:r w:rsidRPr="00FA1890">
        <w:rPr>
          <w:lang w:val="et-EE"/>
        </w:rPr>
        <w:t>Punktis 3 on nimetatud TAT näitajad, mis aitavad mõõta eesmärkide saavutamist nii kvantitatiivselt, kvalitatiivselt kui ajaliselt. Punktis on esitatud meetmete nimekirja väljund</w:t>
      </w:r>
      <w:r w:rsidR="00A25E1F" w:rsidRPr="00FA1890">
        <w:rPr>
          <w:lang w:val="et-EE"/>
        </w:rPr>
        <w:t>näitaja</w:t>
      </w:r>
      <w:r w:rsidRPr="00FA1890">
        <w:rPr>
          <w:lang w:val="et-EE"/>
        </w:rPr>
        <w:t xml:space="preserve"> ja tulemusnäitaja </w:t>
      </w:r>
      <w:r w:rsidRPr="00FA1890">
        <w:rPr>
          <w:lang w:val="et-EE"/>
        </w:rPr>
        <w:lastRenderedPageBreak/>
        <w:t xml:space="preserve">ning nende jaotus tegevuste kaupa, nende algtasemed </w:t>
      </w:r>
      <w:r w:rsidR="00A25E1F" w:rsidRPr="00FA1890">
        <w:rPr>
          <w:lang w:val="et-EE"/>
        </w:rPr>
        <w:t>ja</w:t>
      </w:r>
      <w:r w:rsidRPr="00FA1890">
        <w:rPr>
          <w:lang w:val="et-EE"/>
        </w:rPr>
        <w:t xml:space="preserve"> sihttasemed aastateks 2024 ja 202</w:t>
      </w:r>
      <w:r w:rsidR="00056046" w:rsidRPr="00FA1890">
        <w:rPr>
          <w:lang w:val="et-EE"/>
        </w:rPr>
        <w:t>9</w:t>
      </w:r>
      <w:r w:rsidRPr="00FA1890">
        <w:rPr>
          <w:lang w:val="et-EE"/>
        </w:rPr>
        <w:t xml:space="preserve">. Samuti on esitatud näitajate sisu </w:t>
      </w:r>
      <w:r w:rsidR="00A25E1F" w:rsidRPr="00FA1890">
        <w:rPr>
          <w:lang w:val="et-EE"/>
        </w:rPr>
        <w:t>ja</w:t>
      </w:r>
      <w:r w:rsidRPr="00FA1890">
        <w:rPr>
          <w:lang w:val="et-EE"/>
        </w:rPr>
        <w:t xml:space="preserve"> teave näitajate saavutamistaseme tõendite kogumise kohta.</w:t>
      </w:r>
    </w:p>
    <w:p w14:paraId="6FA2094D" w14:textId="77777777" w:rsidR="00C85368" w:rsidRPr="00FA1890" w:rsidRDefault="00C85368" w:rsidP="004034F3">
      <w:pPr>
        <w:jc w:val="both"/>
        <w:rPr>
          <w:noProof/>
          <w:lang w:val="et-EE"/>
        </w:rPr>
      </w:pPr>
    </w:p>
    <w:p w14:paraId="5028F5ED" w14:textId="41752BBC" w:rsidR="00020F84" w:rsidRPr="00FA1890" w:rsidRDefault="00020F84" w:rsidP="004034F3">
      <w:pPr>
        <w:jc w:val="both"/>
        <w:rPr>
          <w:noProof/>
          <w:lang w:val="et-EE"/>
        </w:rPr>
      </w:pPr>
      <w:r w:rsidRPr="00FA1890">
        <w:rPr>
          <w:noProof/>
          <w:lang w:val="et-EE"/>
        </w:rPr>
        <w:t xml:space="preserve">Tööle asumise toetuse puhul on </w:t>
      </w:r>
      <w:r w:rsidR="00165D43" w:rsidRPr="00FA1890">
        <w:rPr>
          <w:noProof/>
          <w:lang w:val="et-EE"/>
        </w:rPr>
        <w:t>väljund</w:t>
      </w:r>
      <w:r w:rsidR="007A2106" w:rsidRPr="00FA1890">
        <w:rPr>
          <w:noProof/>
          <w:lang w:val="et-EE"/>
        </w:rPr>
        <w:t>näitajaks</w:t>
      </w:r>
      <w:r w:rsidR="00D9380B" w:rsidRPr="00FA1890">
        <w:rPr>
          <w:noProof/>
          <w:lang w:val="et-EE"/>
        </w:rPr>
        <w:t xml:space="preserve"> osalejate</w:t>
      </w:r>
      <w:r w:rsidR="00165D43" w:rsidRPr="00FA1890">
        <w:rPr>
          <w:noProof/>
          <w:lang w:val="et-EE"/>
        </w:rPr>
        <w:t xml:space="preserve"> arv, mille</w:t>
      </w:r>
      <w:r w:rsidR="004373E2" w:rsidRPr="00FA1890">
        <w:rPr>
          <w:noProof/>
          <w:lang w:val="et-EE"/>
        </w:rPr>
        <w:t xml:space="preserve"> </w:t>
      </w:r>
      <w:r w:rsidRPr="00FA1890">
        <w:rPr>
          <w:noProof/>
          <w:lang w:val="et-EE"/>
        </w:rPr>
        <w:t xml:space="preserve">prognoosimisel </w:t>
      </w:r>
      <w:r w:rsidR="00165D43" w:rsidRPr="00FA1890">
        <w:rPr>
          <w:noProof/>
          <w:lang w:val="et-EE"/>
        </w:rPr>
        <w:t xml:space="preserve">on </w:t>
      </w:r>
      <w:r w:rsidRPr="00FA1890">
        <w:rPr>
          <w:noProof/>
          <w:lang w:val="et-EE"/>
        </w:rPr>
        <w:t>lähtutud viimaste aastate (2019</w:t>
      </w:r>
      <w:r w:rsidR="00610EF0" w:rsidRPr="00FA1890">
        <w:rPr>
          <w:noProof/>
          <w:lang w:val="et-EE"/>
        </w:rPr>
        <w:t>–2020)</w:t>
      </w:r>
      <w:r w:rsidRPr="00FA1890">
        <w:rPr>
          <w:noProof/>
          <w:lang w:val="et-EE"/>
        </w:rPr>
        <w:t xml:space="preserve"> kogemusest, mil sektorist koondati aastas </w:t>
      </w:r>
      <w:r w:rsidRPr="00FA1890">
        <w:rPr>
          <w:i/>
          <w:iCs/>
          <w:noProof/>
          <w:lang w:val="et-EE"/>
        </w:rPr>
        <w:t>ca</w:t>
      </w:r>
      <w:r w:rsidRPr="00FA1890">
        <w:rPr>
          <w:noProof/>
          <w:lang w:val="et-EE"/>
        </w:rPr>
        <w:t xml:space="preserve"> 600 inimest. Neist rakendub </w:t>
      </w:r>
      <w:r w:rsidR="00A4140A" w:rsidRPr="00FA1890">
        <w:rPr>
          <w:noProof/>
          <w:lang w:val="et-EE"/>
        </w:rPr>
        <w:t xml:space="preserve">töötukassa </w:t>
      </w:r>
      <w:r w:rsidRPr="00FA1890">
        <w:rPr>
          <w:noProof/>
          <w:lang w:val="et-EE"/>
        </w:rPr>
        <w:t xml:space="preserve">varasematele andmetele tuginedes </w:t>
      </w:r>
      <w:r w:rsidR="00E94E83" w:rsidRPr="00FA1890">
        <w:rPr>
          <w:noProof/>
          <w:lang w:val="et-EE"/>
        </w:rPr>
        <w:t>100</w:t>
      </w:r>
      <w:r w:rsidR="00A4140A" w:rsidRPr="00FA1890">
        <w:rPr>
          <w:noProof/>
          <w:lang w:val="et-EE"/>
        </w:rPr>
        <w:t> päeva</w:t>
      </w:r>
      <w:r w:rsidRPr="00FA1890">
        <w:rPr>
          <w:noProof/>
          <w:lang w:val="et-EE"/>
        </w:rPr>
        <w:t xml:space="preserve"> jooksul eelduslikult </w:t>
      </w:r>
      <w:r w:rsidRPr="00FA1890">
        <w:rPr>
          <w:i/>
          <w:iCs/>
          <w:noProof/>
          <w:lang w:val="et-EE"/>
        </w:rPr>
        <w:t>ca</w:t>
      </w:r>
      <w:r w:rsidRPr="00FA1890">
        <w:rPr>
          <w:noProof/>
          <w:lang w:val="et-EE"/>
        </w:rPr>
        <w:t xml:space="preserve"> </w:t>
      </w:r>
      <w:r w:rsidR="00697DB4" w:rsidRPr="00FA1890">
        <w:rPr>
          <w:noProof/>
          <w:lang w:val="et-EE"/>
        </w:rPr>
        <w:t>13</w:t>
      </w:r>
      <w:r w:rsidRPr="00FA1890">
        <w:rPr>
          <w:lang w:val="et-EE"/>
        </w:rPr>
        <w:t>%</w:t>
      </w:r>
      <w:r w:rsidR="003936EF" w:rsidRPr="00FA1890">
        <w:rPr>
          <w:noProof/>
          <w:lang w:val="et-EE"/>
        </w:rPr>
        <w:t xml:space="preserve"> (20</w:t>
      </w:r>
      <w:r w:rsidR="0047740D" w:rsidRPr="00FA1890">
        <w:rPr>
          <w:noProof/>
          <w:lang w:val="et-EE"/>
        </w:rPr>
        <w:t>17</w:t>
      </w:r>
      <w:r w:rsidR="00A4140A" w:rsidRPr="00FA1890">
        <w:rPr>
          <w:noProof/>
          <w:lang w:val="et-EE"/>
        </w:rPr>
        <w:t>.–2021. aastal</w:t>
      </w:r>
      <w:r w:rsidR="0047740D" w:rsidRPr="00FA1890">
        <w:rPr>
          <w:noProof/>
          <w:lang w:val="et-EE"/>
        </w:rPr>
        <w:t xml:space="preserve"> Ida-Virumaa põlevkivisekorist koondat</w:t>
      </w:r>
      <w:r w:rsidR="00D4659B" w:rsidRPr="00FA1890">
        <w:rPr>
          <w:noProof/>
          <w:lang w:val="et-EE"/>
        </w:rPr>
        <w:t>ute 100</w:t>
      </w:r>
      <w:r w:rsidR="00A4140A" w:rsidRPr="00FA1890">
        <w:rPr>
          <w:noProof/>
          <w:lang w:val="et-EE"/>
        </w:rPr>
        <w:t> päeva</w:t>
      </w:r>
      <w:r w:rsidR="00D4659B" w:rsidRPr="00FA1890">
        <w:rPr>
          <w:noProof/>
          <w:lang w:val="et-EE"/>
        </w:rPr>
        <w:t xml:space="preserve"> jooksul rakendunute</w:t>
      </w:r>
      <w:r w:rsidR="0047740D" w:rsidRPr="00FA1890">
        <w:rPr>
          <w:noProof/>
          <w:lang w:val="et-EE"/>
        </w:rPr>
        <w:t xml:space="preserve"> keskmine)</w:t>
      </w:r>
      <w:r w:rsidRPr="00FA1890">
        <w:rPr>
          <w:noProof/>
          <w:lang w:val="et-EE"/>
        </w:rPr>
        <w:t xml:space="preserve">. Lisaks on eeldatud, et meede võib ajendada sihtrühma kuuluvaid isikuid </w:t>
      </w:r>
      <w:r w:rsidR="00A4140A" w:rsidRPr="00FA1890">
        <w:rPr>
          <w:noProof/>
          <w:lang w:val="et-EE"/>
        </w:rPr>
        <w:t xml:space="preserve">liikuma </w:t>
      </w:r>
      <w:r w:rsidRPr="00FA1890">
        <w:rPr>
          <w:noProof/>
          <w:lang w:val="et-EE"/>
        </w:rPr>
        <w:t>esimese 100 päeva jooksul uuele tööle</w:t>
      </w:r>
      <w:r w:rsidR="00A4140A" w:rsidRPr="00FA1890">
        <w:rPr>
          <w:noProof/>
          <w:lang w:val="et-EE"/>
        </w:rPr>
        <w:t>,</w:t>
      </w:r>
      <w:r w:rsidRPr="00FA1890">
        <w:rPr>
          <w:noProof/>
          <w:lang w:val="et-EE"/>
        </w:rPr>
        <w:t xml:space="preserve"> mistõttu võib meetmest ajendatuna sihtrühm suureneda </w:t>
      </w:r>
      <w:r w:rsidRPr="00FA1890">
        <w:rPr>
          <w:i/>
          <w:iCs/>
          <w:noProof/>
          <w:lang w:val="et-EE"/>
        </w:rPr>
        <w:t>ca</w:t>
      </w:r>
      <w:r w:rsidRPr="00FA1890">
        <w:rPr>
          <w:noProof/>
          <w:lang w:val="et-EE"/>
        </w:rPr>
        <w:t xml:space="preserve"> 5%. Siiski peab arvestama, et tulenevalt põlevkivisektori arengu</w:t>
      </w:r>
      <w:r w:rsidR="00012C8A" w:rsidRPr="00FA1890">
        <w:rPr>
          <w:noProof/>
          <w:lang w:val="et-EE"/>
        </w:rPr>
        <w:t>suundade</w:t>
      </w:r>
      <w:r w:rsidRPr="00FA1890">
        <w:rPr>
          <w:noProof/>
          <w:lang w:val="et-EE"/>
        </w:rPr>
        <w:t xml:space="preserve"> määramatusest</w:t>
      </w:r>
      <w:r w:rsidRPr="00FA1890">
        <w:rPr>
          <w:rStyle w:val="Allmrkuseviide"/>
          <w:noProof/>
          <w:lang w:val="et-EE"/>
        </w:rPr>
        <w:footnoteReference w:id="6"/>
      </w:r>
      <w:r w:rsidRPr="00FA1890">
        <w:rPr>
          <w:noProof/>
          <w:lang w:val="et-EE"/>
        </w:rPr>
        <w:t xml:space="preserve"> võib aastane meetmesse sisenejate arv olla prognoositust oluliselt väiksem või suurem ja võib aastati olla väga kõikuv.</w:t>
      </w:r>
    </w:p>
    <w:p w14:paraId="7EAA7FB7" w14:textId="2540F3E8" w:rsidR="004373E2" w:rsidRPr="00FA1890" w:rsidRDefault="004373E2" w:rsidP="004034F3">
      <w:pPr>
        <w:jc w:val="both"/>
        <w:rPr>
          <w:noProof/>
          <w:lang w:val="et-EE"/>
        </w:rPr>
      </w:pPr>
    </w:p>
    <w:p w14:paraId="6E946F6D" w14:textId="2B0FDD83" w:rsidR="005C5103" w:rsidRPr="00FA1890" w:rsidRDefault="004373E2" w:rsidP="004034F3">
      <w:pPr>
        <w:jc w:val="both"/>
        <w:rPr>
          <w:noProof/>
          <w:lang w:val="et-EE"/>
        </w:rPr>
      </w:pPr>
      <w:r w:rsidRPr="00FA1890">
        <w:rPr>
          <w:noProof/>
          <w:lang w:val="et-EE"/>
        </w:rPr>
        <w:t>Tasemeõppe</w:t>
      </w:r>
      <w:r w:rsidR="00A25E1F" w:rsidRPr="00FA1890">
        <w:rPr>
          <w:noProof/>
          <w:lang w:val="et-EE"/>
        </w:rPr>
        <w:t>s osalemise</w:t>
      </w:r>
      <w:r w:rsidRPr="00FA1890">
        <w:rPr>
          <w:noProof/>
          <w:lang w:val="et-EE"/>
        </w:rPr>
        <w:t xml:space="preserve"> toetuse </w:t>
      </w:r>
      <w:r w:rsidR="007A2106" w:rsidRPr="00FA1890">
        <w:rPr>
          <w:noProof/>
          <w:lang w:val="et-EE"/>
        </w:rPr>
        <w:t xml:space="preserve">puhul on </w:t>
      </w:r>
      <w:r w:rsidRPr="00FA1890">
        <w:rPr>
          <w:noProof/>
          <w:lang w:val="et-EE"/>
        </w:rPr>
        <w:t>väljund</w:t>
      </w:r>
      <w:r w:rsidR="007A2106" w:rsidRPr="00FA1890">
        <w:rPr>
          <w:noProof/>
          <w:lang w:val="et-EE"/>
        </w:rPr>
        <w:t>näitajaks</w:t>
      </w:r>
      <w:r w:rsidR="00D9380B" w:rsidRPr="00FA1890">
        <w:rPr>
          <w:noProof/>
          <w:lang w:val="et-EE"/>
        </w:rPr>
        <w:t xml:space="preserve"> osalejate</w:t>
      </w:r>
      <w:r w:rsidRPr="00FA1890">
        <w:rPr>
          <w:noProof/>
          <w:lang w:val="et-EE"/>
        </w:rPr>
        <w:t xml:space="preserve"> arv </w:t>
      </w:r>
      <w:r w:rsidR="007A2106" w:rsidRPr="00FA1890">
        <w:rPr>
          <w:noProof/>
          <w:lang w:val="et-EE"/>
        </w:rPr>
        <w:t>ja</w:t>
      </w:r>
      <w:r w:rsidRPr="00FA1890">
        <w:rPr>
          <w:noProof/>
          <w:lang w:val="et-EE"/>
        </w:rPr>
        <w:t xml:space="preserve"> mikrokvalifikatsiooni </w:t>
      </w:r>
      <w:r w:rsidR="007A2106" w:rsidRPr="00FA1890">
        <w:rPr>
          <w:noProof/>
          <w:lang w:val="et-EE"/>
        </w:rPr>
        <w:t xml:space="preserve">omandamise toetuse </w:t>
      </w:r>
      <w:r w:rsidRPr="00FA1890">
        <w:rPr>
          <w:noProof/>
          <w:lang w:val="et-EE"/>
        </w:rPr>
        <w:t xml:space="preserve">puhul </w:t>
      </w:r>
      <w:r w:rsidR="007A2106" w:rsidRPr="00FA1890">
        <w:rPr>
          <w:noProof/>
          <w:lang w:val="et-EE"/>
        </w:rPr>
        <w:t>on väljundnäitajaks</w:t>
      </w:r>
      <w:r w:rsidRPr="00FA1890">
        <w:rPr>
          <w:noProof/>
          <w:lang w:val="et-EE"/>
        </w:rPr>
        <w:t xml:space="preserve"> lõpetanute arv.</w:t>
      </w:r>
      <w:r w:rsidR="00776D15" w:rsidRPr="00FA1890">
        <w:rPr>
          <w:noProof/>
          <w:lang w:val="et-EE"/>
        </w:rPr>
        <w:t xml:space="preserve"> </w:t>
      </w:r>
      <w:r w:rsidR="00EB589B" w:rsidRPr="00FA1890">
        <w:rPr>
          <w:noProof/>
          <w:lang w:val="et-EE"/>
        </w:rPr>
        <w:t xml:space="preserve">Mikrokvalifikatsiooni </w:t>
      </w:r>
      <w:r w:rsidR="007A2106" w:rsidRPr="00FA1890">
        <w:rPr>
          <w:noProof/>
          <w:lang w:val="et-EE"/>
        </w:rPr>
        <w:t xml:space="preserve">omandamise </w:t>
      </w:r>
      <w:r w:rsidR="00EB589B" w:rsidRPr="00FA1890">
        <w:rPr>
          <w:noProof/>
          <w:lang w:val="et-EE"/>
        </w:rPr>
        <w:t xml:space="preserve">toetuse puhul loetakse tegevusse sisenejaks need, kes on mikrokvalifikatsiooni omandanud ja esitavad taotluse </w:t>
      </w:r>
      <w:r w:rsidR="00783D63" w:rsidRPr="00FA1890">
        <w:rPr>
          <w:noProof/>
          <w:lang w:val="et-EE"/>
        </w:rPr>
        <w:t>toetuse saamiseks.</w:t>
      </w:r>
    </w:p>
    <w:p w14:paraId="6FD3BAA2" w14:textId="77777777" w:rsidR="00020F84" w:rsidRPr="00FA1890" w:rsidRDefault="00020F84" w:rsidP="004034F3">
      <w:pPr>
        <w:jc w:val="both"/>
        <w:rPr>
          <w:lang w:val="et-EE"/>
        </w:rPr>
      </w:pPr>
    </w:p>
    <w:p w14:paraId="473AB29B" w14:textId="64081FAF" w:rsidR="007474EE" w:rsidRPr="00FA1890" w:rsidRDefault="00E044F9" w:rsidP="004034F3">
      <w:pPr>
        <w:jc w:val="both"/>
        <w:rPr>
          <w:noProof/>
          <w:lang w:val="et-EE"/>
        </w:rPr>
      </w:pPr>
      <w:r w:rsidRPr="00FA1890">
        <w:rPr>
          <w:noProof/>
          <w:lang w:val="et-EE"/>
        </w:rPr>
        <w:t>T</w:t>
      </w:r>
      <w:r w:rsidR="00FF0138" w:rsidRPr="00FA1890">
        <w:rPr>
          <w:noProof/>
          <w:lang w:val="et-EE"/>
        </w:rPr>
        <w:t>asemeõppe</w:t>
      </w:r>
      <w:r w:rsidR="007A2106" w:rsidRPr="00FA1890">
        <w:rPr>
          <w:noProof/>
          <w:lang w:val="et-EE"/>
        </w:rPr>
        <w:t>s osalemise</w:t>
      </w:r>
      <w:r w:rsidR="00777AD5" w:rsidRPr="00FA1890">
        <w:rPr>
          <w:noProof/>
          <w:lang w:val="et-EE"/>
        </w:rPr>
        <w:t xml:space="preserve"> toet</w:t>
      </w:r>
      <w:r w:rsidR="007A2106" w:rsidRPr="00FA1890">
        <w:rPr>
          <w:noProof/>
          <w:lang w:val="et-EE"/>
        </w:rPr>
        <w:t xml:space="preserve">use </w:t>
      </w:r>
      <w:r w:rsidRPr="00FA1890">
        <w:rPr>
          <w:noProof/>
          <w:lang w:val="et-EE"/>
        </w:rPr>
        <w:t>väljundnäitaja arvutamisel on</w:t>
      </w:r>
      <w:r w:rsidR="00777AD5" w:rsidRPr="00FA1890">
        <w:rPr>
          <w:noProof/>
          <w:lang w:val="et-EE"/>
        </w:rPr>
        <w:t xml:space="preserve"> </w:t>
      </w:r>
      <w:r w:rsidR="00D74FB5" w:rsidRPr="00FA1890">
        <w:rPr>
          <w:noProof/>
          <w:lang w:val="et-EE"/>
        </w:rPr>
        <w:t>a</w:t>
      </w:r>
      <w:r w:rsidR="00777AD5" w:rsidRPr="00FA1890">
        <w:rPr>
          <w:noProof/>
          <w:lang w:val="et-EE"/>
        </w:rPr>
        <w:t>luseks võetud senine tasemeõppes osalejate ja registreeritud töötute statistika. Ida-Virumaa on kõige aktiivsem tasemeõppes osalemise toetuse</w:t>
      </w:r>
      <w:r w:rsidR="00754BBF" w:rsidRPr="00FA1890">
        <w:rPr>
          <w:lang w:val="et-EE"/>
        </w:rPr>
        <w:t xml:space="preserve"> kasutaja.</w:t>
      </w:r>
      <w:r w:rsidR="00777AD5" w:rsidRPr="00FA1890">
        <w:rPr>
          <w:noProof/>
          <w:lang w:val="et-EE"/>
        </w:rPr>
        <w:t xml:space="preserve"> Ida-Virumaa on seni moodustanud kogu tasemeõppes osalejatest </w:t>
      </w:r>
      <w:r w:rsidR="00610EF0" w:rsidRPr="00FA1890">
        <w:rPr>
          <w:noProof/>
          <w:lang w:val="et-EE"/>
        </w:rPr>
        <w:t>30–</w:t>
      </w:r>
      <w:r w:rsidR="00777AD5" w:rsidRPr="00FA1890">
        <w:rPr>
          <w:noProof/>
          <w:lang w:val="et-EE"/>
        </w:rPr>
        <w:t>40%. Aastas on tasemeõpet alustanud 300</w:t>
      </w:r>
      <w:r w:rsidR="00A43555" w:rsidRPr="00FA1890">
        <w:rPr>
          <w:noProof/>
          <w:lang w:val="et-EE"/>
        </w:rPr>
        <w:t>–400</w:t>
      </w:r>
      <w:r w:rsidR="00777AD5" w:rsidRPr="00FA1890">
        <w:rPr>
          <w:noProof/>
          <w:lang w:val="et-EE"/>
        </w:rPr>
        <w:t xml:space="preserve"> Ida-Virumaa inimest. Suurema osa Ida-Virumaa tasemeõppes osalejatest on moodustanud töötud (</w:t>
      </w:r>
      <w:r w:rsidR="00777AD5" w:rsidRPr="00FA1890">
        <w:rPr>
          <w:i/>
          <w:iCs/>
          <w:noProof/>
          <w:lang w:val="et-EE"/>
        </w:rPr>
        <w:t>ca</w:t>
      </w:r>
      <w:r w:rsidR="00777AD5" w:rsidRPr="00FA1890">
        <w:rPr>
          <w:noProof/>
          <w:lang w:val="et-EE"/>
        </w:rPr>
        <w:t xml:space="preserve"> 80%). Põlevkivisektorist töötuna arvel</w:t>
      </w:r>
      <w:r w:rsidR="00732149" w:rsidRPr="00FA1890">
        <w:rPr>
          <w:noProof/>
          <w:lang w:val="et-EE"/>
        </w:rPr>
        <w:t xml:space="preserve"> olijate</w:t>
      </w:r>
      <w:r w:rsidR="00777AD5" w:rsidRPr="00FA1890">
        <w:rPr>
          <w:noProof/>
          <w:lang w:val="et-EE"/>
        </w:rPr>
        <w:t xml:space="preserve"> arv on olnud aastati erinev</w:t>
      </w:r>
      <w:r w:rsidRPr="00FA1890">
        <w:rPr>
          <w:noProof/>
          <w:lang w:val="et-EE"/>
        </w:rPr>
        <w:t>,</w:t>
      </w:r>
      <w:r w:rsidR="00777AD5" w:rsidRPr="00FA1890">
        <w:rPr>
          <w:noProof/>
          <w:lang w:val="et-EE"/>
        </w:rPr>
        <w:t xml:space="preserve"> ulatudes 150</w:t>
      </w:r>
      <w:r w:rsidRPr="00FA1890">
        <w:rPr>
          <w:noProof/>
          <w:lang w:val="et-EE"/>
        </w:rPr>
        <w:t>-</w:t>
      </w:r>
      <w:r w:rsidR="00777AD5" w:rsidRPr="00FA1890">
        <w:rPr>
          <w:noProof/>
          <w:lang w:val="et-EE"/>
        </w:rPr>
        <w:t>st 650</w:t>
      </w:r>
      <w:r w:rsidRPr="00FA1890">
        <w:rPr>
          <w:noProof/>
          <w:lang w:val="et-EE"/>
        </w:rPr>
        <w:t>-</w:t>
      </w:r>
      <w:r w:rsidR="00777AD5" w:rsidRPr="00FA1890">
        <w:rPr>
          <w:noProof/>
          <w:lang w:val="et-EE"/>
        </w:rPr>
        <w:t xml:space="preserve">ni (kuu jooksul keskmiselt). Aasta jooksul </w:t>
      </w:r>
      <w:r w:rsidR="00C446C2" w:rsidRPr="00FA1890">
        <w:rPr>
          <w:noProof/>
          <w:lang w:val="et-EE"/>
        </w:rPr>
        <w:t xml:space="preserve">on </w:t>
      </w:r>
      <w:r w:rsidR="00777AD5" w:rsidRPr="00FA1890">
        <w:rPr>
          <w:noProof/>
          <w:lang w:val="et-EE"/>
        </w:rPr>
        <w:t xml:space="preserve">tasemeõppesse sisenejaid on olnud </w:t>
      </w:r>
      <w:r w:rsidR="00777AD5" w:rsidRPr="00FA1890">
        <w:rPr>
          <w:i/>
          <w:iCs/>
          <w:noProof/>
          <w:lang w:val="et-EE"/>
        </w:rPr>
        <w:t>ca</w:t>
      </w:r>
      <w:r w:rsidR="00777AD5" w:rsidRPr="00FA1890">
        <w:rPr>
          <w:noProof/>
          <w:lang w:val="et-EE"/>
        </w:rPr>
        <w:t xml:space="preserve"> </w:t>
      </w:r>
      <w:r w:rsidR="00610EF0" w:rsidRPr="00FA1890">
        <w:rPr>
          <w:noProof/>
          <w:lang w:val="et-EE"/>
        </w:rPr>
        <w:t>4</w:t>
      </w:r>
      <w:r w:rsidR="00610EF0" w:rsidRPr="00FA1890">
        <w:rPr>
          <w:noProof/>
        </w:rPr>
        <w:t>–</w:t>
      </w:r>
      <w:r w:rsidR="00777AD5" w:rsidRPr="00FA1890">
        <w:rPr>
          <w:noProof/>
          <w:lang w:val="et-EE"/>
        </w:rPr>
        <w:t>5% kuu jooksul arvel olnud töötutest. Hõivatutest osaleb tasemeõppes väike osa. Ida-Virumaa hõivatute arv aastatel 2017</w:t>
      </w:r>
      <w:r w:rsidR="00610EF0" w:rsidRPr="00FA1890">
        <w:rPr>
          <w:noProof/>
          <w:lang w:val="et-EE"/>
        </w:rPr>
        <w:t>–2021</w:t>
      </w:r>
      <w:r w:rsidR="00777AD5" w:rsidRPr="00FA1890">
        <w:rPr>
          <w:noProof/>
          <w:lang w:val="et-EE"/>
        </w:rPr>
        <w:t xml:space="preserve"> jääb vahemikku </w:t>
      </w:r>
      <w:r w:rsidR="00610EF0" w:rsidRPr="00FA1890">
        <w:rPr>
          <w:noProof/>
          <w:lang w:val="et-EE"/>
        </w:rPr>
        <w:t>55–</w:t>
      </w:r>
      <w:r w:rsidR="00777AD5" w:rsidRPr="00FA1890">
        <w:rPr>
          <w:noProof/>
          <w:lang w:val="et-EE"/>
        </w:rPr>
        <w:t xml:space="preserve">59 tuhat ning tasemeõppes osalejad moodustasid nendest </w:t>
      </w:r>
      <w:r w:rsidR="00610EF0" w:rsidRPr="00FA1890">
        <w:rPr>
          <w:noProof/>
          <w:lang w:val="et-EE"/>
        </w:rPr>
        <w:t>0,1–</w:t>
      </w:r>
      <w:r w:rsidR="00777AD5" w:rsidRPr="00FA1890">
        <w:rPr>
          <w:noProof/>
          <w:lang w:val="et-EE"/>
        </w:rPr>
        <w:t>0,2%.</w:t>
      </w:r>
      <w:r w:rsidR="00963532" w:rsidRPr="00FA1890">
        <w:rPr>
          <w:noProof/>
          <w:lang w:val="et-EE"/>
        </w:rPr>
        <w:t xml:space="preserve"> </w:t>
      </w:r>
      <w:r w:rsidR="002241DC" w:rsidRPr="00FA1890">
        <w:rPr>
          <w:noProof/>
          <w:lang w:val="et-EE"/>
        </w:rPr>
        <w:t>Lisaks on arvestatud, et programmis ei ole taotlejatele seatud täiendavaid tingimusi</w:t>
      </w:r>
      <w:r w:rsidRPr="00FA1890">
        <w:rPr>
          <w:noProof/>
          <w:lang w:val="et-EE"/>
        </w:rPr>
        <w:t xml:space="preserve"> selle kohta</w:t>
      </w:r>
      <w:r w:rsidR="002241DC" w:rsidRPr="00FA1890">
        <w:rPr>
          <w:noProof/>
          <w:lang w:val="et-EE"/>
        </w:rPr>
        <w:t xml:space="preserve">, millal on kutse- või kõrgharidus omandatud. Samuti lisanduvad õppekavad, mis arvestavad </w:t>
      </w:r>
      <w:r w:rsidRPr="00FA1890">
        <w:rPr>
          <w:noProof/>
          <w:lang w:val="et-EE"/>
        </w:rPr>
        <w:t xml:space="preserve">rohkem </w:t>
      </w:r>
      <w:r w:rsidR="002241DC" w:rsidRPr="00FA1890">
        <w:rPr>
          <w:noProof/>
          <w:lang w:val="et-EE"/>
        </w:rPr>
        <w:t xml:space="preserve">piirkonna vajadusi ja inspireerivad ümber õppima või end täiendama. Seega on </w:t>
      </w:r>
      <w:r w:rsidRPr="00FA1890">
        <w:rPr>
          <w:noProof/>
          <w:lang w:val="et-EE"/>
        </w:rPr>
        <w:t xml:space="preserve">teenusele </w:t>
      </w:r>
      <w:r w:rsidR="002241DC" w:rsidRPr="00FA1890">
        <w:rPr>
          <w:noProof/>
          <w:lang w:val="et-EE"/>
        </w:rPr>
        <w:t>juurdepääsu võimalused suuremad.</w:t>
      </w:r>
    </w:p>
    <w:p w14:paraId="31E2B768" w14:textId="77777777" w:rsidR="00FF0138" w:rsidRPr="00FA1890" w:rsidRDefault="00FF0138" w:rsidP="004034F3">
      <w:pPr>
        <w:jc w:val="both"/>
        <w:rPr>
          <w:noProof/>
          <w:lang w:val="et-EE"/>
        </w:rPr>
      </w:pPr>
    </w:p>
    <w:p w14:paraId="61A2D51D" w14:textId="2EC28A92" w:rsidR="00FF0138" w:rsidRPr="00FA1890" w:rsidRDefault="00FF0138" w:rsidP="004034F3">
      <w:pPr>
        <w:jc w:val="both"/>
        <w:rPr>
          <w:noProof/>
          <w:lang w:val="et-EE"/>
        </w:rPr>
      </w:pPr>
      <w:r w:rsidRPr="00FA1890">
        <w:rPr>
          <w:noProof/>
          <w:lang w:val="et-EE"/>
        </w:rPr>
        <w:t xml:space="preserve">Mikrokvalifikatsiooni </w:t>
      </w:r>
      <w:r w:rsidR="007A2106" w:rsidRPr="00FA1890">
        <w:rPr>
          <w:noProof/>
          <w:lang w:val="et-EE"/>
        </w:rPr>
        <w:t xml:space="preserve">omandamise toetuse </w:t>
      </w:r>
      <w:r w:rsidR="004E4EC7" w:rsidRPr="00FA1890">
        <w:rPr>
          <w:noProof/>
          <w:lang w:val="et-EE"/>
        </w:rPr>
        <w:t>väljund</w:t>
      </w:r>
      <w:r w:rsidR="00E044F9" w:rsidRPr="00FA1890">
        <w:rPr>
          <w:noProof/>
          <w:lang w:val="et-EE"/>
        </w:rPr>
        <w:t>näitaja</w:t>
      </w:r>
      <w:r w:rsidRPr="00FA1890">
        <w:rPr>
          <w:noProof/>
          <w:lang w:val="et-EE"/>
        </w:rPr>
        <w:t xml:space="preserve"> prognoosimisel on lähtutud põlevkivisektoris töötavate inimeste koolitusele sisenemiste tasemest. 2021. aastal sisenes koolitus</w:t>
      </w:r>
      <w:r w:rsidR="00C446C2" w:rsidRPr="00FA1890">
        <w:rPr>
          <w:noProof/>
          <w:lang w:val="et-EE"/>
        </w:rPr>
        <w:t>t</w:t>
      </w:r>
      <w:r w:rsidRPr="00FA1890">
        <w:rPr>
          <w:noProof/>
          <w:lang w:val="et-EE"/>
        </w:rPr>
        <w:t xml:space="preserve"> </w:t>
      </w:r>
      <w:r w:rsidRPr="00FA1890">
        <w:rPr>
          <w:i/>
          <w:iCs/>
          <w:noProof/>
          <w:lang w:val="et-EE"/>
        </w:rPr>
        <w:t>ca</w:t>
      </w:r>
      <w:r w:rsidRPr="00FA1890">
        <w:rPr>
          <w:noProof/>
          <w:lang w:val="et-EE"/>
        </w:rPr>
        <w:t xml:space="preserve"> 150 põlevkivisektoris töötavat inimest. Mikrokvalifikatsiooni </w:t>
      </w:r>
      <w:r w:rsidR="00C446C2" w:rsidRPr="00FA1890">
        <w:rPr>
          <w:noProof/>
          <w:lang w:val="et-EE"/>
        </w:rPr>
        <w:t xml:space="preserve">omandamise </w:t>
      </w:r>
      <w:r w:rsidRPr="00FA1890">
        <w:rPr>
          <w:noProof/>
          <w:lang w:val="et-EE"/>
        </w:rPr>
        <w:t xml:space="preserve">eeldatav kestus on </w:t>
      </w:r>
      <w:r w:rsidR="00610EF0" w:rsidRPr="00FA1890">
        <w:rPr>
          <w:noProof/>
          <w:lang w:val="et-EE"/>
        </w:rPr>
        <w:t>1–</w:t>
      </w:r>
      <w:r w:rsidRPr="00FA1890">
        <w:rPr>
          <w:noProof/>
          <w:lang w:val="et-EE"/>
        </w:rPr>
        <w:t xml:space="preserve">3 semestrit. Prognoosis on eeldatud, et 25% </w:t>
      </w:r>
      <w:r w:rsidR="00E710C6" w:rsidRPr="00FA1890">
        <w:rPr>
          <w:noProof/>
          <w:lang w:val="et-EE"/>
        </w:rPr>
        <w:t xml:space="preserve">koolitusel </w:t>
      </w:r>
      <w:r w:rsidRPr="00FA1890">
        <w:rPr>
          <w:noProof/>
          <w:lang w:val="et-EE"/>
        </w:rPr>
        <w:t xml:space="preserve">osalenutest </w:t>
      </w:r>
      <w:r w:rsidR="00C446C2" w:rsidRPr="00FA1890">
        <w:rPr>
          <w:noProof/>
          <w:lang w:val="et-EE"/>
        </w:rPr>
        <w:t>omandab</w:t>
      </w:r>
      <w:r w:rsidRPr="00FA1890">
        <w:rPr>
          <w:noProof/>
          <w:lang w:val="et-EE"/>
        </w:rPr>
        <w:t xml:space="preserve"> mikrokvalifikatsiooni ühe semestriga, 50% kahe semestriga ja 25% kolme semestriga.</w:t>
      </w:r>
    </w:p>
    <w:p w14:paraId="009CA514" w14:textId="77777777" w:rsidR="00515425" w:rsidRPr="00FA1890" w:rsidRDefault="00515425" w:rsidP="004034F3">
      <w:pPr>
        <w:jc w:val="both"/>
        <w:rPr>
          <w:noProof/>
          <w:lang w:val="et-EE"/>
        </w:rPr>
      </w:pPr>
    </w:p>
    <w:p w14:paraId="56E46D8B" w14:textId="0410069B" w:rsidR="00515425" w:rsidRPr="00FA1890" w:rsidRDefault="00CD5180" w:rsidP="004034F3">
      <w:pPr>
        <w:jc w:val="both"/>
        <w:rPr>
          <w:noProof/>
          <w:lang w:val="et-EE"/>
        </w:rPr>
      </w:pPr>
      <w:r w:rsidRPr="00FA1890">
        <w:rPr>
          <w:lang w:val="et-EE"/>
        </w:rPr>
        <w:t>Tulemus</w:t>
      </w:r>
      <w:r w:rsidR="00E710C6" w:rsidRPr="00FA1890">
        <w:rPr>
          <w:lang w:val="et-EE"/>
        </w:rPr>
        <w:t>näitajaks</w:t>
      </w:r>
      <w:r w:rsidRPr="00FA1890">
        <w:rPr>
          <w:lang w:val="et-EE"/>
        </w:rPr>
        <w:t xml:space="preserve"> on „pärast programmist lahkumist tööle läinud, sh füüsilisest isikust ettevõtjana tegutsema asunud osalejad</w:t>
      </w:r>
      <w:r w:rsidR="00673BDC" w:rsidRPr="00FA1890">
        <w:rPr>
          <w:lang w:val="et-EE"/>
        </w:rPr>
        <w:t>“</w:t>
      </w:r>
      <w:r w:rsidR="00091B70" w:rsidRPr="00FA1890">
        <w:rPr>
          <w:noProof/>
          <w:lang w:val="et-EE"/>
        </w:rPr>
        <w:t xml:space="preserve">. </w:t>
      </w:r>
      <w:r w:rsidR="00C85368" w:rsidRPr="00FA1890">
        <w:rPr>
          <w:noProof/>
          <w:lang w:val="et-EE"/>
        </w:rPr>
        <w:t>Oskuste arendamise toetamise tegevuste t</w:t>
      </w:r>
      <w:r w:rsidR="00AD38CC" w:rsidRPr="00FA1890">
        <w:rPr>
          <w:noProof/>
          <w:lang w:val="et-EE"/>
        </w:rPr>
        <w:t>ulemus</w:t>
      </w:r>
      <w:r w:rsidR="00E710C6" w:rsidRPr="00FA1890">
        <w:rPr>
          <w:noProof/>
          <w:lang w:val="et-EE"/>
        </w:rPr>
        <w:t>näitaja</w:t>
      </w:r>
      <w:r w:rsidR="00AD38CC" w:rsidRPr="00FA1890">
        <w:rPr>
          <w:noProof/>
          <w:lang w:val="et-EE"/>
        </w:rPr>
        <w:t xml:space="preserve"> puhul on lähtutud </w:t>
      </w:r>
      <w:r w:rsidR="00A4140A" w:rsidRPr="00FA1890">
        <w:rPr>
          <w:noProof/>
          <w:lang w:val="et-EE"/>
        </w:rPr>
        <w:t>t</w:t>
      </w:r>
      <w:r w:rsidR="00AD38CC" w:rsidRPr="00FA1890">
        <w:rPr>
          <w:noProof/>
          <w:lang w:val="et-EE"/>
        </w:rPr>
        <w:t xml:space="preserve">öötukassa </w:t>
      </w:r>
      <w:r w:rsidR="00E710C6" w:rsidRPr="00FA1890">
        <w:rPr>
          <w:noProof/>
          <w:lang w:val="et-EE"/>
        </w:rPr>
        <w:t xml:space="preserve">töötust </w:t>
      </w:r>
      <w:r w:rsidR="00AD38CC" w:rsidRPr="00FA1890">
        <w:rPr>
          <w:noProof/>
          <w:lang w:val="et-EE"/>
        </w:rPr>
        <w:t>ennetavate meetmete analüüsist</w:t>
      </w:r>
      <w:r w:rsidR="004C0D18" w:rsidRPr="00FA1890">
        <w:rPr>
          <w:rStyle w:val="Allmrkuseviide"/>
          <w:noProof/>
          <w:lang w:val="et-EE"/>
        </w:rPr>
        <w:footnoteReference w:id="7"/>
      </w:r>
      <w:r w:rsidR="00AD38CC" w:rsidRPr="00FA1890">
        <w:rPr>
          <w:noProof/>
          <w:lang w:val="et-EE"/>
        </w:rPr>
        <w:t xml:space="preserve">, mille kohaselt oli </w:t>
      </w:r>
      <w:r w:rsidR="00C85368" w:rsidRPr="00FA1890">
        <w:rPr>
          <w:noProof/>
          <w:lang w:val="et-EE"/>
        </w:rPr>
        <w:t xml:space="preserve">töötajana </w:t>
      </w:r>
      <w:r w:rsidR="00AD38CC" w:rsidRPr="00FA1890">
        <w:rPr>
          <w:noProof/>
          <w:lang w:val="et-EE"/>
        </w:rPr>
        <w:t>tööturukoolituse</w:t>
      </w:r>
      <w:r w:rsidR="00C85368" w:rsidRPr="00FA1890">
        <w:rPr>
          <w:noProof/>
          <w:lang w:val="et-EE"/>
        </w:rPr>
        <w:t>l</w:t>
      </w:r>
      <w:r w:rsidR="00AD38CC" w:rsidRPr="00FA1890">
        <w:rPr>
          <w:noProof/>
          <w:lang w:val="et-EE"/>
        </w:rPr>
        <w:t xml:space="preserve"> ja tööandjate koolitustoetuse</w:t>
      </w:r>
      <w:r w:rsidR="00C85368" w:rsidRPr="00FA1890">
        <w:rPr>
          <w:noProof/>
          <w:lang w:val="et-EE"/>
        </w:rPr>
        <w:t>ga koolitusel osalejatest v</w:t>
      </w:r>
      <w:r w:rsidR="00AD38CC" w:rsidRPr="00FA1890">
        <w:rPr>
          <w:noProof/>
          <w:lang w:val="et-EE"/>
        </w:rPr>
        <w:t>ahetult peale teenusest väljumist hõives keskmiselt 96% osalejatest</w:t>
      </w:r>
      <w:r w:rsidR="00C85368" w:rsidRPr="00FA1890">
        <w:rPr>
          <w:noProof/>
          <w:lang w:val="et-EE"/>
        </w:rPr>
        <w:t xml:space="preserve">. </w:t>
      </w:r>
      <w:r w:rsidR="00AD38CC" w:rsidRPr="00FA1890">
        <w:rPr>
          <w:noProof/>
          <w:lang w:val="et-EE"/>
        </w:rPr>
        <w:t>Arvestades, et tegemist on keerulise sihtrühmaga, mistõttu võib ette tulla teenuse katkestamisi</w:t>
      </w:r>
      <w:r w:rsidR="007659F3">
        <w:rPr>
          <w:noProof/>
          <w:lang w:val="et-EE"/>
        </w:rPr>
        <w:t>,</w:t>
      </w:r>
      <w:r w:rsidR="00AD38CC" w:rsidRPr="00FA1890">
        <w:rPr>
          <w:noProof/>
          <w:lang w:val="et-EE"/>
        </w:rPr>
        <w:t xml:space="preserve"> ning et Ida-Virumaa hõivemäär (2020.</w:t>
      </w:r>
      <w:r w:rsidR="00A4140A" w:rsidRPr="00FA1890">
        <w:rPr>
          <w:noProof/>
          <w:lang w:val="et-EE"/>
        </w:rPr>
        <w:t> </w:t>
      </w:r>
      <w:r w:rsidR="00AD38CC" w:rsidRPr="00FA1890">
        <w:rPr>
          <w:noProof/>
          <w:lang w:val="et-EE"/>
        </w:rPr>
        <w:t>a 65,5%) on Eesti keskmisest hõivemäärast (2020.</w:t>
      </w:r>
      <w:r w:rsidR="00A4140A" w:rsidRPr="00FA1890">
        <w:rPr>
          <w:noProof/>
          <w:lang w:val="et-EE"/>
        </w:rPr>
        <w:t> </w:t>
      </w:r>
      <w:r w:rsidR="00AD38CC" w:rsidRPr="00FA1890">
        <w:rPr>
          <w:noProof/>
          <w:lang w:val="et-EE"/>
        </w:rPr>
        <w:t xml:space="preserve">a 75,2%) </w:t>
      </w:r>
      <w:r w:rsidR="00AD38CC" w:rsidRPr="00FA1890">
        <w:rPr>
          <w:i/>
          <w:iCs/>
          <w:noProof/>
          <w:lang w:val="et-EE"/>
        </w:rPr>
        <w:t>ca</w:t>
      </w:r>
      <w:r w:rsidR="00AD38CC" w:rsidRPr="00FA1890">
        <w:rPr>
          <w:noProof/>
          <w:lang w:val="et-EE"/>
        </w:rPr>
        <w:t xml:space="preserve"> 13% madalam, vähenda</w:t>
      </w:r>
      <w:r w:rsidR="00A4140A" w:rsidRPr="00FA1890">
        <w:rPr>
          <w:noProof/>
          <w:lang w:val="et-EE"/>
        </w:rPr>
        <w:t>ti</w:t>
      </w:r>
      <w:r w:rsidR="00AD38CC" w:rsidRPr="00FA1890">
        <w:rPr>
          <w:noProof/>
          <w:lang w:val="et-EE"/>
        </w:rPr>
        <w:t xml:space="preserve"> sihttaset 13</w:t>
      </w:r>
      <w:r w:rsidR="00A4140A" w:rsidRPr="00FA1890">
        <w:rPr>
          <w:noProof/>
          <w:lang w:val="et-EE"/>
        </w:rPr>
        <w:t> protsendipunkti</w:t>
      </w:r>
      <w:r w:rsidR="00AD38CC" w:rsidRPr="00FA1890">
        <w:rPr>
          <w:noProof/>
          <w:lang w:val="et-EE"/>
        </w:rPr>
        <w:t xml:space="preserve"> võrra (96</w:t>
      </w:r>
      <w:r w:rsidR="00A4140A" w:rsidRPr="00FA1890">
        <w:rPr>
          <w:noProof/>
          <w:lang w:val="et-EE"/>
        </w:rPr>
        <w:t>–</w:t>
      </w:r>
      <w:r w:rsidR="00AD38CC" w:rsidRPr="00FA1890">
        <w:rPr>
          <w:noProof/>
          <w:lang w:val="et-EE"/>
        </w:rPr>
        <w:t>13=83) ning eelda</w:t>
      </w:r>
      <w:r w:rsidR="00A4140A" w:rsidRPr="00FA1890">
        <w:rPr>
          <w:noProof/>
          <w:lang w:val="et-EE"/>
        </w:rPr>
        <w:t>tavasti on</w:t>
      </w:r>
      <w:r w:rsidR="00AD38CC" w:rsidRPr="00FA1890">
        <w:rPr>
          <w:noProof/>
          <w:lang w:val="et-EE"/>
        </w:rPr>
        <w:t xml:space="preserve"> 83% </w:t>
      </w:r>
      <w:r w:rsidR="00C85368" w:rsidRPr="00FA1890">
        <w:rPr>
          <w:noProof/>
          <w:lang w:val="et-EE"/>
        </w:rPr>
        <w:t xml:space="preserve">töötajana sisenenud </w:t>
      </w:r>
      <w:r w:rsidR="00AD38CC" w:rsidRPr="00FA1890">
        <w:rPr>
          <w:noProof/>
          <w:lang w:val="et-EE"/>
        </w:rPr>
        <w:t xml:space="preserve">osalejatest peale </w:t>
      </w:r>
      <w:r w:rsidR="00AD38CC" w:rsidRPr="00FA1890">
        <w:rPr>
          <w:noProof/>
          <w:lang w:val="et-EE"/>
        </w:rPr>
        <w:lastRenderedPageBreak/>
        <w:t>meetmest väljumist hõives.</w:t>
      </w:r>
      <w:r w:rsidR="00C85368" w:rsidRPr="00FA1890">
        <w:rPr>
          <w:noProof/>
          <w:lang w:val="et-EE"/>
        </w:rPr>
        <w:t xml:space="preserve"> Töötute puhul on arvestatud, et vahetult peale teenusest väljumist on hõives keskmiselt 40% osalejatest. </w:t>
      </w:r>
      <w:r w:rsidR="00AD38CC" w:rsidRPr="00FA1890">
        <w:rPr>
          <w:lang w:val="et-EE"/>
        </w:rPr>
        <w:t xml:space="preserve">Tööle asumise toetus on sellisel kujul uus meede, kuid kuna meetme sisuks on hõives olemine, </w:t>
      </w:r>
      <w:r w:rsidR="00E710C6" w:rsidRPr="00FA1890">
        <w:rPr>
          <w:lang w:val="et-EE"/>
        </w:rPr>
        <w:t>püsib eeldatavasti</w:t>
      </w:r>
      <w:r w:rsidR="00AD38CC" w:rsidRPr="00FA1890">
        <w:rPr>
          <w:lang w:val="et-EE"/>
        </w:rPr>
        <w:t xml:space="preserve"> suur osa</w:t>
      </w:r>
      <w:r w:rsidR="00AD38CC" w:rsidRPr="00FA1890">
        <w:rPr>
          <w:noProof/>
          <w:lang w:val="et-EE"/>
        </w:rPr>
        <w:t xml:space="preserve"> </w:t>
      </w:r>
      <w:r w:rsidR="00AD38CC" w:rsidRPr="00FA1890">
        <w:rPr>
          <w:lang w:val="et-EE"/>
        </w:rPr>
        <w:t>hõives ka vahetult pärast meetmes osalemise lõppu.</w:t>
      </w:r>
    </w:p>
    <w:bookmarkEnd w:id="10"/>
    <w:p w14:paraId="0782ACF9" w14:textId="77777777" w:rsidR="005C4C36" w:rsidRPr="00FA1890" w:rsidRDefault="005C4C36" w:rsidP="004034F3">
      <w:pPr>
        <w:jc w:val="both"/>
        <w:rPr>
          <w:bCs/>
          <w:lang w:val="et-EE"/>
        </w:rPr>
      </w:pPr>
    </w:p>
    <w:p w14:paraId="4D8F8ABA" w14:textId="77777777" w:rsidR="003A03C9" w:rsidRPr="00FA1890" w:rsidRDefault="003A03C9" w:rsidP="004034F3">
      <w:pPr>
        <w:jc w:val="both"/>
        <w:rPr>
          <w:b/>
          <w:bCs/>
          <w:lang w:val="et-EE"/>
        </w:rPr>
      </w:pPr>
      <w:r w:rsidRPr="00FA1890">
        <w:rPr>
          <w:b/>
          <w:bCs/>
          <w:lang w:val="et-EE"/>
        </w:rPr>
        <w:t>Punkt 4 „Tegevuste eelarve“</w:t>
      </w:r>
    </w:p>
    <w:p w14:paraId="16C9D3D8" w14:textId="77777777" w:rsidR="003A03C9" w:rsidRPr="00FA1890" w:rsidRDefault="003A03C9" w:rsidP="004034F3">
      <w:pPr>
        <w:jc w:val="both"/>
        <w:rPr>
          <w:b/>
          <w:bCs/>
          <w:lang w:val="et-EE"/>
        </w:rPr>
      </w:pPr>
    </w:p>
    <w:p w14:paraId="39381177" w14:textId="561DFDD1" w:rsidR="003A03C9" w:rsidRPr="00FA1890" w:rsidRDefault="003A03C9" w:rsidP="004034F3">
      <w:pPr>
        <w:jc w:val="both"/>
        <w:rPr>
          <w:noProof/>
          <w:lang w:val="et-EE"/>
        </w:rPr>
      </w:pPr>
      <w:r w:rsidRPr="00FA1890">
        <w:rPr>
          <w:lang w:val="et-EE"/>
        </w:rPr>
        <w:t xml:space="preserve">Käesoleva TAT eelarve on 7 142 857 eurot, sh ÕÜFi toetus 5 000 000 eurot, millele lisandub riiklik kaasfinantseering 2 142 857 eurot. Aastate kaupa on eelarve näidatud TAT lisa finantsplaanis. </w:t>
      </w:r>
      <w:r w:rsidR="001D248D" w:rsidRPr="00FA1890">
        <w:rPr>
          <w:lang w:val="et-EE"/>
        </w:rPr>
        <w:t>ÕÜF</w:t>
      </w:r>
      <w:r w:rsidR="00A43555" w:rsidRPr="00FA1890">
        <w:rPr>
          <w:lang w:val="et-EE"/>
        </w:rPr>
        <w:t>i</w:t>
      </w:r>
      <w:r w:rsidR="001D248D" w:rsidRPr="00FA1890">
        <w:rPr>
          <w:lang w:val="et-EE"/>
        </w:rPr>
        <w:t xml:space="preserve"> tegevuste eesmärk on toetada piirkon</w:t>
      </w:r>
      <w:r w:rsidR="005B3231" w:rsidRPr="00FA1890">
        <w:rPr>
          <w:lang w:val="et-EE"/>
        </w:rPr>
        <w:t>d</w:t>
      </w:r>
      <w:r w:rsidR="001D248D" w:rsidRPr="00FA1890">
        <w:rPr>
          <w:lang w:val="et-EE"/>
        </w:rPr>
        <w:t>a ülemineku</w:t>
      </w:r>
      <w:r w:rsidR="005B3231" w:rsidRPr="00FA1890">
        <w:rPr>
          <w:lang w:val="et-EE"/>
        </w:rPr>
        <w:t>perioodil</w:t>
      </w:r>
      <w:r w:rsidR="001D248D" w:rsidRPr="00FA1890">
        <w:rPr>
          <w:lang w:val="et-EE"/>
        </w:rPr>
        <w:t xml:space="preserve">, </w:t>
      </w:r>
      <w:r w:rsidR="00A43555" w:rsidRPr="00FA1890">
        <w:rPr>
          <w:lang w:val="et-EE"/>
        </w:rPr>
        <w:t>mis</w:t>
      </w:r>
      <w:r w:rsidR="005B3231" w:rsidRPr="00FA1890">
        <w:rPr>
          <w:lang w:val="et-EE"/>
        </w:rPr>
        <w:t>tõttu on tegevused plaanitud tähtajaliselt. Vajaduse</w:t>
      </w:r>
      <w:r w:rsidR="00A43555" w:rsidRPr="00FA1890">
        <w:rPr>
          <w:lang w:val="et-EE"/>
        </w:rPr>
        <w:t xml:space="preserve"> korra</w:t>
      </w:r>
      <w:r w:rsidR="005B3231" w:rsidRPr="00FA1890">
        <w:rPr>
          <w:lang w:val="et-EE"/>
        </w:rPr>
        <w:t>l kaalutakse tegevuste jätkumist muudest vahenditest.</w:t>
      </w:r>
    </w:p>
    <w:bookmarkEnd w:id="11"/>
    <w:p w14:paraId="4B5C48B1" w14:textId="77777777" w:rsidR="00561B27" w:rsidRPr="00FA1890" w:rsidRDefault="00561B27" w:rsidP="00E56E73">
      <w:pPr>
        <w:rPr>
          <w:b/>
          <w:noProof/>
          <w:lang w:val="et-EE"/>
        </w:rPr>
      </w:pPr>
    </w:p>
    <w:p w14:paraId="02A0A1E7" w14:textId="2F737106" w:rsidR="003349CB" w:rsidRPr="00FA1890" w:rsidRDefault="00A65C80" w:rsidP="00E56E73">
      <w:pPr>
        <w:rPr>
          <w:b/>
          <w:bCs/>
          <w:noProof/>
          <w:lang w:val="et-EE"/>
        </w:rPr>
      </w:pPr>
      <w:r w:rsidRPr="00FA1890">
        <w:rPr>
          <w:b/>
          <w:noProof/>
          <w:lang w:val="et-EE"/>
        </w:rPr>
        <w:t xml:space="preserve">Punkt </w:t>
      </w:r>
      <w:r w:rsidR="003349CB" w:rsidRPr="00FA1890">
        <w:rPr>
          <w:b/>
          <w:noProof/>
          <w:lang w:val="et-EE"/>
        </w:rPr>
        <w:t>5 „</w:t>
      </w:r>
      <w:r w:rsidR="003349CB" w:rsidRPr="00FA1890">
        <w:rPr>
          <w:b/>
          <w:bCs/>
          <w:noProof/>
          <w:lang w:val="et-EE"/>
        </w:rPr>
        <w:t xml:space="preserve"> Kulude abikõlblikkus</w:t>
      </w:r>
      <w:r w:rsidRPr="00FA1890">
        <w:rPr>
          <w:b/>
          <w:bCs/>
          <w:noProof/>
          <w:lang w:val="et-EE"/>
        </w:rPr>
        <w:t>“</w:t>
      </w:r>
    </w:p>
    <w:p w14:paraId="51361595" w14:textId="22E6CEBF" w:rsidR="0028784C" w:rsidRPr="00FA1890" w:rsidRDefault="0028784C" w:rsidP="00E56E73">
      <w:pPr>
        <w:jc w:val="both"/>
        <w:rPr>
          <w:b/>
          <w:bCs/>
          <w:noProof/>
          <w:lang w:val="et-EE"/>
        </w:rPr>
      </w:pPr>
    </w:p>
    <w:p w14:paraId="2739A26A" w14:textId="4FDA999E" w:rsidR="00C849DD" w:rsidRDefault="00C849DD" w:rsidP="00E56E73">
      <w:pPr>
        <w:jc w:val="both"/>
        <w:rPr>
          <w:lang w:val="et-EE"/>
        </w:rPr>
      </w:pPr>
      <w:r w:rsidRPr="00FA1890">
        <w:rPr>
          <w:lang w:val="et-EE"/>
        </w:rPr>
        <w:t>Abikõlblike kulude, sh abikõlbmatute kulude kindlaks määramisel tuleb lähtuda Vabariigi Valitsuse 12. mai 2022. a määrusest nr 55 „Perioodi 2021–2027 Euroopa Liidu ühtekuuluvus</w:t>
      </w:r>
      <w:r w:rsidR="00E112C8" w:rsidRPr="00FA1890">
        <w:rPr>
          <w:lang w:val="et-EE"/>
        </w:rPr>
        <w:t>-</w:t>
      </w:r>
      <w:r w:rsidRPr="00FA1890">
        <w:rPr>
          <w:lang w:val="et-EE"/>
        </w:rPr>
        <w:t xml:space="preserve"> ja siseturvalisuspoliitika fondide rakenduskavade vahendite andmise ja kasutamise tingimused“ (edaspidi </w:t>
      </w:r>
      <w:r w:rsidRPr="00FA1890">
        <w:rPr>
          <w:i/>
          <w:lang w:val="et-EE"/>
        </w:rPr>
        <w:t>ühendmäärus</w:t>
      </w:r>
      <w:r w:rsidRPr="00FA1890">
        <w:rPr>
          <w:lang w:val="et-EE"/>
        </w:rPr>
        <w:t>).</w:t>
      </w:r>
    </w:p>
    <w:p w14:paraId="70AC4832" w14:textId="77777777" w:rsidR="00E56E73" w:rsidRPr="00FA1890" w:rsidRDefault="00E56E73" w:rsidP="00E56E73">
      <w:pPr>
        <w:jc w:val="both"/>
        <w:rPr>
          <w:lang w:val="et-EE"/>
        </w:rPr>
      </w:pPr>
    </w:p>
    <w:p w14:paraId="7B1FC5C8" w14:textId="44D06671" w:rsidR="000678F2" w:rsidRPr="00FA1890" w:rsidRDefault="00C849DD" w:rsidP="00E56E73">
      <w:pPr>
        <w:jc w:val="both"/>
        <w:rPr>
          <w:bCs/>
          <w:lang w:val="et-EE"/>
        </w:rPr>
      </w:pPr>
      <w:r w:rsidRPr="00FA1890">
        <w:rPr>
          <w:bCs/>
          <w:lang w:val="et-EE"/>
        </w:rPr>
        <w:t>Samuti nimetatakse punktis</w:t>
      </w:r>
      <w:r w:rsidR="0028784C" w:rsidRPr="00FA1890">
        <w:rPr>
          <w:bCs/>
          <w:lang w:val="et-EE"/>
        </w:rPr>
        <w:t xml:space="preserve"> tegevus</w:t>
      </w:r>
      <w:r w:rsidR="00A43555" w:rsidRPr="00FA1890">
        <w:rPr>
          <w:bCs/>
          <w:lang w:val="et-EE"/>
        </w:rPr>
        <w:t>t</w:t>
      </w:r>
      <w:r w:rsidR="0028784C" w:rsidRPr="00FA1890">
        <w:rPr>
          <w:bCs/>
          <w:lang w:val="et-EE"/>
        </w:rPr>
        <w:t xml:space="preserve">e 2.1 </w:t>
      </w:r>
      <w:r w:rsidR="00894055" w:rsidRPr="00FA1890">
        <w:rPr>
          <w:bCs/>
          <w:lang w:val="et-EE"/>
        </w:rPr>
        <w:t xml:space="preserve">ja 2.2 </w:t>
      </w:r>
      <w:r w:rsidR="0028784C" w:rsidRPr="00FA1890">
        <w:rPr>
          <w:bCs/>
          <w:lang w:val="et-EE"/>
        </w:rPr>
        <w:t>raames tehtavad abikõlblikud kulud</w:t>
      </w:r>
      <w:r w:rsidR="00E93465" w:rsidRPr="00FA1890">
        <w:rPr>
          <w:bCs/>
          <w:lang w:val="et-EE"/>
        </w:rPr>
        <w:t>, milleks</w:t>
      </w:r>
      <w:r w:rsidR="0028784C" w:rsidRPr="00FA1890">
        <w:rPr>
          <w:bCs/>
          <w:lang w:val="et-EE"/>
        </w:rPr>
        <w:t xml:space="preserve"> on</w:t>
      </w:r>
      <w:r w:rsidR="000678F2" w:rsidRPr="00FA1890">
        <w:rPr>
          <w:bCs/>
          <w:lang w:val="et-EE"/>
        </w:rPr>
        <w:t>:</w:t>
      </w:r>
      <w:r w:rsidR="0028784C" w:rsidRPr="00FA1890">
        <w:rPr>
          <w:bCs/>
          <w:lang w:val="et-EE"/>
        </w:rPr>
        <w:t xml:space="preserve"> </w:t>
      </w:r>
    </w:p>
    <w:p w14:paraId="53D0F621" w14:textId="0EAB293F" w:rsidR="000678F2" w:rsidRPr="00FA1890" w:rsidRDefault="005E3775" w:rsidP="00E56E73">
      <w:pPr>
        <w:jc w:val="both"/>
        <w:rPr>
          <w:bCs/>
          <w:noProof/>
          <w:lang w:val="et-EE"/>
        </w:rPr>
      </w:pPr>
      <w:r w:rsidRPr="00FA1890">
        <w:rPr>
          <w:bCs/>
          <w:lang w:val="et-EE"/>
        </w:rPr>
        <w:t xml:space="preserve">1) igakuiselt makstav tööle asumise toetus. </w:t>
      </w:r>
      <w:r w:rsidR="0028784C" w:rsidRPr="00FA1890">
        <w:rPr>
          <w:bCs/>
          <w:noProof/>
          <w:lang w:val="et-EE"/>
        </w:rPr>
        <w:t xml:space="preserve">Toetuse suuruseks </w:t>
      </w:r>
      <w:r w:rsidR="00E112C8" w:rsidRPr="00FA1890">
        <w:rPr>
          <w:bCs/>
          <w:noProof/>
          <w:lang w:val="et-EE"/>
        </w:rPr>
        <w:t xml:space="preserve">ühes kalendrikuus </w:t>
      </w:r>
      <w:r w:rsidR="0028784C" w:rsidRPr="00FA1890">
        <w:rPr>
          <w:bCs/>
          <w:noProof/>
          <w:lang w:val="et-EE"/>
        </w:rPr>
        <w:t xml:space="preserve">on 30% isiku varasemast sissetulekust põlevkivisektoris, kuid </w:t>
      </w:r>
      <w:r w:rsidR="00B5305B" w:rsidRPr="00FA1890">
        <w:rPr>
          <w:bCs/>
          <w:noProof/>
          <w:lang w:val="et-EE"/>
        </w:rPr>
        <w:t>kõige</w:t>
      </w:r>
      <w:r w:rsidR="0028784C" w:rsidRPr="00FA1890">
        <w:rPr>
          <w:bCs/>
          <w:noProof/>
          <w:lang w:val="et-EE"/>
        </w:rPr>
        <w:t xml:space="preserve"> rohkem 1000 eurot kuus. Toetuse suuruse määra</w:t>
      </w:r>
      <w:r w:rsidR="00B5305B" w:rsidRPr="00FA1890">
        <w:rPr>
          <w:bCs/>
          <w:noProof/>
          <w:lang w:val="et-EE"/>
        </w:rPr>
        <w:t>misel</w:t>
      </w:r>
      <w:r w:rsidR="0028784C" w:rsidRPr="00FA1890">
        <w:rPr>
          <w:bCs/>
          <w:noProof/>
          <w:lang w:val="et-EE"/>
        </w:rPr>
        <w:t xml:space="preserve"> on arvestatud, et toetus peab tööle asumiseks olema piisavalt motiveeriv võrreldes inimese töötuskindlustushüvitise suurusega. Võrdluspunktiks on 101. päevast algav töötuskindlustushüvitis (st 40% varasemast sissetulekust), sest eelduslikult on toetusega tööle liikumine kõige tõenäolisem toetuse tingimustes lubatud perioodi lõpus</w:t>
      </w:r>
      <w:r w:rsidR="002D17E9" w:rsidRPr="00FA1890">
        <w:rPr>
          <w:bCs/>
          <w:noProof/>
          <w:lang w:val="et-EE"/>
        </w:rPr>
        <w:t>, mil</w:t>
      </w:r>
      <w:r w:rsidR="0028784C" w:rsidRPr="00FA1890">
        <w:rPr>
          <w:bCs/>
          <w:noProof/>
          <w:lang w:val="et-EE"/>
        </w:rPr>
        <w:t xml:space="preserve"> motivatsiooni</w:t>
      </w:r>
      <w:r w:rsidR="002D17E9" w:rsidRPr="00FA1890">
        <w:rPr>
          <w:bCs/>
          <w:noProof/>
          <w:lang w:val="et-EE"/>
        </w:rPr>
        <w:t xml:space="preserve"> lisab</w:t>
      </w:r>
      <w:r w:rsidR="0028784C" w:rsidRPr="00FA1890">
        <w:rPr>
          <w:bCs/>
          <w:noProof/>
          <w:lang w:val="et-EE"/>
        </w:rPr>
        <w:t xml:space="preserve"> töötushüvitise vähenemine</w:t>
      </w:r>
      <w:r w:rsidR="00525283" w:rsidRPr="00FA1890">
        <w:rPr>
          <w:bCs/>
          <w:noProof/>
          <w:lang w:val="et-EE"/>
        </w:rPr>
        <w:t xml:space="preserve"> (60% </w:t>
      </w:r>
      <w:r w:rsidR="00B5305B" w:rsidRPr="00FA1890">
        <w:rPr>
          <w:bCs/>
          <w:i/>
          <w:iCs/>
          <w:noProof/>
          <w:lang w:val="et-EE"/>
        </w:rPr>
        <w:t>vs</w:t>
      </w:r>
      <w:r w:rsidR="00B5305B" w:rsidRPr="00FA1890">
        <w:rPr>
          <w:bCs/>
          <w:noProof/>
          <w:lang w:val="et-EE"/>
        </w:rPr>
        <w:t xml:space="preserve">. 40% </w:t>
      </w:r>
      <w:r w:rsidR="00525283" w:rsidRPr="00FA1890">
        <w:rPr>
          <w:bCs/>
          <w:noProof/>
          <w:lang w:val="et-EE"/>
        </w:rPr>
        <w:t>varasemast sissetulekust</w:t>
      </w:r>
      <w:r w:rsidR="00B5305B" w:rsidRPr="00FA1890">
        <w:rPr>
          <w:bCs/>
          <w:noProof/>
          <w:lang w:val="et-EE"/>
        </w:rPr>
        <w:t>)</w:t>
      </w:r>
      <w:r w:rsidR="003E191C" w:rsidRPr="00FA1890">
        <w:rPr>
          <w:bCs/>
          <w:noProof/>
          <w:lang w:val="et-EE"/>
        </w:rPr>
        <w:t xml:space="preserve"> ning on olnud aega tööd otsida ja kandideerida</w:t>
      </w:r>
      <w:r w:rsidR="00A43555" w:rsidRPr="00FA1890">
        <w:rPr>
          <w:bCs/>
          <w:noProof/>
          <w:lang w:val="et-EE"/>
        </w:rPr>
        <w:t>;</w:t>
      </w:r>
      <w:r w:rsidR="006C1B8B" w:rsidRPr="00FA1890">
        <w:rPr>
          <w:bCs/>
          <w:noProof/>
          <w:lang w:val="et-EE"/>
        </w:rPr>
        <w:t xml:space="preserve"> Toetuse maksmise perioodid, sõltuvalt</w:t>
      </w:r>
      <w:r w:rsidR="00CE7650" w:rsidRPr="00FA1890">
        <w:rPr>
          <w:lang w:val="et-EE"/>
        </w:rPr>
        <w:t xml:space="preserve"> </w:t>
      </w:r>
      <w:r w:rsidR="00CE7650" w:rsidRPr="00FA1890">
        <w:rPr>
          <w:bCs/>
          <w:noProof/>
          <w:lang w:val="et-EE"/>
        </w:rPr>
        <w:t>inimese eelnevast töötuskindlustusstaažist</w:t>
      </w:r>
      <w:r w:rsidR="006C1B8B" w:rsidRPr="00FA1890">
        <w:rPr>
          <w:bCs/>
          <w:noProof/>
          <w:lang w:val="et-EE"/>
        </w:rPr>
        <w:t xml:space="preserve">, on </w:t>
      </w:r>
      <w:r w:rsidR="00CE7650" w:rsidRPr="00FA1890">
        <w:rPr>
          <w:bCs/>
          <w:noProof/>
          <w:lang w:val="et-EE"/>
        </w:rPr>
        <w:t xml:space="preserve">toodud </w:t>
      </w:r>
      <w:r w:rsidR="006C1B8B" w:rsidRPr="00FA1890">
        <w:rPr>
          <w:bCs/>
          <w:noProof/>
          <w:lang w:val="et-EE"/>
        </w:rPr>
        <w:t>punktis 2.1.2.2.</w:t>
      </w:r>
    </w:p>
    <w:p w14:paraId="0CA728F6" w14:textId="60CC34DF" w:rsidR="000678F2" w:rsidRPr="00FA1890" w:rsidRDefault="000678F2" w:rsidP="00E56E73">
      <w:pPr>
        <w:jc w:val="both"/>
        <w:rPr>
          <w:bCs/>
          <w:noProof/>
          <w:lang w:val="et-EE"/>
        </w:rPr>
      </w:pPr>
      <w:r w:rsidRPr="00FA1890">
        <w:rPr>
          <w:bCs/>
          <w:noProof/>
          <w:lang w:val="et-EE"/>
        </w:rPr>
        <w:t xml:space="preserve">2) tasemeõppes osalemise toetus, mille suurus </w:t>
      </w:r>
      <w:r w:rsidR="00C446C2" w:rsidRPr="00FA1890">
        <w:rPr>
          <w:bCs/>
          <w:noProof/>
          <w:lang w:val="et-EE"/>
        </w:rPr>
        <w:t xml:space="preserve">ühes </w:t>
      </w:r>
      <w:r w:rsidRPr="00FA1890">
        <w:rPr>
          <w:bCs/>
          <w:noProof/>
          <w:lang w:val="et-EE"/>
        </w:rPr>
        <w:t>kuus on riigieelarvega kehtestatud töötutoetuse 31-kordne päevamäär. Toetust makstakse õppe nominaalkestuse jooksul, v</w:t>
      </w:r>
      <w:r w:rsidR="00B5305B" w:rsidRPr="00FA1890">
        <w:rPr>
          <w:bCs/>
          <w:noProof/>
          <w:lang w:val="et-EE"/>
        </w:rPr>
        <w:t>.</w:t>
      </w:r>
      <w:r w:rsidRPr="00FA1890">
        <w:rPr>
          <w:bCs/>
          <w:noProof/>
          <w:lang w:val="et-EE"/>
        </w:rPr>
        <w:t>a akadeemilisel puhkusel viibimise ajal</w:t>
      </w:r>
      <w:r w:rsidR="007041D0" w:rsidRPr="00FA1890">
        <w:rPr>
          <w:bCs/>
          <w:noProof/>
          <w:lang w:val="et-EE"/>
        </w:rPr>
        <w:t>.</w:t>
      </w:r>
    </w:p>
    <w:p w14:paraId="3240E987" w14:textId="08300AE9" w:rsidR="000678F2" w:rsidRPr="00FA1890" w:rsidRDefault="000678F2" w:rsidP="00E56E73">
      <w:pPr>
        <w:jc w:val="both"/>
        <w:rPr>
          <w:bCs/>
          <w:noProof/>
          <w:lang w:val="et-EE"/>
        </w:rPr>
      </w:pPr>
      <w:r w:rsidRPr="00FA1890">
        <w:rPr>
          <w:bCs/>
          <w:noProof/>
          <w:lang w:val="et-EE"/>
        </w:rPr>
        <w:t xml:space="preserve">3) </w:t>
      </w:r>
      <w:r w:rsidR="00CF7427" w:rsidRPr="00FA1890">
        <w:rPr>
          <w:bCs/>
          <w:noProof/>
          <w:lang w:val="et-EE"/>
        </w:rPr>
        <w:t xml:space="preserve">ühekordne </w:t>
      </w:r>
      <w:r w:rsidRPr="00FA1890">
        <w:rPr>
          <w:bCs/>
          <w:noProof/>
          <w:lang w:val="et-EE"/>
        </w:rPr>
        <w:t>mikrokvalifikatsiooni omandamise toetus</w:t>
      </w:r>
      <w:r w:rsidR="00D33DDD" w:rsidRPr="00FA1890">
        <w:rPr>
          <w:bCs/>
          <w:noProof/>
          <w:lang w:val="et-EE"/>
        </w:rPr>
        <w:t xml:space="preserve">, mille </w:t>
      </w:r>
      <w:r w:rsidR="0012129D" w:rsidRPr="00FA1890">
        <w:rPr>
          <w:bCs/>
          <w:noProof/>
          <w:lang w:val="et-EE"/>
        </w:rPr>
        <w:t xml:space="preserve">suuruse </w:t>
      </w:r>
      <w:r w:rsidR="00623BC0" w:rsidRPr="00FA1890">
        <w:rPr>
          <w:bCs/>
          <w:noProof/>
          <w:lang w:val="et-EE"/>
        </w:rPr>
        <w:t xml:space="preserve">määratlemise </w:t>
      </w:r>
      <w:r w:rsidR="0012129D" w:rsidRPr="00FA1890">
        <w:rPr>
          <w:bCs/>
          <w:noProof/>
          <w:lang w:val="et-EE"/>
        </w:rPr>
        <w:t xml:space="preserve">aluseks on Vabariigi Valitsuse 19. novembri 2020. a määrusega nr 87 kehtestatud „Tööhõiveprogramm 2021–2023“ </w:t>
      </w:r>
      <w:r w:rsidR="00B23510" w:rsidRPr="00FA1890">
        <w:rPr>
          <w:bCs/>
          <w:iCs/>
          <w:kern w:val="32"/>
          <w:lang w:val="et-EE"/>
        </w:rPr>
        <w:t>§ 19</w:t>
      </w:r>
      <w:r w:rsidR="00B23510" w:rsidRPr="00FA1890">
        <w:rPr>
          <w:bCs/>
          <w:iCs/>
          <w:kern w:val="32"/>
          <w:vertAlign w:val="superscript"/>
          <w:lang w:val="et-EE"/>
        </w:rPr>
        <w:t>5</w:t>
      </w:r>
      <w:r w:rsidR="00B23510" w:rsidRPr="00FA1890">
        <w:rPr>
          <w:bCs/>
          <w:iCs/>
          <w:kern w:val="32"/>
          <w:lang w:val="et-EE"/>
        </w:rPr>
        <w:t xml:space="preserve"> lõikes 9 </w:t>
      </w:r>
      <w:r w:rsidR="0012129D" w:rsidRPr="00FA1890">
        <w:rPr>
          <w:bCs/>
          <w:noProof/>
          <w:lang w:val="et-EE"/>
        </w:rPr>
        <w:t xml:space="preserve">sätestatud </w:t>
      </w:r>
      <w:r w:rsidR="0012129D" w:rsidRPr="00FA1890">
        <w:rPr>
          <w:bCs/>
          <w:noProof/>
          <w:u w:val="single"/>
          <w:lang w:val="et-EE"/>
        </w:rPr>
        <w:t>tasemeõppes osalemise toetuse</w:t>
      </w:r>
      <w:r w:rsidR="0012129D" w:rsidRPr="00FA1890">
        <w:rPr>
          <w:bCs/>
          <w:noProof/>
          <w:lang w:val="et-EE"/>
        </w:rPr>
        <w:t xml:space="preserve"> määr, milleks on ühes kuus riigieelarvega kehtestatud töötutoetuse 31-kordne päevamäär.  2023. aastal on </w:t>
      </w:r>
      <w:r w:rsidR="007A5EBC" w:rsidRPr="00FA1890">
        <w:rPr>
          <w:bCs/>
          <w:noProof/>
          <w:lang w:val="et-EE"/>
        </w:rPr>
        <w:t>päevamäär</w:t>
      </w:r>
      <w:r w:rsidR="00650A92" w:rsidRPr="00FA1890">
        <w:rPr>
          <w:bCs/>
          <w:noProof/>
          <w:lang w:val="et-EE"/>
        </w:rPr>
        <w:t xml:space="preserve"> </w:t>
      </w:r>
      <w:r w:rsidR="007A5EBC" w:rsidRPr="00FA1890">
        <w:rPr>
          <w:bCs/>
          <w:noProof/>
          <w:lang w:val="et-EE"/>
        </w:rPr>
        <w:t>10,55 eurot</w:t>
      </w:r>
      <w:r w:rsidR="00B23510" w:rsidRPr="00FA1890">
        <w:rPr>
          <w:bCs/>
          <w:noProof/>
          <w:lang w:val="et-EE"/>
        </w:rPr>
        <w:t>, seega toetuse summa on</w:t>
      </w:r>
      <w:r w:rsidR="0012129D" w:rsidRPr="00FA1890">
        <w:rPr>
          <w:bCs/>
          <w:noProof/>
          <w:lang w:val="et-EE"/>
        </w:rPr>
        <w:t xml:space="preserve"> 327,05 eurot kuus. </w:t>
      </w:r>
      <w:r w:rsidR="00B23510" w:rsidRPr="00FA1890">
        <w:rPr>
          <w:bCs/>
          <w:noProof/>
          <w:lang w:val="et-EE"/>
        </w:rPr>
        <w:t>TAT kohase m</w:t>
      </w:r>
      <w:r w:rsidR="0012129D" w:rsidRPr="00FA1890">
        <w:rPr>
          <w:bCs/>
          <w:noProof/>
          <w:lang w:val="et-EE"/>
        </w:rPr>
        <w:t xml:space="preserve">ikrokvalifikatsiooni omandamise toetuseks on kolmekordne </w:t>
      </w:r>
      <w:r w:rsidR="0012129D" w:rsidRPr="00FA1890">
        <w:rPr>
          <w:bCs/>
          <w:noProof/>
          <w:u w:val="single"/>
          <w:lang w:val="et-EE"/>
        </w:rPr>
        <w:t>tasemeõppes osalemise toetuse</w:t>
      </w:r>
      <w:r w:rsidR="0012129D" w:rsidRPr="00FA1890">
        <w:rPr>
          <w:bCs/>
          <w:noProof/>
          <w:lang w:val="et-EE"/>
        </w:rPr>
        <w:t xml:space="preserve"> </w:t>
      </w:r>
      <w:r w:rsidR="00B23510" w:rsidRPr="00FA1890">
        <w:rPr>
          <w:bCs/>
          <w:noProof/>
          <w:lang w:val="et-EE"/>
        </w:rPr>
        <w:t>summa</w:t>
      </w:r>
      <w:r w:rsidR="0012129D" w:rsidRPr="00FA1890">
        <w:rPr>
          <w:bCs/>
          <w:noProof/>
          <w:lang w:val="et-EE"/>
        </w:rPr>
        <w:t xml:space="preserve">. </w:t>
      </w:r>
      <w:r w:rsidR="00B23510" w:rsidRPr="00FA1890">
        <w:rPr>
          <w:bCs/>
          <w:noProof/>
          <w:lang w:val="et-EE"/>
        </w:rPr>
        <w:t>TAT-s</w:t>
      </w:r>
      <w:r w:rsidR="0012129D" w:rsidRPr="00FA1890">
        <w:rPr>
          <w:bCs/>
          <w:noProof/>
          <w:lang w:val="et-EE"/>
        </w:rPr>
        <w:t xml:space="preserve"> toetatakse mikrokvalifikatsiooni</w:t>
      </w:r>
      <w:r w:rsidR="00C80584" w:rsidRPr="00FA1890">
        <w:rPr>
          <w:bCs/>
          <w:noProof/>
          <w:lang w:val="et-EE"/>
        </w:rPr>
        <w:t>õppe</w:t>
      </w:r>
      <w:r w:rsidR="0012129D" w:rsidRPr="00FA1890">
        <w:rPr>
          <w:bCs/>
          <w:noProof/>
          <w:lang w:val="et-EE"/>
        </w:rPr>
        <w:t xml:space="preserve"> õppekavade läbimist, mille maht on vähemalt 18 ainepunkti. Eeldatavasti läbib suur osa toetuse taotlejaid õppekava mahus 18-24 </w:t>
      </w:r>
      <w:r w:rsidR="007A5EBC" w:rsidRPr="00FA1890">
        <w:rPr>
          <w:bCs/>
          <w:noProof/>
          <w:lang w:val="et-EE"/>
        </w:rPr>
        <w:t>EAP</w:t>
      </w:r>
      <w:r w:rsidR="0012129D" w:rsidRPr="00FA1890">
        <w:rPr>
          <w:bCs/>
          <w:noProof/>
          <w:lang w:val="et-EE"/>
        </w:rPr>
        <w:t>-d</w:t>
      </w:r>
      <w:r w:rsidR="00B23510" w:rsidRPr="00FA1890">
        <w:rPr>
          <w:bCs/>
          <w:noProof/>
          <w:lang w:val="et-EE"/>
        </w:rPr>
        <w:t xml:space="preserve"> (ainepunkt)</w:t>
      </w:r>
      <w:r w:rsidR="0012129D" w:rsidRPr="00FA1890">
        <w:rPr>
          <w:bCs/>
          <w:noProof/>
          <w:lang w:val="et-EE"/>
        </w:rPr>
        <w:t xml:space="preserve">. 18 </w:t>
      </w:r>
      <w:r w:rsidR="007A5EBC" w:rsidRPr="00FA1890">
        <w:rPr>
          <w:bCs/>
          <w:noProof/>
          <w:lang w:val="et-EE"/>
        </w:rPr>
        <w:t>EAP</w:t>
      </w:r>
      <w:r w:rsidR="0012129D" w:rsidRPr="00FA1890">
        <w:rPr>
          <w:bCs/>
          <w:noProof/>
          <w:lang w:val="et-EE"/>
        </w:rPr>
        <w:t>-se õpekava läbimiseks kulub tasemeõppes nominaalajas püsides kolm kuud. Mikrokvalifikatsiooni õpe võib olla korraldatud paindlikult ning õppijal võib olla võimalik oma õpinguid jaotada pikema perioodi peale, kuid lähtutud on õppija koormusest ja panusest ainepunktide läbimisel, et säiliks tasakaal tasemeõppes osalemise toetuse suurusega. Kolmekordne tasemeõppes osalemise toetus annab mikrokvalifikatsiooni omandamise toetuse suuruseks vastavalt 98</w:t>
      </w:r>
      <w:r w:rsidR="00545C3C" w:rsidRPr="00FA1890">
        <w:rPr>
          <w:bCs/>
          <w:noProof/>
          <w:lang w:val="et-EE"/>
        </w:rPr>
        <w:t>1,15</w:t>
      </w:r>
      <w:r w:rsidR="0012129D" w:rsidRPr="00FA1890">
        <w:rPr>
          <w:bCs/>
          <w:noProof/>
          <w:lang w:val="et-EE"/>
        </w:rPr>
        <w:t xml:space="preserve"> eurot.</w:t>
      </w:r>
    </w:p>
    <w:p w14:paraId="7018431F" w14:textId="6DD3F45F" w:rsidR="003C12CA" w:rsidRPr="00FA1890" w:rsidRDefault="003C12CA" w:rsidP="00E56E73">
      <w:pPr>
        <w:jc w:val="both"/>
        <w:rPr>
          <w:bCs/>
          <w:noProof/>
          <w:lang w:val="et-EE"/>
        </w:rPr>
      </w:pPr>
    </w:p>
    <w:p w14:paraId="74F56ABD" w14:textId="77777777" w:rsidR="003C12CA" w:rsidRPr="00FA1890" w:rsidRDefault="003C12CA" w:rsidP="004034F3">
      <w:pPr>
        <w:jc w:val="both"/>
        <w:rPr>
          <w:b/>
          <w:lang w:val="et-EE"/>
        </w:rPr>
      </w:pPr>
      <w:r w:rsidRPr="00FA1890">
        <w:rPr>
          <w:b/>
          <w:lang w:val="et-EE"/>
        </w:rPr>
        <w:t>Punkt 6 „Toetuse maksmise tingimused ja kord“</w:t>
      </w:r>
    </w:p>
    <w:p w14:paraId="060CB9AB" w14:textId="77777777" w:rsidR="003C12CA" w:rsidRPr="00FA1890" w:rsidRDefault="003C12CA" w:rsidP="004034F3">
      <w:pPr>
        <w:jc w:val="both"/>
        <w:rPr>
          <w:bCs/>
          <w:lang w:val="et-EE"/>
        </w:rPr>
      </w:pPr>
    </w:p>
    <w:p w14:paraId="7752C0F1" w14:textId="70C60FEB" w:rsidR="003C12CA" w:rsidRPr="00FA1890" w:rsidRDefault="003C12CA" w:rsidP="004034F3">
      <w:pPr>
        <w:jc w:val="both"/>
        <w:rPr>
          <w:lang w:val="et-EE"/>
        </w:rPr>
      </w:pPr>
      <w:r w:rsidRPr="00FA1890">
        <w:rPr>
          <w:lang w:val="et-EE" w:eastAsia="et-EE"/>
        </w:rPr>
        <w:t>Toetuse väljamaksmine</w:t>
      </w:r>
      <w:r w:rsidR="009B4E8F" w:rsidRPr="00FA1890">
        <w:rPr>
          <w:lang w:val="et-EE" w:eastAsia="et-EE"/>
        </w:rPr>
        <w:t xml:space="preserve"> elluviijale</w:t>
      </w:r>
      <w:r w:rsidRPr="00FA1890">
        <w:rPr>
          <w:lang w:val="et-EE" w:eastAsia="et-EE"/>
        </w:rPr>
        <w:t xml:space="preserve"> toimub ühendmääruse § 27 lõike 1 punkti 1</w:t>
      </w:r>
      <w:r w:rsidR="007A5EBC" w:rsidRPr="00FA1890">
        <w:rPr>
          <w:lang w:val="et-EE" w:eastAsia="et-EE"/>
        </w:rPr>
        <w:t xml:space="preserve"> (arvestades tööle asumise toetuse maksimaalset määra 1000 eurot)</w:t>
      </w:r>
      <w:r w:rsidRPr="00FA1890">
        <w:rPr>
          <w:lang w:val="et-EE" w:eastAsia="et-EE"/>
        </w:rPr>
        <w:t xml:space="preserve"> </w:t>
      </w:r>
      <w:r w:rsidR="00711FEE" w:rsidRPr="00FA1890">
        <w:rPr>
          <w:lang w:val="et-EE" w:eastAsia="et-EE"/>
        </w:rPr>
        <w:t>ja § 28 lõike 1</w:t>
      </w:r>
      <w:r w:rsidR="007A5EBC" w:rsidRPr="00FA1890">
        <w:rPr>
          <w:lang w:val="et-EE" w:eastAsia="et-EE"/>
        </w:rPr>
        <w:t xml:space="preserve"> (punktides 5.2.2 ja 5.2.3 nimetatud </w:t>
      </w:r>
      <w:r w:rsidR="007A5EBC" w:rsidRPr="00FA1890">
        <w:rPr>
          <w:lang w:val="et-EE" w:eastAsia="et-EE"/>
        </w:rPr>
        <w:lastRenderedPageBreak/>
        <w:t>ulatuses)</w:t>
      </w:r>
      <w:r w:rsidR="00711FEE" w:rsidRPr="00FA1890">
        <w:rPr>
          <w:lang w:val="et-EE" w:eastAsia="et-EE"/>
        </w:rPr>
        <w:t xml:space="preserve"> </w:t>
      </w:r>
      <w:r w:rsidRPr="00FA1890">
        <w:rPr>
          <w:lang w:val="et-EE" w:eastAsia="et-EE"/>
        </w:rPr>
        <w:t xml:space="preserve">alusel. </w:t>
      </w:r>
      <w:r w:rsidR="00921813" w:rsidRPr="00FA1890">
        <w:rPr>
          <w:lang w:val="et-EE"/>
        </w:rPr>
        <w:t xml:space="preserve">Elluviija kuludeks on </w:t>
      </w:r>
      <w:r w:rsidR="00E93465" w:rsidRPr="00FA1890">
        <w:rPr>
          <w:lang w:val="et-EE"/>
        </w:rPr>
        <w:t xml:space="preserve">inimestele </w:t>
      </w:r>
      <w:r w:rsidR="00921813" w:rsidRPr="00FA1890">
        <w:rPr>
          <w:bCs/>
          <w:lang w:val="et-EE"/>
        </w:rPr>
        <w:t xml:space="preserve">makstav tööle asumise toetus, </w:t>
      </w:r>
      <w:r w:rsidR="00921813" w:rsidRPr="00FA1890">
        <w:rPr>
          <w:bCs/>
          <w:noProof/>
          <w:lang w:val="et-EE"/>
        </w:rPr>
        <w:t>tasemeõppes osalemise toetus</w:t>
      </w:r>
      <w:r w:rsidR="00E710C6" w:rsidRPr="00FA1890">
        <w:rPr>
          <w:bCs/>
          <w:noProof/>
          <w:lang w:val="et-EE"/>
        </w:rPr>
        <w:t xml:space="preserve"> ja</w:t>
      </w:r>
      <w:r w:rsidR="00921813" w:rsidRPr="00FA1890">
        <w:rPr>
          <w:bCs/>
          <w:noProof/>
          <w:lang w:val="et-EE"/>
        </w:rPr>
        <w:t xml:space="preserve"> mikrokvalifikatsiooni omandamise toetus.</w:t>
      </w:r>
    </w:p>
    <w:p w14:paraId="59F6BF5D" w14:textId="6A18426D" w:rsidR="003C12CA" w:rsidRPr="00FA1890" w:rsidRDefault="003C12CA" w:rsidP="004034F3">
      <w:pPr>
        <w:jc w:val="both"/>
        <w:rPr>
          <w:lang w:val="et-EE"/>
        </w:rPr>
      </w:pPr>
    </w:p>
    <w:p w14:paraId="39E08594" w14:textId="77777777" w:rsidR="003C12CA" w:rsidRPr="00FA1890" w:rsidRDefault="003C12CA" w:rsidP="004034F3">
      <w:pPr>
        <w:jc w:val="both"/>
        <w:rPr>
          <w:b/>
          <w:lang w:val="et-EE"/>
        </w:rPr>
      </w:pPr>
      <w:r w:rsidRPr="00FA1890">
        <w:rPr>
          <w:b/>
          <w:lang w:val="et-EE"/>
        </w:rPr>
        <w:t>Punkt 7 „Elluviija kohustused“</w:t>
      </w:r>
    </w:p>
    <w:p w14:paraId="75715F92" w14:textId="77777777" w:rsidR="003C12CA" w:rsidRPr="00FA1890" w:rsidRDefault="003C12CA" w:rsidP="004034F3">
      <w:pPr>
        <w:jc w:val="both"/>
        <w:rPr>
          <w:bCs/>
          <w:lang w:val="et-EE"/>
        </w:rPr>
      </w:pPr>
    </w:p>
    <w:p w14:paraId="196C57F5" w14:textId="642CDC90" w:rsidR="003C12CA" w:rsidRPr="00FA1890" w:rsidRDefault="003C12CA" w:rsidP="004034F3">
      <w:pPr>
        <w:jc w:val="both"/>
        <w:rPr>
          <w:lang w:val="et-EE"/>
        </w:rPr>
      </w:pPr>
      <w:r w:rsidRPr="00FA1890">
        <w:rPr>
          <w:lang w:val="et-EE"/>
        </w:rPr>
        <w:t xml:space="preserve">Lisaks TAT-s sätestatule kohalduvad TAT elluviijale kõik </w:t>
      </w:r>
      <w:r w:rsidR="00A013C2" w:rsidRPr="00FA1890">
        <w:rPr>
          <w:kern w:val="36"/>
          <w:lang w:val="et-EE" w:eastAsia="et-EE"/>
        </w:rPr>
        <w:t>ÜSS2021_2027</w:t>
      </w:r>
      <w:r w:rsidRPr="00FA1890">
        <w:rPr>
          <w:lang w:val="et-EE"/>
        </w:rPr>
        <w:t xml:space="preserve"> ja selle alusel kehtestatud õigusaktides toetuse saajale sätestatud kohustused. </w:t>
      </w:r>
    </w:p>
    <w:p w14:paraId="6C77057A" w14:textId="77777777" w:rsidR="003C12CA" w:rsidRPr="00FA1890" w:rsidRDefault="003C12CA" w:rsidP="004034F3">
      <w:pPr>
        <w:jc w:val="both"/>
        <w:rPr>
          <w:lang w:val="et-EE"/>
        </w:rPr>
      </w:pPr>
    </w:p>
    <w:p w14:paraId="2D1A115B" w14:textId="77777777" w:rsidR="003C12CA" w:rsidRPr="00FA1890" w:rsidRDefault="003C12CA" w:rsidP="004034F3">
      <w:pPr>
        <w:tabs>
          <w:tab w:val="left" w:pos="4410"/>
        </w:tabs>
        <w:autoSpaceDE w:val="0"/>
        <w:autoSpaceDN w:val="0"/>
        <w:adjustRightInd w:val="0"/>
        <w:jc w:val="both"/>
        <w:rPr>
          <w:lang w:val="et-EE"/>
        </w:rPr>
      </w:pPr>
      <w:r w:rsidRPr="00FA1890">
        <w:rPr>
          <w:lang w:val="et-EE"/>
        </w:rPr>
        <w:t>RA-le esitatakse TAT järgmis(t)e eelarveaasta(te) eelarve kinnitamiseks jooksva aasta 1. novembriks. RA nõudmisel on TAT elluviija kohustatud esitama TAT eelarve jagunemise aastate ja eelarveartiklite kaupa. Vastav nõue on vajalik sisendina riigieelarve ja tööplaani planeerimise protsessis. TAT elluviija on kohustatud RA-le esitama iga kuu eelarve täitmise aruande. RA on aruandekohustuslik tema vastutusalas olevate meetmete elluviimises ning selleks eraldatud toetuse kasutamises, mistõttu on vajalik tihedamini kui kaks korda aastas (aruannete esitamise tähtajad) seirata vahendite kasutamist ning vajaduse korral sekkuda (ala- või ülekasutamine) TAT elluviimisse.</w:t>
      </w:r>
    </w:p>
    <w:p w14:paraId="5C18A999" w14:textId="77777777" w:rsidR="003C12CA" w:rsidRPr="00FA1890" w:rsidRDefault="003C12CA" w:rsidP="004034F3">
      <w:pPr>
        <w:tabs>
          <w:tab w:val="left" w:pos="4410"/>
        </w:tabs>
        <w:autoSpaceDE w:val="0"/>
        <w:autoSpaceDN w:val="0"/>
        <w:adjustRightInd w:val="0"/>
        <w:jc w:val="both"/>
        <w:rPr>
          <w:lang w:val="et-EE"/>
        </w:rPr>
      </w:pPr>
    </w:p>
    <w:p w14:paraId="392F2EBF" w14:textId="27AED6C6" w:rsidR="003C12CA" w:rsidRPr="00FA1890" w:rsidRDefault="003C12CA" w:rsidP="004034F3">
      <w:pPr>
        <w:tabs>
          <w:tab w:val="left" w:pos="4410"/>
        </w:tabs>
        <w:autoSpaceDE w:val="0"/>
        <w:autoSpaceDN w:val="0"/>
        <w:adjustRightInd w:val="0"/>
        <w:jc w:val="both"/>
        <w:rPr>
          <w:lang w:val="et-EE" w:eastAsia="et-EE"/>
        </w:rPr>
      </w:pPr>
      <w:r w:rsidRPr="00FA1890">
        <w:rPr>
          <w:lang w:val="et-EE"/>
        </w:rPr>
        <w:t xml:space="preserve">Peale TAT kinnitamist tuleb RÜ-le esitada väljamaksete prognoos 15 tööpäeva jooksul. Igal aastal tuleb väljamaksete prognoos järgmise eelarveaasta kohta esitada 10. detsembriks või kümne tööpäeva jooksul peale lisaeelarve kinnitamist. </w:t>
      </w:r>
      <w:r w:rsidRPr="00FA1890">
        <w:rPr>
          <w:lang w:val="et-EE" w:eastAsia="et-EE"/>
        </w:rPr>
        <w:t>Kui maksed erinevad esitatud prognoosist 25%, tuleb elluviijal esitada uus väljamaksete prognoos järele</w:t>
      </w:r>
      <w:r w:rsidR="00B5305B" w:rsidRPr="00FA1890">
        <w:rPr>
          <w:lang w:val="et-EE" w:eastAsia="et-EE"/>
        </w:rPr>
        <w:t>jäänud</w:t>
      </w:r>
      <w:r w:rsidRPr="00FA1890">
        <w:rPr>
          <w:lang w:val="et-EE" w:eastAsia="et-EE"/>
        </w:rPr>
        <w:t xml:space="preserve"> eelarveaasta kohta.</w:t>
      </w:r>
    </w:p>
    <w:p w14:paraId="622118E5" w14:textId="77777777" w:rsidR="003C12CA" w:rsidRPr="00FA1890" w:rsidRDefault="003C12CA" w:rsidP="004034F3">
      <w:pPr>
        <w:tabs>
          <w:tab w:val="left" w:pos="4410"/>
        </w:tabs>
        <w:autoSpaceDE w:val="0"/>
        <w:autoSpaceDN w:val="0"/>
        <w:adjustRightInd w:val="0"/>
        <w:jc w:val="both"/>
        <w:rPr>
          <w:lang w:val="et-EE" w:eastAsia="et-EE"/>
        </w:rPr>
      </w:pPr>
    </w:p>
    <w:p w14:paraId="7BB11B4E" w14:textId="7AC3C440" w:rsidR="003C12CA" w:rsidRPr="00FA1890" w:rsidRDefault="003C12CA" w:rsidP="004034F3">
      <w:pPr>
        <w:jc w:val="both"/>
        <w:rPr>
          <w:lang w:val="et-EE"/>
        </w:rPr>
      </w:pPr>
      <w:r w:rsidRPr="00FA1890">
        <w:rPr>
          <w:lang w:val="et-EE"/>
        </w:rPr>
        <w:t xml:space="preserve">ÕÜFist </w:t>
      </w:r>
      <w:r w:rsidR="000222D3" w:rsidRPr="00FA1890">
        <w:rPr>
          <w:lang w:val="et-EE"/>
        </w:rPr>
        <w:t xml:space="preserve">tuleb </w:t>
      </w:r>
      <w:r w:rsidRPr="00FA1890">
        <w:rPr>
          <w:lang w:val="et-EE"/>
        </w:rPr>
        <w:t xml:space="preserve">rahastatud tegevustes osalejate </w:t>
      </w:r>
      <w:r w:rsidR="000222D3" w:rsidRPr="00FA1890">
        <w:rPr>
          <w:lang w:val="et-EE"/>
        </w:rPr>
        <w:t>(</w:t>
      </w:r>
      <w:r w:rsidR="004744C8" w:rsidRPr="00FA1890">
        <w:rPr>
          <w:lang w:val="et-EE"/>
        </w:rPr>
        <w:t xml:space="preserve">sisuliselt </w:t>
      </w:r>
      <w:r w:rsidR="000222D3" w:rsidRPr="00FA1890">
        <w:rPr>
          <w:lang w:val="et-EE"/>
        </w:rPr>
        <w:t>sihtrühmaks olevate toetuse</w:t>
      </w:r>
      <w:r w:rsidR="00A013C2" w:rsidRPr="00FA1890">
        <w:rPr>
          <w:lang w:val="et-EE"/>
        </w:rPr>
        <w:t>saajate)</w:t>
      </w:r>
      <w:r w:rsidR="000222D3" w:rsidRPr="00FA1890">
        <w:rPr>
          <w:lang w:val="et-EE"/>
        </w:rPr>
        <w:t xml:space="preserve"> </w:t>
      </w:r>
      <w:r w:rsidRPr="00FA1890">
        <w:rPr>
          <w:lang w:val="et-EE"/>
        </w:rPr>
        <w:t>kohta koguda nõutavad andmed vastavalt ÜSS</w:t>
      </w:r>
      <w:r w:rsidR="00A013C2" w:rsidRPr="00FA1890">
        <w:rPr>
          <w:kern w:val="36"/>
          <w:lang w:val="et-EE" w:eastAsia="et-EE"/>
        </w:rPr>
        <w:t>2021_2027</w:t>
      </w:r>
      <w:r w:rsidRPr="00FA1890">
        <w:rPr>
          <w:lang w:val="et-EE"/>
        </w:rPr>
        <w:t xml:space="preserve"> § 19 lõikele 3. </w:t>
      </w:r>
      <w:r w:rsidR="00EC2061" w:rsidRPr="00FA1890">
        <w:rPr>
          <w:lang w:val="et-EE"/>
        </w:rPr>
        <w:t>Osalejate andmeid tuleb sisestada sündmuste infosüsteemi ehk SISi, mille kaudu kogutakse infot osalejate kohta.</w:t>
      </w:r>
    </w:p>
    <w:p w14:paraId="54717F16" w14:textId="77777777" w:rsidR="003C12CA" w:rsidRPr="00FA1890" w:rsidRDefault="003C12CA" w:rsidP="004034F3">
      <w:pPr>
        <w:jc w:val="both"/>
        <w:rPr>
          <w:lang w:val="et-EE"/>
        </w:rPr>
      </w:pPr>
    </w:p>
    <w:p w14:paraId="212563A8" w14:textId="77777777" w:rsidR="003C12CA" w:rsidRPr="00FA1890" w:rsidRDefault="003C12CA" w:rsidP="004034F3">
      <w:pPr>
        <w:jc w:val="both"/>
        <w:rPr>
          <w:b/>
          <w:bCs/>
          <w:lang w:val="et-EE"/>
        </w:rPr>
      </w:pPr>
      <w:r w:rsidRPr="00FA1890">
        <w:rPr>
          <w:b/>
          <w:bCs/>
          <w:lang w:val="et-EE"/>
        </w:rPr>
        <w:t>Punkt 8 „Aruandlus“</w:t>
      </w:r>
    </w:p>
    <w:p w14:paraId="326CF6C1" w14:textId="77777777" w:rsidR="003C12CA" w:rsidRPr="00FA1890" w:rsidRDefault="003C12CA" w:rsidP="004034F3">
      <w:pPr>
        <w:jc w:val="both"/>
        <w:rPr>
          <w:lang w:val="et-EE"/>
        </w:rPr>
      </w:pPr>
    </w:p>
    <w:p w14:paraId="194311F9" w14:textId="77777777" w:rsidR="003C12CA" w:rsidRPr="00FA1890" w:rsidRDefault="003C12CA" w:rsidP="004034F3">
      <w:pPr>
        <w:jc w:val="both"/>
        <w:rPr>
          <w:lang w:val="et-EE"/>
        </w:rPr>
      </w:pPr>
      <w:r w:rsidRPr="00FA1890">
        <w:rPr>
          <w:lang w:val="et-EE" w:eastAsia="et-EE"/>
        </w:rPr>
        <w:t>Punktis sätestatakse vahearuannete ja lõpparuande esitamise kohustus ja tähtajad ning aruannetes puuduste esinemise korral nende menetlemise kord. Korrapäraselt esitatud aruanded aitavad jälgida TAT tegevuste edenemist ja tulemuste täitmist ning võimaldavad vajaduse korral juhtida tähelepanu vajakajäämistele, samuti teha tegevuste elluviimises õigeaegseid muudatusi.</w:t>
      </w:r>
    </w:p>
    <w:p w14:paraId="3D15385A" w14:textId="77777777" w:rsidR="003C12CA" w:rsidRPr="00FA1890" w:rsidRDefault="003C12CA" w:rsidP="004034F3">
      <w:pPr>
        <w:jc w:val="both"/>
        <w:rPr>
          <w:lang w:val="et-EE"/>
        </w:rPr>
      </w:pPr>
    </w:p>
    <w:p w14:paraId="721FA5B1" w14:textId="77777777" w:rsidR="003C12CA" w:rsidRPr="00FA1890" w:rsidRDefault="003C12CA" w:rsidP="004034F3">
      <w:pPr>
        <w:jc w:val="both"/>
        <w:rPr>
          <w:b/>
          <w:bCs/>
          <w:lang w:val="et-EE"/>
        </w:rPr>
      </w:pPr>
      <w:r w:rsidRPr="00FA1890">
        <w:rPr>
          <w:b/>
          <w:bCs/>
          <w:lang w:val="et-EE"/>
        </w:rPr>
        <w:t>Punkt 9 „TAT muutmine“</w:t>
      </w:r>
    </w:p>
    <w:p w14:paraId="43245EB4" w14:textId="77777777" w:rsidR="003C12CA" w:rsidRPr="00FA1890" w:rsidRDefault="003C12CA" w:rsidP="004034F3">
      <w:pPr>
        <w:jc w:val="both"/>
        <w:rPr>
          <w:lang w:val="et-EE"/>
        </w:rPr>
      </w:pPr>
    </w:p>
    <w:p w14:paraId="6551EC57" w14:textId="77777777" w:rsidR="003C12CA" w:rsidRPr="00FA1890" w:rsidRDefault="003C12CA" w:rsidP="004034F3">
      <w:pPr>
        <w:pStyle w:val="Normaallaadveeb"/>
        <w:spacing w:before="0" w:beforeAutospacing="0" w:after="0" w:afterAutospacing="0"/>
        <w:jc w:val="both"/>
        <w:rPr>
          <w:rFonts w:ascii="Times New Roman" w:hAnsi="Times New Roman" w:cs="Times New Roman"/>
          <w:color w:val="auto"/>
          <w:lang w:val="et-EE"/>
        </w:rPr>
      </w:pPr>
      <w:r w:rsidRPr="00FA1890">
        <w:rPr>
          <w:rFonts w:ascii="Times New Roman" w:hAnsi="Times New Roman" w:cs="Times New Roman"/>
          <w:color w:val="auto"/>
          <w:lang w:val="et-EE"/>
        </w:rPr>
        <w:t>Punktis sätestatakse TAT muutmise kord. Muudatusvajadused peavad olema motiveeritud ja aitama kaasa TAT edukale elluviimisele. Sagedamini kui üks kord kuue kuu jooksul ei ole TAT muutmine mõistlik, arvestades muutmisprotsessi ajamahukust ning sellega kaasnevat halduskoormust. TAT-d peavad põhinema põhjalikel analüüsidel ja planeerimisel, välistades sagedaste paranduste vajaduse. Samuti peavad vajalikud muudatused olema põhjendatud ja läbi kaalutud.</w:t>
      </w:r>
    </w:p>
    <w:p w14:paraId="12E4B45A" w14:textId="77777777" w:rsidR="003C12CA" w:rsidRPr="00FA1890" w:rsidRDefault="003C12CA" w:rsidP="004034F3">
      <w:pPr>
        <w:pStyle w:val="Normaallaadveeb"/>
        <w:spacing w:before="0" w:beforeAutospacing="0" w:after="0" w:afterAutospacing="0"/>
        <w:jc w:val="both"/>
        <w:rPr>
          <w:rFonts w:ascii="Times New Roman" w:hAnsi="Times New Roman" w:cs="Times New Roman"/>
          <w:color w:val="auto"/>
          <w:lang w:val="et-EE"/>
        </w:rPr>
      </w:pPr>
    </w:p>
    <w:p w14:paraId="6AE7A600" w14:textId="0A85B258" w:rsidR="003C12CA" w:rsidRPr="00FA1890" w:rsidRDefault="003C12CA" w:rsidP="004034F3">
      <w:pPr>
        <w:jc w:val="both"/>
        <w:rPr>
          <w:lang w:val="et-EE"/>
        </w:rPr>
      </w:pPr>
      <w:r w:rsidRPr="00FA1890">
        <w:rPr>
          <w:lang w:val="et-EE"/>
        </w:rPr>
        <w:t xml:space="preserve">RA-l on õigus </w:t>
      </w:r>
      <w:r w:rsidR="007659F3">
        <w:rPr>
          <w:lang w:val="et-EE"/>
        </w:rPr>
        <w:t xml:space="preserve">teha </w:t>
      </w:r>
      <w:r w:rsidRPr="00FA1890">
        <w:rPr>
          <w:lang w:val="et-EE"/>
        </w:rPr>
        <w:t>TAT-</w:t>
      </w:r>
      <w:r w:rsidR="007659F3">
        <w:rPr>
          <w:lang w:val="et-EE"/>
        </w:rPr>
        <w:t>s</w:t>
      </w:r>
      <w:r w:rsidRPr="00FA1890">
        <w:rPr>
          <w:lang w:val="et-EE"/>
        </w:rPr>
        <w:t xml:space="preserve"> muut</w:t>
      </w:r>
      <w:r w:rsidR="007659F3">
        <w:rPr>
          <w:lang w:val="et-EE"/>
        </w:rPr>
        <w:t>useid</w:t>
      </w:r>
      <w:r w:rsidRPr="00FA1890">
        <w:rPr>
          <w:lang w:val="et-EE"/>
        </w:rPr>
        <w:t>, kui selgub, et see on vajalik TAT edukaks elluviimiseks või TAT elluviijal ei ole toetuse kasutamist ettenähtud tingimustel võimalik jätkata. RA võib muuta TAT finantsplaani, eelarvet või TAT abikõlblikkuse perioodi. Kui TAT rakendamisel tekib eelarveliste vahendite jääk, võib RA vähendada TAT eelarvet tingimusel, et see ei takista TAT eesmärkide täitmist. Vastav säte on vajalik olukorras, kui on näha, et TAT tegevuste elluviimiseks kulub oluliselt vähem vahendeid, kui oli esialgu planeeritud.</w:t>
      </w:r>
    </w:p>
    <w:p w14:paraId="53D84EE0" w14:textId="77777777" w:rsidR="003C12CA" w:rsidRPr="00FA1890" w:rsidRDefault="003C12CA" w:rsidP="004034F3">
      <w:pPr>
        <w:jc w:val="both"/>
        <w:rPr>
          <w:lang w:val="et-EE"/>
        </w:rPr>
      </w:pPr>
    </w:p>
    <w:p w14:paraId="2C56D166" w14:textId="77777777" w:rsidR="003C12CA" w:rsidRPr="00FA1890" w:rsidRDefault="003C12CA" w:rsidP="004034F3">
      <w:pPr>
        <w:jc w:val="both"/>
        <w:rPr>
          <w:b/>
          <w:bCs/>
          <w:lang w:val="et-EE"/>
        </w:rPr>
      </w:pPr>
      <w:r w:rsidRPr="00FA1890">
        <w:rPr>
          <w:b/>
          <w:bCs/>
          <w:lang w:val="et-EE"/>
        </w:rPr>
        <w:t>Punkt 10 „Finantskorrektsiooni tegemise alused ja kord”</w:t>
      </w:r>
    </w:p>
    <w:p w14:paraId="19AC10B8" w14:textId="77777777" w:rsidR="003C12CA" w:rsidRPr="00FA1890" w:rsidRDefault="003C12CA" w:rsidP="004034F3">
      <w:pPr>
        <w:jc w:val="both"/>
        <w:rPr>
          <w:lang w:val="et-EE"/>
        </w:rPr>
      </w:pPr>
    </w:p>
    <w:p w14:paraId="790A3470" w14:textId="77777777" w:rsidR="003C12CA" w:rsidRPr="00FA1890" w:rsidRDefault="003C12CA" w:rsidP="004034F3">
      <w:pPr>
        <w:jc w:val="both"/>
        <w:rPr>
          <w:lang w:val="et-EE"/>
        </w:rPr>
      </w:pPr>
      <w:r w:rsidRPr="00FA1890">
        <w:rPr>
          <w:noProof/>
          <w:lang w:val="et-EE"/>
        </w:rPr>
        <w:lastRenderedPageBreak/>
        <w:t>Viidatakse finantskorrektsiooni otsuste ja tagasimaksete tegemise reeglistikule.</w:t>
      </w:r>
    </w:p>
    <w:p w14:paraId="178AA57A" w14:textId="77777777" w:rsidR="003C12CA" w:rsidRPr="00FA1890" w:rsidRDefault="003C12CA" w:rsidP="004034F3">
      <w:pPr>
        <w:jc w:val="both"/>
        <w:rPr>
          <w:lang w:val="et-EE"/>
        </w:rPr>
      </w:pPr>
    </w:p>
    <w:p w14:paraId="3CFAE54E" w14:textId="77777777" w:rsidR="003C12CA" w:rsidRPr="00FA1890" w:rsidRDefault="003C12CA" w:rsidP="004034F3">
      <w:pPr>
        <w:jc w:val="both"/>
        <w:rPr>
          <w:b/>
          <w:bCs/>
          <w:lang w:val="et-EE"/>
        </w:rPr>
      </w:pPr>
      <w:r w:rsidRPr="00FA1890">
        <w:rPr>
          <w:b/>
          <w:bCs/>
          <w:lang w:val="et-EE"/>
        </w:rPr>
        <w:t>Punkt 11 „Vaiete lahendamine”</w:t>
      </w:r>
    </w:p>
    <w:p w14:paraId="003BACB8" w14:textId="77777777" w:rsidR="003C12CA" w:rsidRPr="00FA1890" w:rsidRDefault="003C12CA" w:rsidP="004034F3">
      <w:pPr>
        <w:jc w:val="both"/>
        <w:rPr>
          <w:lang w:val="et-EE"/>
        </w:rPr>
      </w:pPr>
    </w:p>
    <w:p w14:paraId="3FB9422A" w14:textId="0C5DB7FC" w:rsidR="003C12CA" w:rsidRPr="00FA1890" w:rsidRDefault="003C12CA" w:rsidP="004034F3">
      <w:pPr>
        <w:jc w:val="both"/>
        <w:rPr>
          <w:bCs/>
          <w:noProof/>
          <w:lang w:val="et-EE"/>
        </w:rPr>
      </w:pPr>
      <w:r w:rsidRPr="00FA1890">
        <w:rPr>
          <w:lang w:val="et-EE"/>
        </w:rPr>
        <w:t>Nimetatakse RA ja RÜ otsuse või toimingu vaide menetleja.</w:t>
      </w:r>
    </w:p>
    <w:p w14:paraId="676FBC09" w14:textId="66147579" w:rsidR="003349CB" w:rsidRDefault="003349CB" w:rsidP="004034F3">
      <w:pPr>
        <w:jc w:val="both"/>
        <w:rPr>
          <w:noProof/>
          <w:lang w:val="et-EE"/>
        </w:rPr>
      </w:pPr>
    </w:p>
    <w:p w14:paraId="0AB473F5" w14:textId="1EAA2E8D" w:rsidR="00527E1F" w:rsidRPr="00527E1F" w:rsidRDefault="00527E1F" w:rsidP="004034F3">
      <w:pPr>
        <w:jc w:val="both"/>
        <w:rPr>
          <w:b/>
          <w:bCs/>
          <w:noProof/>
          <w:lang w:val="et-EE"/>
        </w:rPr>
      </w:pPr>
      <w:r w:rsidRPr="00527E1F">
        <w:rPr>
          <w:b/>
          <w:bCs/>
          <w:noProof/>
          <w:lang w:val="et-EE"/>
        </w:rPr>
        <w:t>III</w:t>
      </w:r>
      <w:r w:rsidRPr="00527E1F">
        <w:rPr>
          <w:b/>
          <w:bCs/>
          <w:lang w:val="et-EE"/>
        </w:rPr>
        <w:t xml:space="preserve"> TAT vastavus Euroopa Liidu õigusaktidele</w:t>
      </w:r>
    </w:p>
    <w:p w14:paraId="42130E72" w14:textId="77777777" w:rsidR="00527E1F" w:rsidRPr="00FA1890" w:rsidRDefault="00527E1F" w:rsidP="004034F3">
      <w:pPr>
        <w:jc w:val="both"/>
        <w:rPr>
          <w:noProof/>
          <w:lang w:val="et-EE"/>
        </w:rPr>
      </w:pPr>
    </w:p>
    <w:p w14:paraId="429C524F" w14:textId="4D62B425" w:rsidR="0071686A" w:rsidRPr="00FA1890" w:rsidRDefault="00863DA4" w:rsidP="004034F3">
      <w:pPr>
        <w:jc w:val="both"/>
        <w:rPr>
          <w:lang w:val="et-EE"/>
        </w:rPr>
      </w:pPr>
      <w:r w:rsidRPr="00FA1890">
        <w:rPr>
          <w:lang w:val="et-EE"/>
        </w:rPr>
        <w:t>Käskkiri</w:t>
      </w:r>
      <w:r w:rsidR="0071686A" w:rsidRPr="00FA1890">
        <w:rPr>
          <w:lang w:val="et-EE"/>
        </w:rPr>
        <w:t xml:space="preserve"> on vastavuses Euroopa Liidu õigusega.</w:t>
      </w:r>
    </w:p>
    <w:p w14:paraId="020E8854" w14:textId="77777777" w:rsidR="0071686A" w:rsidRPr="00FA1890" w:rsidRDefault="0071686A" w:rsidP="004034F3">
      <w:pPr>
        <w:jc w:val="both"/>
        <w:rPr>
          <w:lang w:val="et-EE"/>
        </w:rPr>
      </w:pPr>
    </w:p>
    <w:p w14:paraId="4CED4B80" w14:textId="434CB99F" w:rsidR="0071686A" w:rsidRPr="00FA1890" w:rsidRDefault="00863DA4" w:rsidP="00E56E73">
      <w:pPr>
        <w:jc w:val="both"/>
        <w:rPr>
          <w:lang w:val="et-EE"/>
        </w:rPr>
      </w:pPr>
      <w:r w:rsidRPr="00FA1890">
        <w:rPr>
          <w:lang w:val="et-EE"/>
        </w:rPr>
        <w:t>Käskkirja</w:t>
      </w:r>
      <w:r w:rsidR="0071686A" w:rsidRPr="00FA1890">
        <w:rPr>
          <w:lang w:val="et-EE"/>
        </w:rPr>
        <w:t xml:space="preserve"> koostamisel on arvestatud järgmiste Euroopa Liidu õigusaktidega:</w:t>
      </w:r>
    </w:p>
    <w:p w14:paraId="7D735F82" w14:textId="03017577" w:rsidR="0071686A" w:rsidRPr="00FA1890" w:rsidRDefault="0071686A" w:rsidP="00E56E73">
      <w:pPr>
        <w:jc w:val="both"/>
        <w:rPr>
          <w:lang w:val="et-EE"/>
        </w:rPr>
      </w:pPr>
      <w:r w:rsidRPr="00FA1890">
        <w:rPr>
          <w:lang w:val="et-EE"/>
        </w:rPr>
        <w:t xml:space="preserve">1) Euroopa Parlamendi ja </w:t>
      </w:r>
      <w:r w:rsidR="0098254C" w:rsidRPr="00FA1890">
        <w:rPr>
          <w:lang w:val="et-EE"/>
        </w:rPr>
        <w:t>n</w:t>
      </w:r>
      <w:r w:rsidRPr="00FA1890">
        <w:rPr>
          <w:lang w:val="et-EE"/>
        </w:rPr>
        <w:t xml:space="preserve">õukogu määrus (EL) 2021/1060,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w:t>
      </w:r>
    </w:p>
    <w:p w14:paraId="0B9F2756" w14:textId="326AFC03" w:rsidR="0071686A" w:rsidRPr="00FA1890" w:rsidRDefault="0071686A" w:rsidP="00E56E73">
      <w:pPr>
        <w:jc w:val="both"/>
        <w:rPr>
          <w:noProof/>
          <w:lang w:val="et-EE"/>
        </w:rPr>
      </w:pPr>
      <w:r w:rsidRPr="00FA1890">
        <w:rPr>
          <w:lang w:val="et-EE"/>
        </w:rPr>
        <w:t xml:space="preserve">2) Euroopa Parlamendi ja </w:t>
      </w:r>
      <w:r w:rsidR="0098254C" w:rsidRPr="00FA1890">
        <w:rPr>
          <w:lang w:val="et-EE"/>
        </w:rPr>
        <w:t>n</w:t>
      </w:r>
      <w:r w:rsidRPr="00FA1890">
        <w:rPr>
          <w:lang w:val="et-EE"/>
        </w:rPr>
        <w:t>õukogu määrus (EL) 2021/1056, millega luuakse Õiglase Ülemineku Fond (Õ</w:t>
      </w:r>
      <w:r w:rsidR="00012C8A" w:rsidRPr="00FA1890">
        <w:rPr>
          <w:lang w:val="et-EE"/>
        </w:rPr>
        <w:t>ÜF).</w:t>
      </w:r>
    </w:p>
    <w:p w14:paraId="3DC59837" w14:textId="77777777" w:rsidR="003349CB" w:rsidRDefault="003349CB" w:rsidP="004034F3">
      <w:pPr>
        <w:tabs>
          <w:tab w:val="left" w:pos="284"/>
        </w:tabs>
        <w:jc w:val="both"/>
        <w:rPr>
          <w:lang w:val="et-EE"/>
        </w:rPr>
      </w:pPr>
    </w:p>
    <w:p w14:paraId="1F2DD2E3" w14:textId="1C861C17" w:rsidR="00527E1F" w:rsidRPr="00527E1F" w:rsidRDefault="00527E1F" w:rsidP="004034F3">
      <w:pPr>
        <w:tabs>
          <w:tab w:val="left" w:pos="284"/>
        </w:tabs>
        <w:jc w:val="both"/>
        <w:rPr>
          <w:b/>
          <w:bCs/>
          <w:lang w:val="et-EE"/>
        </w:rPr>
      </w:pPr>
      <w:r w:rsidRPr="00527E1F">
        <w:rPr>
          <w:b/>
          <w:bCs/>
          <w:lang w:val="et-EE"/>
        </w:rPr>
        <w:t>IV TAT mõjud</w:t>
      </w:r>
    </w:p>
    <w:p w14:paraId="18806A98" w14:textId="1186096F" w:rsidR="00E436A3" w:rsidRPr="00FA1890" w:rsidRDefault="00E436A3" w:rsidP="004034F3">
      <w:pPr>
        <w:rPr>
          <w:lang w:val="et-EE"/>
        </w:rPr>
      </w:pPr>
    </w:p>
    <w:p w14:paraId="6DF6B511" w14:textId="23FC8511" w:rsidR="00AD1210" w:rsidRPr="00FA1890" w:rsidRDefault="00E436A3" w:rsidP="004034F3">
      <w:pPr>
        <w:jc w:val="both"/>
        <w:rPr>
          <w:bCs/>
          <w:lang w:val="et-EE"/>
        </w:rPr>
      </w:pPr>
      <w:r w:rsidRPr="00FA1890">
        <w:rPr>
          <w:lang w:val="et-EE"/>
        </w:rPr>
        <w:t xml:space="preserve">Käesoleva TAT raames pakutakse tööturuteenuseid </w:t>
      </w:r>
      <w:r w:rsidR="00B5334E" w:rsidRPr="00FA1890">
        <w:rPr>
          <w:bCs/>
          <w:lang w:val="et-EE"/>
        </w:rPr>
        <w:t>Ida-Virumaa põlevkivisektori töötajatele</w:t>
      </w:r>
      <w:r w:rsidR="00CA7AAD" w:rsidRPr="00FA1890">
        <w:rPr>
          <w:bCs/>
          <w:lang w:val="et-EE"/>
        </w:rPr>
        <w:t xml:space="preserve"> ja sektorist lahkunud töötutele</w:t>
      </w:r>
      <w:r w:rsidR="00B5334E" w:rsidRPr="00FA1890">
        <w:rPr>
          <w:bCs/>
          <w:lang w:val="et-EE"/>
        </w:rPr>
        <w:t>, mi</w:t>
      </w:r>
      <w:r w:rsidRPr="00FA1890">
        <w:rPr>
          <w:bCs/>
          <w:lang w:val="et-EE"/>
        </w:rPr>
        <w:t xml:space="preserve">lle eesmärk on </w:t>
      </w:r>
      <w:r w:rsidR="00B5334E" w:rsidRPr="00FA1890">
        <w:rPr>
          <w:bCs/>
          <w:lang w:val="et-EE"/>
        </w:rPr>
        <w:t>suurenda</w:t>
      </w:r>
      <w:r w:rsidRPr="00FA1890">
        <w:rPr>
          <w:bCs/>
          <w:lang w:val="et-EE"/>
        </w:rPr>
        <w:t>da</w:t>
      </w:r>
      <w:r w:rsidR="00B5334E" w:rsidRPr="00FA1890">
        <w:rPr>
          <w:bCs/>
          <w:lang w:val="et-EE"/>
        </w:rPr>
        <w:t xml:space="preserve"> </w:t>
      </w:r>
      <w:r w:rsidR="00CA7AAD" w:rsidRPr="00FA1890">
        <w:rPr>
          <w:bCs/>
          <w:lang w:val="et-EE"/>
        </w:rPr>
        <w:t>nende</w:t>
      </w:r>
      <w:r w:rsidR="00B5334E" w:rsidRPr="00FA1890">
        <w:rPr>
          <w:bCs/>
          <w:lang w:val="et-EE"/>
        </w:rPr>
        <w:t xml:space="preserve"> </w:t>
      </w:r>
      <w:r w:rsidR="00CA7AAD" w:rsidRPr="00FA1890">
        <w:rPr>
          <w:bCs/>
          <w:lang w:val="et-EE"/>
        </w:rPr>
        <w:t xml:space="preserve">valmisolekut ja </w:t>
      </w:r>
      <w:r w:rsidR="00B5334E" w:rsidRPr="00FA1890">
        <w:rPr>
          <w:bCs/>
          <w:lang w:val="et-EE"/>
        </w:rPr>
        <w:t xml:space="preserve">võimalusi uut tööd leida. </w:t>
      </w:r>
    </w:p>
    <w:p w14:paraId="016972C8" w14:textId="77777777" w:rsidR="00CA2241" w:rsidRPr="00FA1890" w:rsidRDefault="00CA2241" w:rsidP="004034F3">
      <w:pPr>
        <w:jc w:val="both"/>
        <w:rPr>
          <w:rFonts w:eastAsia="Arial"/>
          <w:lang w:val="et-EE"/>
        </w:rPr>
      </w:pPr>
    </w:p>
    <w:p w14:paraId="2172FAD2" w14:textId="2666E994" w:rsidR="00CA2241" w:rsidRDefault="00CA2241" w:rsidP="004034F3">
      <w:pPr>
        <w:jc w:val="both"/>
        <w:rPr>
          <w:lang w:val="et-EE"/>
        </w:rPr>
      </w:pPr>
      <w:r w:rsidRPr="00FA1890">
        <w:rPr>
          <w:rFonts w:eastAsia="Arial"/>
          <w:lang w:val="et-EE"/>
        </w:rPr>
        <w:t xml:space="preserve">Elluviidavate tegevustega panustatakse </w:t>
      </w:r>
      <w:r w:rsidR="00B75A4E" w:rsidRPr="00FA1890">
        <w:rPr>
          <w:rFonts w:eastAsia="Arial"/>
          <w:lang w:val="et-EE"/>
        </w:rPr>
        <w:t xml:space="preserve">järgmistesse </w:t>
      </w:r>
      <w:r w:rsidRPr="00FA1890">
        <w:rPr>
          <w:rFonts w:eastAsia="Arial"/>
          <w:lang w:val="et-EE"/>
        </w:rPr>
        <w:t>hea õigusloome ja normitehnika eeskirjas nimetatud mõjuvaldkondadesse:</w:t>
      </w:r>
      <w:r w:rsidR="00B75A4E" w:rsidRPr="00FA1890">
        <w:rPr>
          <w:rFonts w:eastAsia="Arial"/>
          <w:lang w:val="et-EE"/>
        </w:rPr>
        <w:t xml:space="preserve"> </w:t>
      </w:r>
      <w:r w:rsidR="00197B15" w:rsidRPr="00FA1890">
        <w:rPr>
          <w:rFonts w:eastAsia="Arial"/>
          <w:lang w:val="et-EE"/>
        </w:rPr>
        <w:t>s</w:t>
      </w:r>
      <w:r w:rsidR="00B75A4E" w:rsidRPr="00FA1890">
        <w:rPr>
          <w:rFonts w:eastAsia="Arial"/>
          <w:lang w:val="et-EE"/>
        </w:rPr>
        <w:t xml:space="preserve">otsiaalne mõju, </w:t>
      </w:r>
      <w:r w:rsidR="00197B15" w:rsidRPr="00FA1890">
        <w:rPr>
          <w:rFonts w:eastAsia="Arial"/>
          <w:lang w:val="et-EE"/>
        </w:rPr>
        <w:t>r</w:t>
      </w:r>
      <w:r w:rsidR="00B75A4E" w:rsidRPr="00FA1890">
        <w:rPr>
          <w:rFonts w:eastAsia="Arial"/>
          <w:lang w:val="et-EE"/>
        </w:rPr>
        <w:t xml:space="preserve">egionaalareng, </w:t>
      </w:r>
      <w:r w:rsidR="00197B15" w:rsidRPr="00FA1890">
        <w:rPr>
          <w:rFonts w:eastAsia="Arial"/>
          <w:lang w:val="et-EE"/>
        </w:rPr>
        <w:t>e</w:t>
      </w:r>
      <w:r w:rsidR="00B75A4E" w:rsidRPr="00FA1890">
        <w:rPr>
          <w:rFonts w:eastAsia="Arial"/>
          <w:lang w:val="et-EE"/>
        </w:rPr>
        <w:t xml:space="preserve">lu- ja looduskeskkond, </w:t>
      </w:r>
      <w:r w:rsidR="00197B15" w:rsidRPr="00FA1890">
        <w:rPr>
          <w:rFonts w:eastAsia="Arial"/>
          <w:lang w:val="et-EE"/>
        </w:rPr>
        <w:t>s</w:t>
      </w:r>
      <w:r w:rsidR="00B75A4E" w:rsidRPr="00FA1890">
        <w:rPr>
          <w:lang w:val="et-EE"/>
        </w:rPr>
        <w:t>ooline võrdõiguslikkus</w:t>
      </w:r>
      <w:r w:rsidR="00197B15" w:rsidRPr="00FA1890">
        <w:rPr>
          <w:lang w:val="et-EE"/>
        </w:rPr>
        <w:t>.</w:t>
      </w:r>
    </w:p>
    <w:p w14:paraId="239C91BD" w14:textId="77777777" w:rsidR="00527E1F" w:rsidRDefault="00527E1F" w:rsidP="004034F3">
      <w:pPr>
        <w:jc w:val="both"/>
        <w:rPr>
          <w:lang w:val="et-EE"/>
        </w:rPr>
      </w:pPr>
    </w:p>
    <w:p w14:paraId="506722E1" w14:textId="25474CDC" w:rsidR="00527E1F" w:rsidRPr="00527E1F" w:rsidRDefault="00527E1F" w:rsidP="004034F3">
      <w:pPr>
        <w:jc w:val="both"/>
        <w:rPr>
          <w:rFonts w:eastAsia="Arial"/>
          <w:u w:val="single"/>
          <w:lang w:val="et-EE"/>
        </w:rPr>
      </w:pPr>
      <w:r w:rsidRPr="00527E1F">
        <w:rPr>
          <w:u w:val="single"/>
          <w:lang w:val="et-EE"/>
        </w:rPr>
        <w:t>Sotsiaalne mõju</w:t>
      </w:r>
    </w:p>
    <w:p w14:paraId="04FB56AC" w14:textId="3938BC3C" w:rsidR="00AD1210" w:rsidRPr="00FA1890" w:rsidRDefault="00AD1210" w:rsidP="004034F3">
      <w:pPr>
        <w:jc w:val="both"/>
        <w:rPr>
          <w:bCs/>
          <w:lang w:val="et-EE"/>
        </w:rPr>
      </w:pPr>
    </w:p>
    <w:p w14:paraId="21D2CA28" w14:textId="3B5C54BC" w:rsidR="00496AC5" w:rsidRPr="00FA1890" w:rsidRDefault="00AD1210" w:rsidP="004034F3">
      <w:pPr>
        <w:jc w:val="both"/>
        <w:rPr>
          <w:bCs/>
          <w:lang w:val="et-EE"/>
        </w:rPr>
      </w:pPr>
      <w:r w:rsidRPr="00FA1890">
        <w:rPr>
          <w:bCs/>
          <w:lang w:val="et-EE"/>
        </w:rPr>
        <w:t>Tööle asumise toetusega soodustatakse sihtrühma kiiret uude valdkonda tööle liikumist. S</w:t>
      </w:r>
      <w:r w:rsidR="00B5334E" w:rsidRPr="00FA1890">
        <w:rPr>
          <w:bCs/>
          <w:lang w:val="et-EE"/>
        </w:rPr>
        <w:t>ihtrühma kiirem tööle saamine ja tööl püsimine vähenda</w:t>
      </w:r>
      <w:r w:rsidR="00205343" w:rsidRPr="00FA1890">
        <w:rPr>
          <w:bCs/>
          <w:lang w:val="et-EE"/>
        </w:rPr>
        <w:t>b</w:t>
      </w:r>
      <w:r w:rsidR="00B5334E" w:rsidRPr="00FA1890" w:rsidDel="005C0020">
        <w:rPr>
          <w:bCs/>
          <w:lang w:val="et-EE"/>
        </w:rPr>
        <w:t xml:space="preserve"> </w:t>
      </w:r>
      <w:r w:rsidR="005C0020" w:rsidRPr="00FA1890">
        <w:rPr>
          <w:bCs/>
          <w:lang w:val="et-EE"/>
        </w:rPr>
        <w:t xml:space="preserve">sihtrühma </w:t>
      </w:r>
      <w:r w:rsidR="00B5334E" w:rsidRPr="00FA1890">
        <w:rPr>
          <w:bCs/>
          <w:lang w:val="et-EE"/>
        </w:rPr>
        <w:t>edasist töötu</w:t>
      </w:r>
      <w:r w:rsidR="00004C3E" w:rsidRPr="00FA1890">
        <w:rPr>
          <w:bCs/>
          <w:lang w:val="et-EE"/>
        </w:rPr>
        <w:t>shüvitiste</w:t>
      </w:r>
      <w:r w:rsidR="00B5334E" w:rsidRPr="00FA1890">
        <w:rPr>
          <w:bCs/>
          <w:lang w:val="et-EE"/>
        </w:rPr>
        <w:t xml:space="preserve">, toimetulekutoetuse ja muu abi vajadust. </w:t>
      </w:r>
      <w:r w:rsidR="00496AC5" w:rsidRPr="00FA1890">
        <w:rPr>
          <w:bCs/>
          <w:lang w:val="et-EE"/>
        </w:rPr>
        <w:t xml:space="preserve">Samuti annab põlevkivisektori endiste töötajate kiirelt uuele tööle motiveerimine piirkonna tööandjatele võimaluse värvata säilinud tööharjumuse ja tehnilise kvalifikatsiooniga tööjõudu, </w:t>
      </w:r>
      <w:r w:rsidR="00496AC5" w:rsidRPr="00FA1890">
        <w:rPr>
          <w:lang w:val="et-EE"/>
        </w:rPr>
        <w:t>toetades ühtlasi vajalikke struktuurseid muudatusi piirkonna majanduses ja tööturul.</w:t>
      </w:r>
    </w:p>
    <w:p w14:paraId="0AC1ABD0" w14:textId="41AA0EE8" w:rsidR="00AD1210" w:rsidRPr="00FA1890" w:rsidRDefault="00AD1210" w:rsidP="004034F3">
      <w:pPr>
        <w:jc w:val="both"/>
        <w:rPr>
          <w:bCs/>
          <w:lang w:val="et-EE"/>
        </w:rPr>
      </w:pPr>
    </w:p>
    <w:p w14:paraId="328E0666" w14:textId="641CBD6B" w:rsidR="00164FB5" w:rsidRPr="00FA1890" w:rsidRDefault="00017D8A" w:rsidP="004034F3">
      <w:pPr>
        <w:jc w:val="both"/>
        <w:rPr>
          <w:bCs/>
          <w:lang w:val="et-EE"/>
        </w:rPr>
      </w:pPr>
      <w:r w:rsidRPr="00FA1890">
        <w:rPr>
          <w:bCs/>
          <w:lang w:val="et-EE"/>
        </w:rPr>
        <w:t xml:space="preserve">Riigi tasandil on meetmetel positiivne mõju üldise tööpuuduse vähendamisele, tööjõupuuduse leevendamisele </w:t>
      </w:r>
      <w:r w:rsidR="0021724A" w:rsidRPr="00FA1890">
        <w:rPr>
          <w:bCs/>
          <w:lang w:val="et-EE"/>
        </w:rPr>
        <w:t>ja</w:t>
      </w:r>
      <w:r w:rsidRPr="00FA1890">
        <w:rPr>
          <w:bCs/>
          <w:lang w:val="et-EE"/>
        </w:rPr>
        <w:t xml:space="preserve"> hõive kasvule. </w:t>
      </w:r>
      <w:r w:rsidR="00164FB5" w:rsidRPr="00FA1890">
        <w:rPr>
          <w:bCs/>
          <w:lang w:val="et-EE"/>
        </w:rPr>
        <w:t xml:space="preserve">Tegevuste </w:t>
      </w:r>
      <w:r w:rsidRPr="00FA1890">
        <w:rPr>
          <w:bCs/>
          <w:lang w:val="et-EE"/>
        </w:rPr>
        <w:t xml:space="preserve">oodatav mõju isiku tasandil avaldub eelkõige osalejate paranenud tööturunäitajates, milleks on </w:t>
      </w:r>
      <w:r w:rsidR="00497CB9" w:rsidRPr="00FA1890">
        <w:rPr>
          <w:bCs/>
          <w:lang w:val="et-EE"/>
        </w:rPr>
        <w:t xml:space="preserve">paranenud oskused ja teadmised, </w:t>
      </w:r>
      <w:r w:rsidRPr="00FA1890">
        <w:rPr>
          <w:bCs/>
          <w:lang w:val="et-EE"/>
        </w:rPr>
        <w:t>suurem töötamise tõenäosus ja liikumine uuele ametikohale.</w:t>
      </w:r>
      <w:r w:rsidR="00164FB5" w:rsidRPr="00FA1890">
        <w:rPr>
          <w:bCs/>
          <w:lang w:val="et-EE"/>
        </w:rPr>
        <w:t xml:space="preserve"> Sellel on positiivne mõju </w:t>
      </w:r>
      <w:r w:rsidR="00ED0794" w:rsidRPr="00FA1890">
        <w:rPr>
          <w:bCs/>
          <w:lang w:val="et-EE"/>
        </w:rPr>
        <w:t>piirkonna põlevkiv</w:t>
      </w:r>
      <w:r w:rsidR="00D82C67" w:rsidRPr="00FA1890">
        <w:rPr>
          <w:bCs/>
          <w:lang w:val="et-EE"/>
        </w:rPr>
        <w:t xml:space="preserve">itööstuse vähenemisega seotud </w:t>
      </w:r>
      <w:r w:rsidR="00164FB5" w:rsidRPr="00FA1890">
        <w:rPr>
          <w:bCs/>
          <w:lang w:val="et-EE"/>
        </w:rPr>
        <w:t xml:space="preserve">üleminekust enim mõjutatud inimestele, ülemineku käigus tööta jäänud inimeste edasiste tööalaste valikute toetamisele, mis vähendab ülemineku </w:t>
      </w:r>
      <w:r w:rsidR="00166F69" w:rsidRPr="00FA1890">
        <w:rPr>
          <w:bCs/>
          <w:lang w:val="et-EE"/>
        </w:rPr>
        <w:t xml:space="preserve">võimalikku </w:t>
      </w:r>
      <w:r w:rsidR="00164FB5" w:rsidRPr="00FA1890">
        <w:rPr>
          <w:bCs/>
          <w:lang w:val="et-EE"/>
        </w:rPr>
        <w:t xml:space="preserve">pikaajalist negatiivset mõju inimeste </w:t>
      </w:r>
      <w:r w:rsidR="00AB3466" w:rsidRPr="00FA1890">
        <w:rPr>
          <w:bCs/>
          <w:lang w:val="et-EE"/>
        </w:rPr>
        <w:t xml:space="preserve">sotsiaalsele </w:t>
      </w:r>
      <w:r w:rsidR="00164FB5" w:rsidRPr="00FA1890">
        <w:rPr>
          <w:bCs/>
          <w:lang w:val="et-EE"/>
        </w:rPr>
        <w:t>ja majanduslikule toimetulekule. Samuti toetavad tegevused järgmiste struktuursete probleemide lahendamist: struktuurne tööpuudus, töötajate oskuste mittevastavus tööturu vajadustele</w:t>
      </w:r>
      <w:r w:rsidR="0021724A" w:rsidRPr="00FA1890">
        <w:rPr>
          <w:bCs/>
          <w:lang w:val="et-EE"/>
        </w:rPr>
        <w:t xml:space="preserve"> ja</w:t>
      </w:r>
      <w:r w:rsidR="00164FB5" w:rsidRPr="00FA1890">
        <w:rPr>
          <w:bCs/>
          <w:lang w:val="et-EE"/>
        </w:rPr>
        <w:t xml:space="preserve"> kvalifitseeritud tööjõu puudus.</w:t>
      </w:r>
    </w:p>
    <w:p w14:paraId="5DCF82B9" w14:textId="7CD6D5E2" w:rsidR="00CA2241" w:rsidRDefault="00CA2241" w:rsidP="004034F3">
      <w:pPr>
        <w:jc w:val="both"/>
        <w:rPr>
          <w:bCs/>
          <w:lang w:val="et-EE"/>
        </w:rPr>
      </w:pPr>
    </w:p>
    <w:p w14:paraId="020E8A80" w14:textId="6C3CB57C" w:rsidR="00527E1F" w:rsidRPr="00527E1F" w:rsidRDefault="00527E1F" w:rsidP="00E56E73">
      <w:pPr>
        <w:jc w:val="both"/>
        <w:rPr>
          <w:bCs/>
          <w:u w:val="single"/>
          <w:lang w:val="et-EE"/>
        </w:rPr>
      </w:pPr>
      <w:r w:rsidRPr="00527E1F">
        <w:rPr>
          <w:bCs/>
          <w:u w:val="single"/>
          <w:lang w:val="et-EE"/>
        </w:rPr>
        <w:t>Regionaalareng</w:t>
      </w:r>
    </w:p>
    <w:p w14:paraId="4E93D055" w14:textId="17AC1C3B" w:rsidR="00CA2241" w:rsidRPr="00FA1890" w:rsidRDefault="00CA2241" w:rsidP="00E56E73">
      <w:pPr>
        <w:jc w:val="both"/>
        <w:rPr>
          <w:bCs/>
          <w:lang w:val="et-EE"/>
        </w:rPr>
      </w:pPr>
    </w:p>
    <w:p w14:paraId="1336C125" w14:textId="78117D0E" w:rsidR="00B87101" w:rsidRDefault="00CA2241" w:rsidP="00E56E73">
      <w:pPr>
        <w:jc w:val="both"/>
        <w:rPr>
          <w:rFonts w:eastAsia="Arial"/>
          <w:lang w:val="et-EE"/>
        </w:rPr>
      </w:pPr>
      <w:r w:rsidRPr="00FA1890">
        <w:rPr>
          <w:rFonts w:eastAsia="Arial"/>
          <w:lang w:val="et-EE"/>
        </w:rPr>
        <w:lastRenderedPageBreak/>
        <w:t xml:space="preserve">TAT tegevused panustavad regionaalarengusse, kuna on suunatud otseselt Ida-Virumaa õiglase ülemineku toetamisele. </w:t>
      </w:r>
      <w:r w:rsidR="00E70F39" w:rsidRPr="00FA1890">
        <w:rPr>
          <w:rFonts w:eastAsia="Arial"/>
          <w:lang w:val="et-EE"/>
        </w:rPr>
        <w:t xml:space="preserve">Seejuures peab arvestama, et </w:t>
      </w:r>
      <w:r w:rsidR="00E70F39" w:rsidRPr="00FA1890">
        <w:rPr>
          <w:noProof/>
          <w:lang w:val="et-EE"/>
        </w:rPr>
        <w:t>piirkonda iseloomustab Eesti keskmisest kõrgem töötuse tase (</w:t>
      </w:r>
      <w:r w:rsidR="00B87101">
        <w:rPr>
          <w:noProof/>
          <w:lang w:val="et-EE"/>
        </w:rPr>
        <w:t xml:space="preserve">piirkonnas </w:t>
      </w:r>
      <w:r w:rsidR="00E70F39" w:rsidRPr="00FA1890">
        <w:rPr>
          <w:noProof/>
          <w:lang w:val="et-EE"/>
        </w:rPr>
        <w:t>1</w:t>
      </w:r>
      <w:r w:rsidR="00C27FD0" w:rsidRPr="00FA1890">
        <w:rPr>
          <w:noProof/>
          <w:lang w:val="et-EE"/>
        </w:rPr>
        <w:t>0</w:t>
      </w:r>
      <w:r w:rsidR="00E70F39" w:rsidRPr="00FA1890">
        <w:rPr>
          <w:noProof/>
          <w:lang w:val="et-EE"/>
        </w:rPr>
        <w:t>,</w:t>
      </w:r>
      <w:r w:rsidR="00C27FD0" w:rsidRPr="00FA1890">
        <w:rPr>
          <w:noProof/>
          <w:lang w:val="et-EE"/>
        </w:rPr>
        <w:t>7</w:t>
      </w:r>
      <w:r w:rsidR="00E70F39" w:rsidRPr="00FA1890">
        <w:rPr>
          <w:noProof/>
          <w:lang w:val="et-EE"/>
        </w:rPr>
        <w:t xml:space="preserve">% </w:t>
      </w:r>
      <w:r w:rsidR="00E70F39" w:rsidRPr="00FA1890">
        <w:rPr>
          <w:i/>
          <w:iCs/>
          <w:noProof/>
          <w:lang w:val="et-EE"/>
        </w:rPr>
        <w:t>vs</w:t>
      </w:r>
      <w:r w:rsidR="00E70F39" w:rsidRPr="00FA1890">
        <w:rPr>
          <w:noProof/>
          <w:lang w:val="et-EE"/>
        </w:rPr>
        <w:t xml:space="preserve">. </w:t>
      </w:r>
      <w:r w:rsidR="00B87101">
        <w:rPr>
          <w:noProof/>
          <w:lang w:val="et-EE"/>
        </w:rPr>
        <w:t xml:space="preserve">Eesti keskmine </w:t>
      </w:r>
      <w:r w:rsidR="00C27FD0" w:rsidRPr="00FA1890">
        <w:rPr>
          <w:noProof/>
          <w:lang w:val="et-EE"/>
        </w:rPr>
        <w:t>5,6</w:t>
      </w:r>
      <w:r w:rsidR="00E70F39" w:rsidRPr="00FA1890">
        <w:rPr>
          <w:noProof/>
          <w:lang w:val="et-EE"/>
        </w:rPr>
        <w:t>% 202</w:t>
      </w:r>
      <w:r w:rsidR="007C1B0E" w:rsidRPr="00FA1890">
        <w:rPr>
          <w:noProof/>
          <w:lang w:val="et-EE"/>
        </w:rPr>
        <w:t>2</w:t>
      </w:r>
      <w:r w:rsidR="00E70F39" w:rsidRPr="00FA1890">
        <w:rPr>
          <w:noProof/>
          <w:lang w:val="et-EE"/>
        </w:rPr>
        <w:t>. a)</w:t>
      </w:r>
      <w:r w:rsidR="00FE0906" w:rsidRPr="00FA1890">
        <w:rPr>
          <w:noProof/>
          <w:lang w:val="et-EE"/>
        </w:rPr>
        <w:t xml:space="preserve"> ning madalam </w:t>
      </w:r>
      <w:r w:rsidR="009A064C" w:rsidRPr="00FA1890">
        <w:rPr>
          <w:noProof/>
          <w:lang w:val="et-EE"/>
        </w:rPr>
        <w:t>tööjõus osalemise aktiivsus (</w:t>
      </w:r>
      <w:r w:rsidR="00F475E9" w:rsidRPr="00FA1890">
        <w:rPr>
          <w:noProof/>
          <w:lang w:val="et-EE"/>
        </w:rPr>
        <w:t>61,4% vs 73,3</w:t>
      </w:r>
      <w:r w:rsidR="00B87101">
        <w:rPr>
          <w:noProof/>
          <w:lang w:val="et-EE"/>
        </w:rPr>
        <w:t>%</w:t>
      </w:r>
      <w:r w:rsidR="00F475E9" w:rsidRPr="00FA1890">
        <w:rPr>
          <w:noProof/>
          <w:lang w:val="et-EE"/>
        </w:rPr>
        <w:t xml:space="preserve"> 2022. a).</w:t>
      </w:r>
      <w:r w:rsidR="00E70F39" w:rsidRPr="00FA1890">
        <w:rPr>
          <w:noProof/>
          <w:lang w:val="et-EE"/>
        </w:rPr>
        <w:t xml:space="preserve"> </w:t>
      </w:r>
      <w:r w:rsidRPr="00FA1890">
        <w:rPr>
          <w:rFonts w:eastAsia="Arial"/>
          <w:lang w:val="et-EE"/>
        </w:rPr>
        <w:t>Tegevused aitavad põlevkivi</w:t>
      </w:r>
      <w:r w:rsidR="0021724A" w:rsidRPr="00FA1890">
        <w:rPr>
          <w:rFonts w:eastAsia="Arial"/>
          <w:lang w:val="et-EE"/>
        </w:rPr>
        <w:t>sektori ulatusliku</w:t>
      </w:r>
      <w:r w:rsidRPr="00FA1890">
        <w:rPr>
          <w:rFonts w:eastAsia="Arial"/>
          <w:lang w:val="et-EE"/>
        </w:rPr>
        <w:t xml:space="preserve"> tööjõuvajaduse kahanemise korral sektori töötajatel uut tööd leida.</w:t>
      </w:r>
      <w:r w:rsidR="00326066" w:rsidRPr="00FA1890">
        <w:rPr>
          <w:rFonts w:eastAsia="Arial"/>
          <w:lang w:val="et-EE"/>
        </w:rPr>
        <w:t xml:space="preserve"> </w:t>
      </w:r>
      <w:r w:rsidRPr="00FA1890">
        <w:rPr>
          <w:rFonts w:eastAsia="Arial"/>
          <w:lang w:val="et-EE"/>
        </w:rPr>
        <w:t xml:space="preserve">Samuti aitavad oskuste arendamise </w:t>
      </w:r>
      <w:r w:rsidR="00D61E83" w:rsidRPr="00FA1890">
        <w:rPr>
          <w:rFonts w:eastAsia="Arial"/>
          <w:lang w:val="et-EE"/>
        </w:rPr>
        <w:t xml:space="preserve">toetamise </w:t>
      </w:r>
      <w:r w:rsidRPr="00FA1890">
        <w:rPr>
          <w:rFonts w:eastAsia="Arial"/>
          <w:lang w:val="et-EE"/>
        </w:rPr>
        <w:t xml:space="preserve">tegevused </w:t>
      </w:r>
      <w:r w:rsidR="00343502" w:rsidRPr="00FA1890">
        <w:rPr>
          <w:rFonts w:eastAsia="Arial"/>
          <w:lang w:val="et-EE"/>
        </w:rPr>
        <w:t>var</w:t>
      </w:r>
      <w:r w:rsidR="0021724A" w:rsidRPr="00FA1890">
        <w:rPr>
          <w:rFonts w:eastAsia="Arial"/>
          <w:lang w:val="et-EE"/>
        </w:rPr>
        <w:t>em</w:t>
      </w:r>
      <w:r w:rsidR="00343502" w:rsidRPr="00FA1890">
        <w:rPr>
          <w:rFonts w:eastAsia="Arial"/>
          <w:lang w:val="et-EE"/>
        </w:rPr>
        <w:t xml:space="preserve"> põlevkivisektoris töötanud inimeste oskusi ja teadmisi ajakohastada ning seeläbi </w:t>
      </w:r>
      <w:r w:rsidRPr="00FA1890">
        <w:rPr>
          <w:rFonts w:eastAsia="Arial"/>
          <w:lang w:val="et-EE"/>
        </w:rPr>
        <w:t xml:space="preserve">töökoha vahetust sujuvamalt ette valmistada </w:t>
      </w:r>
      <w:r w:rsidR="00B87101">
        <w:rPr>
          <w:rFonts w:eastAsia="Arial"/>
          <w:lang w:val="et-EE"/>
        </w:rPr>
        <w:t>vajadusel</w:t>
      </w:r>
      <w:r w:rsidRPr="00FA1890">
        <w:rPr>
          <w:rFonts w:eastAsia="Arial"/>
          <w:lang w:val="et-EE"/>
        </w:rPr>
        <w:t xml:space="preserve"> veel enne</w:t>
      </w:r>
      <w:r w:rsidR="0021724A" w:rsidRPr="00FA1890">
        <w:rPr>
          <w:rFonts w:eastAsia="Arial"/>
          <w:lang w:val="et-EE"/>
        </w:rPr>
        <w:t>,</w:t>
      </w:r>
      <w:r w:rsidRPr="00FA1890">
        <w:rPr>
          <w:rFonts w:eastAsia="Arial"/>
          <w:lang w:val="et-EE"/>
        </w:rPr>
        <w:t xml:space="preserve"> kui töötaja sektorist lahkub. </w:t>
      </w:r>
    </w:p>
    <w:p w14:paraId="0C077551" w14:textId="77777777" w:rsidR="00E56E73" w:rsidRDefault="00E56E73" w:rsidP="00E56E73">
      <w:pPr>
        <w:jc w:val="both"/>
        <w:rPr>
          <w:rFonts w:eastAsia="Arial"/>
          <w:lang w:val="et-EE"/>
        </w:rPr>
      </w:pPr>
    </w:p>
    <w:p w14:paraId="11EE0102" w14:textId="6563091A" w:rsidR="00B87101" w:rsidRDefault="00CA2241" w:rsidP="00E56E73">
      <w:pPr>
        <w:jc w:val="both"/>
        <w:rPr>
          <w:rFonts w:eastAsia="Arial"/>
          <w:lang w:val="et-EE"/>
        </w:rPr>
      </w:pPr>
      <w:r w:rsidRPr="00FA1890">
        <w:rPr>
          <w:rFonts w:eastAsia="Arial"/>
          <w:lang w:val="et-EE"/>
        </w:rPr>
        <w:t>Kui põlevkivisektori töötajad ei leia omale uut tööd ja jäävad pikalt töötuks</w:t>
      </w:r>
      <w:r w:rsidR="0021724A" w:rsidRPr="00FA1890">
        <w:rPr>
          <w:rFonts w:eastAsia="Arial"/>
          <w:lang w:val="et-EE"/>
        </w:rPr>
        <w:t>,</w:t>
      </w:r>
      <w:r w:rsidRPr="00FA1890">
        <w:rPr>
          <w:rFonts w:eastAsia="Arial"/>
          <w:lang w:val="et-EE"/>
        </w:rPr>
        <w:t xml:space="preserve"> on sel piirkonnale ulatuslik </w:t>
      </w:r>
      <w:r w:rsidR="00EE34C4" w:rsidRPr="00FA1890">
        <w:rPr>
          <w:rFonts w:eastAsia="Arial"/>
          <w:lang w:val="et-EE"/>
        </w:rPr>
        <w:t xml:space="preserve">majanduslik ja </w:t>
      </w:r>
      <w:r w:rsidRPr="00FA1890">
        <w:rPr>
          <w:rFonts w:eastAsia="Arial"/>
          <w:lang w:val="et-EE"/>
        </w:rPr>
        <w:t xml:space="preserve">sotsiaalne mõju, </w:t>
      </w:r>
      <w:r w:rsidR="00B87101">
        <w:rPr>
          <w:rFonts w:eastAsia="Arial"/>
          <w:lang w:val="et-EE"/>
        </w:rPr>
        <w:t>sest</w:t>
      </w:r>
      <w:r w:rsidR="00B87101" w:rsidRPr="00FA1890">
        <w:rPr>
          <w:rFonts w:eastAsia="Arial"/>
          <w:lang w:val="et-EE"/>
        </w:rPr>
        <w:t xml:space="preserve"> </w:t>
      </w:r>
      <w:r w:rsidRPr="00FA1890">
        <w:rPr>
          <w:rFonts w:eastAsia="Arial"/>
          <w:lang w:val="et-EE"/>
        </w:rPr>
        <w:t>põlevkivi</w:t>
      </w:r>
      <w:r w:rsidR="0021724A" w:rsidRPr="00FA1890">
        <w:rPr>
          <w:rFonts w:eastAsia="Arial"/>
          <w:lang w:val="et-EE"/>
        </w:rPr>
        <w:t>sektori</w:t>
      </w:r>
      <w:r w:rsidRPr="00FA1890">
        <w:rPr>
          <w:rFonts w:eastAsia="Arial"/>
          <w:lang w:val="et-EE"/>
        </w:rPr>
        <w:t xml:space="preserve"> töötajate leibkondades elab u 16 000 inimest, kellest 3500 on alaealised, kusjuures 34% leibkondadest on ainult üks palgatulu saaja</w:t>
      </w:r>
      <w:r w:rsidR="0021724A" w:rsidRPr="00FA1890">
        <w:rPr>
          <w:rFonts w:eastAsia="Arial"/>
          <w:lang w:val="et-EE"/>
        </w:rPr>
        <w:t>.</w:t>
      </w:r>
      <w:r w:rsidR="004C37DA" w:rsidRPr="00FA1890">
        <w:rPr>
          <w:rStyle w:val="Allmrkuseviide"/>
          <w:rFonts w:eastAsia="Arial"/>
          <w:lang w:val="et-EE"/>
        </w:rPr>
        <w:footnoteReference w:id="8"/>
      </w:r>
      <w:r w:rsidR="0021724A" w:rsidRPr="00FA1890">
        <w:rPr>
          <w:rFonts w:eastAsia="Arial"/>
          <w:lang w:val="et-EE"/>
        </w:rPr>
        <w:t>O</w:t>
      </w:r>
      <w:r w:rsidRPr="00FA1890">
        <w:rPr>
          <w:rFonts w:eastAsia="Arial"/>
          <w:lang w:val="et-EE"/>
        </w:rPr>
        <w:t xml:space="preserve">skuste arendamise </w:t>
      </w:r>
      <w:r w:rsidR="00D61E83" w:rsidRPr="00FA1890">
        <w:rPr>
          <w:rFonts w:eastAsia="Arial"/>
          <w:lang w:val="et-EE"/>
        </w:rPr>
        <w:t xml:space="preserve">toetamise </w:t>
      </w:r>
      <w:r w:rsidRPr="00FA1890">
        <w:rPr>
          <w:rFonts w:eastAsia="Arial"/>
          <w:lang w:val="et-EE"/>
        </w:rPr>
        <w:t xml:space="preserve">tegevused, mis sihitavad just piirkonna arengu seisukohast olulisi valdkondi, </w:t>
      </w:r>
      <w:r w:rsidR="0021724A" w:rsidRPr="00FA1890">
        <w:rPr>
          <w:rFonts w:eastAsia="Arial"/>
          <w:lang w:val="et-EE"/>
        </w:rPr>
        <w:t xml:space="preserve">aitavad </w:t>
      </w:r>
      <w:r w:rsidRPr="00FA1890">
        <w:rPr>
          <w:rFonts w:eastAsia="Arial"/>
          <w:lang w:val="et-EE"/>
        </w:rPr>
        <w:t>kaasa piirkonna majanduse arengule, valmistades ette tööandjatele vajalikku tööjõudu, mis on vajalik eeldus, et töökohti piirkonda loodaks. See omakorda aitab ennetada inimeste lahkumist ja piirkonna ääremaastumist.</w:t>
      </w:r>
      <w:r w:rsidR="00B954EB" w:rsidRPr="00FA1890">
        <w:rPr>
          <w:rFonts w:eastAsia="Arial"/>
          <w:lang w:val="et-EE"/>
        </w:rPr>
        <w:t xml:space="preserve"> Kavandatud sekkumise õnnestumine sõltub ka </w:t>
      </w:r>
      <w:r w:rsidR="00FE0906" w:rsidRPr="00FA1890">
        <w:rPr>
          <w:rFonts w:eastAsia="Arial"/>
          <w:lang w:val="et-EE"/>
        </w:rPr>
        <w:t xml:space="preserve">teistest ÕÜF meetmetest, eelkõige investeeringutest piirkonna ettevõtlusesse, et tekiks töökohti, kuhu </w:t>
      </w:r>
      <w:r w:rsidR="007B590D" w:rsidRPr="00FA1890">
        <w:rPr>
          <w:rFonts w:eastAsia="Arial"/>
          <w:lang w:val="et-EE"/>
        </w:rPr>
        <w:t xml:space="preserve">tööle asumise toetuse või omandatud uute oskustega </w:t>
      </w:r>
      <w:r w:rsidR="00FE0906" w:rsidRPr="00FA1890">
        <w:rPr>
          <w:rFonts w:eastAsia="Arial"/>
          <w:lang w:val="et-EE"/>
        </w:rPr>
        <w:t xml:space="preserve">rakenduda. </w:t>
      </w:r>
      <w:r w:rsidR="007B590D" w:rsidRPr="00FA1890">
        <w:rPr>
          <w:rFonts w:eastAsia="Arial"/>
          <w:lang w:val="et-EE"/>
        </w:rPr>
        <w:t>Samuti on roll teistel tööturuteenustel (</w:t>
      </w:r>
      <w:r w:rsidR="0069714B" w:rsidRPr="00FA1890">
        <w:rPr>
          <w:rFonts w:eastAsia="Arial"/>
          <w:lang w:val="et-EE"/>
        </w:rPr>
        <w:t xml:space="preserve">teavitamine, </w:t>
      </w:r>
      <w:r w:rsidR="004B7156" w:rsidRPr="00FA1890">
        <w:rPr>
          <w:rFonts w:eastAsia="Arial"/>
          <w:lang w:val="et-EE"/>
        </w:rPr>
        <w:t xml:space="preserve">karjääriteenused, erinevad nõustamised). </w:t>
      </w:r>
    </w:p>
    <w:p w14:paraId="6CFEE1C8" w14:textId="77777777" w:rsidR="00E56E73" w:rsidRDefault="00E56E73" w:rsidP="00E56E73">
      <w:pPr>
        <w:jc w:val="both"/>
        <w:rPr>
          <w:rFonts w:eastAsia="Arial"/>
          <w:lang w:val="et-EE"/>
        </w:rPr>
      </w:pPr>
    </w:p>
    <w:p w14:paraId="52155F37" w14:textId="383CC4CB" w:rsidR="004B7156" w:rsidRPr="00FA1890" w:rsidRDefault="00B87101" w:rsidP="00E56E73">
      <w:pPr>
        <w:jc w:val="both"/>
        <w:rPr>
          <w:rFonts w:eastAsia="Arial"/>
          <w:lang w:val="et-EE"/>
        </w:rPr>
      </w:pPr>
      <w:r>
        <w:rPr>
          <w:rFonts w:eastAsia="Arial"/>
          <w:lang w:val="et-EE"/>
        </w:rPr>
        <w:t>I</w:t>
      </w:r>
      <w:r w:rsidR="00125EB7" w:rsidRPr="00FA1890">
        <w:rPr>
          <w:rFonts w:eastAsia="Arial"/>
          <w:lang w:val="et-EE"/>
        </w:rPr>
        <w:t>nimese võimalikult laia töökohtade valiku huvides</w:t>
      </w:r>
      <w:r w:rsidR="005D73B5" w:rsidRPr="00FA1890">
        <w:rPr>
          <w:rFonts w:eastAsia="Arial"/>
          <w:lang w:val="et-EE"/>
        </w:rPr>
        <w:t xml:space="preserve"> </w:t>
      </w:r>
      <w:r w:rsidR="00125EB7" w:rsidRPr="00FA1890">
        <w:rPr>
          <w:rFonts w:eastAsia="Arial"/>
          <w:lang w:val="et-EE"/>
        </w:rPr>
        <w:t xml:space="preserve">ei ole </w:t>
      </w:r>
      <w:r>
        <w:rPr>
          <w:rFonts w:eastAsia="Arial"/>
          <w:lang w:val="et-EE"/>
        </w:rPr>
        <w:t xml:space="preserve">nõutud, et </w:t>
      </w:r>
      <w:r w:rsidR="00125EB7" w:rsidRPr="00FA1890">
        <w:rPr>
          <w:rFonts w:eastAsia="Arial"/>
          <w:lang w:val="et-EE"/>
        </w:rPr>
        <w:t xml:space="preserve"> toetuse</w:t>
      </w:r>
      <w:r>
        <w:rPr>
          <w:rFonts w:eastAsia="Arial"/>
          <w:lang w:val="et-EE"/>
        </w:rPr>
        <w:t xml:space="preserve"> saajal</w:t>
      </w:r>
      <w:r w:rsidR="00125EB7" w:rsidRPr="00FA1890">
        <w:rPr>
          <w:rFonts w:eastAsia="Arial"/>
          <w:lang w:val="et-EE"/>
        </w:rPr>
        <w:t xml:space="preserve"> </w:t>
      </w:r>
      <w:r>
        <w:rPr>
          <w:rFonts w:eastAsia="Arial"/>
          <w:lang w:val="et-EE"/>
        </w:rPr>
        <w:t xml:space="preserve">tuleb </w:t>
      </w:r>
      <w:r w:rsidR="00125EB7" w:rsidRPr="00FA1890">
        <w:rPr>
          <w:rFonts w:eastAsia="Arial"/>
          <w:lang w:val="et-EE"/>
        </w:rPr>
        <w:t>tööle</w:t>
      </w:r>
      <w:r>
        <w:rPr>
          <w:rFonts w:eastAsia="Arial"/>
          <w:lang w:val="et-EE"/>
        </w:rPr>
        <w:t xml:space="preserve"> </w:t>
      </w:r>
      <w:r w:rsidR="00125EB7" w:rsidRPr="00FA1890">
        <w:rPr>
          <w:rFonts w:eastAsia="Arial"/>
          <w:lang w:val="et-EE"/>
        </w:rPr>
        <w:t>asu</w:t>
      </w:r>
      <w:r>
        <w:rPr>
          <w:rFonts w:eastAsia="Arial"/>
          <w:lang w:val="et-EE"/>
        </w:rPr>
        <w:t>da</w:t>
      </w:r>
      <w:r w:rsidR="00125EB7" w:rsidRPr="00FA1890">
        <w:rPr>
          <w:rFonts w:eastAsia="Arial"/>
          <w:lang w:val="et-EE"/>
        </w:rPr>
        <w:t xml:space="preserve"> </w:t>
      </w:r>
      <w:r>
        <w:rPr>
          <w:rFonts w:eastAsia="Arial"/>
          <w:lang w:val="et-EE"/>
        </w:rPr>
        <w:t xml:space="preserve">just </w:t>
      </w:r>
      <w:r w:rsidR="00125EB7" w:rsidRPr="00FA1890">
        <w:rPr>
          <w:rFonts w:eastAsia="Arial"/>
          <w:lang w:val="et-EE"/>
        </w:rPr>
        <w:t xml:space="preserve">Ida-Virumaal. </w:t>
      </w:r>
      <w:r w:rsidR="009B7AAD" w:rsidRPr="00FA1890">
        <w:rPr>
          <w:rFonts w:eastAsia="Arial"/>
          <w:lang w:val="et-EE"/>
        </w:rPr>
        <w:t xml:space="preserve">Võimalikult lai töökohtade valik on oluline, </w:t>
      </w:r>
      <w:r>
        <w:rPr>
          <w:rFonts w:eastAsia="Arial"/>
          <w:lang w:val="et-EE"/>
        </w:rPr>
        <w:t>sest</w:t>
      </w:r>
      <w:r w:rsidRPr="00FA1890">
        <w:rPr>
          <w:rFonts w:eastAsia="Arial"/>
          <w:lang w:val="et-EE"/>
        </w:rPr>
        <w:t xml:space="preserve"> </w:t>
      </w:r>
      <w:r w:rsidR="009B7AAD" w:rsidRPr="00FA1890">
        <w:rPr>
          <w:rFonts w:eastAsia="Arial"/>
          <w:lang w:val="et-EE"/>
        </w:rPr>
        <w:t>toetuse saamise üheks tingimuseks on kiire tööle asumine</w:t>
      </w:r>
      <w:r w:rsidR="004918B9" w:rsidRPr="00FA1890">
        <w:rPr>
          <w:rFonts w:eastAsia="Arial"/>
          <w:lang w:val="et-EE"/>
        </w:rPr>
        <w:t>.</w:t>
      </w:r>
      <w:r w:rsidR="009B7AAD" w:rsidRPr="00FA1890">
        <w:rPr>
          <w:rFonts w:eastAsia="Arial"/>
          <w:lang w:val="et-EE"/>
        </w:rPr>
        <w:t xml:space="preserve"> </w:t>
      </w:r>
      <w:r w:rsidR="00A50410" w:rsidRPr="00FA1890">
        <w:rPr>
          <w:rFonts w:eastAsia="Arial"/>
          <w:lang w:val="et-EE"/>
        </w:rPr>
        <w:t>Kuna tööle asumise toetuse prognoositud sihtrühm ei ole suur (388 inimest)</w:t>
      </w:r>
      <w:r w:rsidR="003F60DD" w:rsidRPr="00FA1890">
        <w:rPr>
          <w:rFonts w:eastAsia="Arial"/>
          <w:lang w:val="et-EE"/>
        </w:rPr>
        <w:t xml:space="preserve"> ning </w:t>
      </w:r>
      <w:r w:rsidR="0069714B" w:rsidRPr="00FA1890">
        <w:rPr>
          <w:rFonts w:eastAsia="Arial"/>
          <w:lang w:val="et-EE"/>
        </w:rPr>
        <w:t xml:space="preserve">sihtrühma </w:t>
      </w:r>
      <w:r w:rsidR="003F60DD" w:rsidRPr="00FA1890">
        <w:rPr>
          <w:rFonts w:eastAsia="Arial"/>
          <w:lang w:val="et-EE"/>
        </w:rPr>
        <w:t>profiil (keskmine vanus</w:t>
      </w:r>
      <w:r w:rsidR="00E071BD">
        <w:rPr>
          <w:rFonts w:eastAsia="Arial"/>
          <w:lang w:val="et-EE"/>
        </w:rPr>
        <w:t xml:space="preserve"> 47 aastat</w:t>
      </w:r>
      <w:r w:rsidR="00E071BD">
        <w:rPr>
          <w:rStyle w:val="Allmrkuseviide"/>
          <w:rFonts w:eastAsia="Arial"/>
          <w:lang w:val="et-EE"/>
        </w:rPr>
        <w:footnoteReference w:id="9"/>
      </w:r>
      <w:r w:rsidR="003F60DD" w:rsidRPr="00FA1890">
        <w:rPr>
          <w:rFonts w:eastAsia="Arial"/>
          <w:lang w:val="et-EE"/>
        </w:rPr>
        <w:t xml:space="preserve">, </w:t>
      </w:r>
      <w:r w:rsidR="00395792">
        <w:rPr>
          <w:rFonts w:eastAsia="Arial"/>
          <w:lang w:val="et-EE"/>
        </w:rPr>
        <w:t>vähene eesti keele oskus</w:t>
      </w:r>
      <w:r w:rsidR="003F60DD" w:rsidRPr="00FA1890">
        <w:rPr>
          <w:rFonts w:eastAsia="Arial"/>
          <w:lang w:val="et-EE"/>
        </w:rPr>
        <w:t xml:space="preserve">, pereinimene) </w:t>
      </w:r>
      <w:r w:rsidR="0073393E" w:rsidRPr="00FA1890">
        <w:rPr>
          <w:rFonts w:eastAsia="Arial"/>
          <w:lang w:val="et-EE"/>
        </w:rPr>
        <w:t xml:space="preserve">viitab </w:t>
      </w:r>
      <w:r w:rsidR="000331F6">
        <w:rPr>
          <w:rFonts w:eastAsia="Arial"/>
          <w:lang w:val="et-EE"/>
        </w:rPr>
        <w:t xml:space="preserve">pigem </w:t>
      </w:r>
      <w:r w:rsidR="0073393E" w:rsidRPr="00FA1890">
        <w:rPr>
          <w:rFonts w:eastAsia="Arial"/>
          <w:lang w:val="et-EE"/>
        </w:rPr>
        <w:t>keskmisest madalamale mobiilsusele, ei ole</w:t>
      </w:r>
      <w:r w:rsidR="000331F6">
        <w:rPr>
          <w:rFonts w:eastAsia="Arial"/>
          <w:lang w:val="et-EE"/>
        </w:rPr>
        <w:t xml:space="preserve"> siiski</w:t>
      </w:r>
      <w:r w:rsidR="0073393E" w:rsidRPr="00FA1890">
        <w:rPr>
          <w:rFonts w:eastAsia="Arial"/>
          <w:lang w:val="et-EE"/>
        </w:rPr>
        <w:t xml:space="preserve"> põhjust eeldada, et </w:t>
      </w:r>
      <w:r w:rsidR="00C010AB" w:rsidRPr="00FA1890">
        <w:rPr>
          <w:rFonts w:eastAsia="Arial"/>
          <w:lang w:val="et-EE"/>
        </w:rPr>
        <w:t xml:space="preserve">tegevus soodustab </w:t>
      </w:r>
      <w:r w:rsidR="003413F6" w:rsidRPr="00FA1890">
        <w:rPr>
          <w:rFonts w:eastAsia="Arial"/>
          <w:lang w:val="et-EE"/>
        </w:rPr>
        <w:t>olulisel määral väljarännet. Maakonda jäämist toetavad ka teiste ÕÜF meetmete raames piirkonda loodavad uued töökohad,</w:t>
      </w:r>
      <w:r w:rsidR="00183B8C" w:rsidRPr="00FA1890">
        <w:rPr>
          <w:rFonts w:eastAsia="Arial"/>
          <w:lang w:val="et-EE"/>
        </w:rPr>
        <w:t xml:space="preserve"> </w:t>
      </w:r>
      <w:r w:rsidR="003413F6" w:rsidRPr="00FA1890">
        <w:rPr>
          <w:rFonts w:eastAsia="Arial"/>
          <w:lang w:val="et-EE"/>
        </w:rPr>
        <w:t xml:space="preserve">mis sobivad põlevkivisektori </w:t>
      </w:r>
      <w:r w:rsidR="0069714B" w:rsidRPr="00FA1890">
        <w:rPr>
          <w:rFonts w:eastAsia="Arial"/>
          <w:lang w:val="et-EE"/>
        </w:rPr>
        <w:t>tööstusliku taustaga.</w:t>
      </w:r>
      <w:r w:rsidR="004918B9" w:rsidRPr="00FA1890">
        <w:rPr>
          <w:rFonts w:eastAsia="Arial"/>
          <w:lang w:val="et-EE"/>
        </w:rPr>
        <w:t xml:space="preserve"> Samuti ei pruugi maakonnast väljaspool tööle asumine tähendada, et inimene lahkub maakonnast </w:t>
      </w:r>
      <w:r w:rsidR="00B64BC6" w:rsidRPr="00FA1890">
        <w:rPr>
          <w:rFonts w:eastAsia="Arial"/>
          <w:lang w:val="et-EE"/>
        </w:rPr>
        <w:t xml:space="preserve">täielikult. </w:t>
      </w:r>
      <w:r w:rsidR="00E33198" w:rsidRPr="00FA1890">
        <w:rPr>
          <w:rFonts w:eastAsia="Arial"/>
          <w:lang w:val="et-EE"/>
        </w:rPr>
        <w:t xml:space="preserve">Inimene võib endiselt jääda seotuks oma elukohaga, </w:t>
      </w:r>
      <w:r w:rsidR="00D1314A" w:rsidRPr="00FA1890">
        <w:rPr>
          <w:rFonts w:eastAsia="Arial"/>
          <w:lang w:val="et-EE"/>
        </w:rPr>
        <w:t xml:space="preserve">sel juhul on piirkonnale kasuks </w:t>
      </w:r>
      <w:r w:rsidR="00CF45B5" w:rsidRPr="00FA1890">
        <w:rPr>
          <w:rFonts w:eastAsia="Arial"/>
          <w:lang w:val="et-EE"/>
        </w:rPr>
        <w:t>sissetuleku siirded.</w:t>
      </w:r>
      <w:r w:rsidR="00524D84" w:rsidRPr="00FA1890">
        <w:rPr>
          <w:rFonts w:eastAsia="Arial"/>
          <w:lang w:val="et-EE"/>
        </w:rPr>
        <w:t xml:space="preserve"> </w:t>
      </w:r>
      <w:r w:rsidR="00B64BC6" w:rsidRPr="00FA1890">
        <w:rPr>
          <w:rFonts w:eastAsia="Arial"/>
          <w:lang w:val="et-EE"/>
        </w:rPr>
        <w:t xml:space="preserve">Lahkumine võib olla </w:t>
      </w:r>
      <w:r w:rsidR="00D1314A" w:rsidRPr="00FA1890">
        <w:rPr>
          <w:rFonts w:eastAsia="Arial"/>
          <w:lang w:val="et-EE"/>
        </w:rPr>
        <w:t xml:space="preserve">ka </w:t>
      </w:r>
      <w:r w:rsidR="00B64BC6" w:rsidRPr="00FA1890">
        <w:rPr>
          <w:rFonts w:eastAsia="Arial"/>
          <w:lang w:val="et-EE"/>
        </w:rPr>
        <w:t>lühiajaline</w:t>
      </w:r>
      <w:r w:rsidR="00524D84" w:rsidRPr="00FA1890">
        <w:rPr>
          <w:rFonts w:eastAsia="Arial"/>
          <w:lang w:val="et-EE"/>
        </w:rPr>
        <w:t>.</w:t>
      </w:r>
    </w:p>
    <w:p w14:paraId="498FFB00" w14:textId="339D1DE5" w:rsidR="00CA2241" w:rsidRPr="00FA1890" w:rsidRDefault="00CA2241" w:rsidP="00E56E73">
      <w:pPr>
        <w:jc w:val="both"/>
        <w:rPr>
          <w:rFonts w:eastAsia="Arial"/>
          <w:lang w:val="et-EE"/>
        </w:rPr>
      </w:pPr>
    </w:p>
    <w:p w14:paraId="225A73F6" w14:textId="77777777" w:rsidR="00CA2241" w:rsidRPr="00FA1890" w:rsidRDefault="00CA2241" w:rsidP="00E56E73">
      <w:pPr>
        <w:jc w:val="both"/>
        <w:rPr>
          <w:rFonts w:eastAsia="Arial"/>
          <w:u w:val="single"/>
          <w:lang w:val="et-EE"/>
        </w:rPr>
      </w:pPr>
      <w:r w:rsidRPr="00FA1890">
        <w:rPr>
          <w:rFonts w:eastAsia="Arial"/>
          <w:u w:val="single"/>
          <w:lang w:val="et-EE"/>
        </w:rPr>
        <w:t>Elu- ja looduskeskkond</w:t>
      </w:r>
    </w:p>
    <w:p w14:paraId="06B5E0CF" w14:textId="77777777" w:rsidR="00CA2241" w:rsidRPr="00FA1890" w:rsidRDefault="00CA2241" w:rsidP="004034F3">
      <w:pPr>
        <w:rPr>
          <w:rFonts w:eastAsia="Arial"/>
          <w:lang w:val="et-EE"/>
        </w:rPr>
      </w:pPr>
    </w:p>
    <w:p w14:paraId="0A7E2B43" w14:textId="746479B8" w:rsidR="00CA2241" w:rsidRPr="00FA1890" w:rsidRDefault="00CA2241" w:rsidP="004034F3">
      <w:pPr>
        <w:jc w:val="both"/>
        <w:rPr>
          <w:rFonts w:eastAsia="Arial"/>
          <w:lang w:val="et-EE"/>
        </w:rPr>
      </w:pPr>
      <w:r w:rsidRPr="00FA1890">
        <w:rPr>
          <w:rFonts w:eastAsia="Arial"/>
          <w:lang w:val="et-EE"/>
        </w:rPr>
        <w:t>TAT tegevuste elluviimisega kaasneb kaudne positiivne mõju keskkonnahoiu</w:t>
      </w:r>
      <w:r w:rsidR="000331F6">
        <w:rPr>
          <w:rFonts w:eastAsia="Arial"/>
          <w:lang w:val="et-EE"/>
        </w:rPr>
        <w:t>-</w:t>
      </w:r>
      <w:r w:rsidRPr="00FA1890">
        <w:rPr>
          <w:rFonts w:eastAsia="Arial"/>
          <w:lang w:val="et-EE"/>
        </w:rPr>
        <w:t xml:space="preserve"> ja kliimaeesmärgile. Kaudne mõju väljendub selles, et toetatakse suure keskkonna- ja kliimamõjuga põlevkivitööstuse töötajate liikumist muude</w:t>
      </w:r>
      <w:r w:rsidR="0021724A" w:rsidRPr="00FA1890">
        <w:rPr>
          <w:rFonts w:eastAsia="Arial"/>
          <w:lang w:val="et-EE"/>
        </w:rPr>
        <w:t>le,</w:t>
      </w:r>
      <w:r w:rsidRPr="00FA1890">
        <w:rPr>
          <w:rFonts w:eastAsia="Arial"/>
          <w:lang w:val="et-EE"/>
        </w:rPr>
        <w:t xml:space="preserve"> suure tõenäosusega väiksema kliimamõjuga töökohtadele, hõlbustades piirkonna üleminekut kliimasõbralikumale majandusele. Perioodi 2021–2027 Euroopa Liidu ühtekuuluvuspoliitika fondide rakenduskava DNSH (ing</w:t>
      </w:r>
      <w:r w:rsidR="0098254C" w:rsidRPr="00FA1890">
        <w:rPr>
          <w:rFonts w:eastAsia="Arial"/>
          <w:lang w:val="et-EE"/>
        </w:rPr>
        <w:t>l</w:t>
      </w:r>
      <w:r w:rsidRPr="00FA1890">
        <w:rPr>
          <w:rFonts w:eastAsia="Arial"/>
          <w:lang w:val="et-EE"/>
        </w:rPr>
        <w:t xml:space="preserve"> </w:t>
      </w:r>
      <w:r w:rsidRPr="00FA1890">
        <w:rPr>
          <w:rFonts w:eastAsia="Arial"/>
          <w:i/>
          <w:iCs/>
          <w:lang w:val="et-EE"/>
        </w:rPr>
        <w:t>do no significant harm</w:t>
      </w:r>
      <w:r w:rsidRPr="00FA1890">
        <w:rPr>
          <w:rFonts w:eastAsia="Arial"/>
          <w:lang w:val="et-EE"/>
        </w:rPr>
        <w:t xml:space="preserve"> ehk ei kahjusta oluliselt) analüüs leidis, et õiglase ülemineku protsess toetab Ida-Virumaa maakonna üleminekuprotsessi üldlevinud põlevkivi kasutuselt </w:t>
      </w:r>
      <w:r w:rsidR="007B167B" w:rsidRPr="00FA1890">
        <w:rPr>
          <w:rFonts w:eastAsia="Arial"/>
          <w:lang w:val="et-EE"/>
        </w:rPr>
        <w:t>kliimaneutraalsele majandusele</w:t>
      </w:r>
      <w:r w:rsidRPr="00FA1890">
        <w:rPr>
          <w:rFonts w:eastAsia="Arial"/>
          <w:lang w:val="et-EE"/>
        </w:rPr>
        <w:t xml:space="preserve"> ning leevendab üleminekust tulenevaid sotsiaalseid, tööalaseid, majanduslikke ja keskkonnaga seonduvad mõjusid. DNSH analüüs järeldas, et </w:t>
      </w:r>
      <w:r w:rsidR="0021724A" w:rsidRPr="00FA1890">
        <w:rPr>
          <w:rFonts w:eastAsia="Arial"/>
          <w:lang w:val="et-EE"/>
        </w:rPr>
        <w:t>rakendus</w:t>
      </w:r>
      <w:r w:rsidRPr="00FA1890">
        <w:rPr>
          <w:rFonts w:eastAsia="Arial"/>
          <w:lang w:val="et-EE"/>
        </w:rPr>
        <w:t xml:space="preserve">kavaga ettenähtud sekkumistel hinnanguliselt olulist kahjulikku mõju DNSH printsiibi alusel ei ole. </w:t>
      </w:r>
      <w:r w:rsidR="007F704E" w:rsidRPr="00FA1890">
        <w:rPr>
          <w:rFonts w:eastAsia="Arial"/>
          <w:lang w:val="et-EE"/>
        </w:rPr>
        <w:t>Selleks, e</w:t>
      </w:r>
      <w:r w:rsidRPr="00FA1890">
        <w:rPr>
          <w:rFonts w:eastAsia="Arial"/>
          <w:lang w:val="et-EE"/>
        </w:rPr>
        <w:t>t rahastatavad tegevused ei suurendaks negatiivset keskkonnamõju ja väärtustaks osapooli, kes tegelevad teadlikult säästliku keskkonnakasutusega</w:t>
      </w:r>
      <w:r w:rsidR="007F704E" w:rsidRPr="00FA1890">
        <w:rPr>
          <w:rFonts w:eastAsia="Arial"/>
          <w:lang w:val="et-EE"/>
        </w:rPr>
        <w:t>,</w:t>
      </w:r>
      <w:r w:rsidRPr="00FA1890" w:rsidDel="007F704E">
        <w:rPr>
          <w:rFonts w:eastAsia="Arial"/>
          <w:lang w:val="et-EE"/>
        </w:rPr>
        <w:t xml:space="preserve"> </w:t>
      </w:r>
      <w:r w:rsidR="007F704E" w:rsidRPr="00FA1890">
        <w:rPr>
          <w:rFonts w:eastAsia="Arial"/>
          <w:lang w:val="et-EE"/>
        </w:rPr>
        <w:t>lähtutakse võimaluse</w:t>
      </w:r>
      <w:r w:rsidR="0098254C" w:rsidRPr="00FA1890">
        <w:rPr>
          <w:rFonts w:eastAsia="Arial"/>
          <w:lang w:val="et-EE"/>
        </w:rPr>
        <w:t xml:space="preserve"> korra</w:t>
      </w:r>
      <w:r w:rsidR="007F704E" w:rsidRPr="00FA1890">
        <w:rPr>
          <w:rFonts w:eastAsia="Arial"/>
          <w:lang w:val="et-EE"/>
        </w:rPr>
        <w:t xml:space="preserve">l </w:t>
      </w:r>
      <w:r w:rsidRPr="00FA1890">
        <w:rPr>
          <w:rFonts w:eastAsia="Arial"/>
          <w:lang w:val="et-EE"/>
        </w:rPr>
        <w:t xml:space="preserve">TAT raames teenuste </w:t>
      </w:r>
      <w:r w:rsidR="0098254C" w:rsidRPr="00FA1890">
        <w:rPr>
          <w:rFonts w:eastAsia="Arial"/>
          <w:lang w:val="et-EE"/>
        </w:rPr>
        <w:t>ja</w:t>
      </w:r>
      <w:r w:rsidRPr="00FA1890">
        <w:rPr>
          <w:rFonts w:eastAsia="Arial"/>
          <w:lang w:val="et-EE"/>
        </w:rPr>
        <w:t xml:space="preserve"> toodete hankimisel keskkonnahoidlike </w:t>
      </w:r>
      <w:r w:rsidR="0021764C" w:rsidRPr="00FA1890">
        <w:rPr>
          <w:rFonts w:eastAsia="Arial"/>
          <w:lang w:val="et-EE"/>
        </w:rPr>
        <w:t>riigi</w:t>
      </w:r>
      <w:r w:rsidRPr="00FA1890">
        <w:rPr>
          <w:rFonts w:eastAsia="Arial"/>
          <w:lang w:val="et-EE"/>
        </w:rPr>
        <w:t>hangete põhimõtetest</w:t>
      </w:r>
      <w:r w:rsidR="007F704E" w:rsidRPr="00FA1890">
        <w:rPr>
          <w:rFonts w:eastAsia="Arial"/>
          <w:lang w:val="et-EE"/>
        </w:rPr>
        <w:t>.</w:t>
      </w:r>
    </w:p>
    <w:p w14:paraId="1BD53BC1" w14:textId="77777777" w:rsidR="00CA2241" w:rsidRPr="00FA1890" w:rsidRDefault="00CA2241" w:rsidP="004034F3">
      <w:pPr>
        <w:rPr>
          <w:u w:val="single"/>
          <w:lang w:val="et-EE"/>
        </w:rPr>
      </w:pPr>
    </w:p>
    <w:p w14:paraId="254E5673" w14:textId="34A0E746" w:rsidR="00CA2241" w:rsidRPr="00FA1890" w:rsidRDefault="00CA2241" w:rsidP="004034F3">
      <w:pPr>
        <w:rPr>
          <w:rFonts w:eastAsia="Arial"/>
          <w:lang w:val="et-EE"/>
        </w:rPr>
      </w:pPr>
      <w:r w:rsidRPr="00FA1890">
        <w:rPr>
          <w:u w:val="single"/>
          <w:lang w:val="et-EE"/>
        </w:rPr>
        <w:t>Sooline võrdõiguslikkus</w:t>
      </w:r>
    </w:p>
    <w:p w14:paraId="3792F0F6" w14:textId="77777777" w:rsidR="00CA2241" w:rsidRPr="00FA1890" w:rsidRDefault="00CA2241" w:rsidP="004034F3">
      <w:pPr>
        <w:rPr>
          <w:rFonts w:eastAsia="Arial"/>
          <w:lang w:val="et-EE"/>
        </w:rPr>
      </w:pPr>
    </w:p>
    <w:p w14:paraId="49573A97" w14:textId="494E1DD6" w:rsidR="00CA2241" w:rsidRPr="00FA1890" w:rsidRDefault="00CA2241" w:rsidP="004034F3">
      <w:pPr>
        <w:jc w:val="both"/>
        <w:rPr>
          <w:rFonts w:eastAsia="Arial"/>
          <w:lang w:val="et-EE"/>
        </w:rPr>
      </w:pPr>
      <w:r w:rsidRPr="00FA1890">
        <w:rPr>
          <w:rFonts w:eastAsia="Arial"/>
          <w:lang w:val="et-EE"/>
        </w:rPr>
        <w:t>TAT raames pakutavate tegevus</w:t>
      </w:r>
      <w:r w:rsidR="00A43555" w:rsidRPr="00FA1890">
        <w:rPr>
          <w:rFonts w:eastAsia="Arial"/>
          <w:lang w:val="et-EE"/>
        </w:rPr>
        <w:t>te puhul</w:t>
      </w:r>
      <w:r w:rsidRPr="00FA1890">
        <w:rPr>
          <w:rFonts w:eastAsia="Arial"/>
          <w:lang w:val="et-EE"/>
        </w:rPr>
        <w:t xml:space="preserve"> välditakse </w:t>
      </w:r>
      <w:r w:rsidR="00A43555" w:rsidRPr="00FA1890">
        <w:rPr>
          <w:rFonts w:eastAsia="Arial"/>
          <w:lang w:val="et-EE"/>
        </w:rPr>
        <w:t xml:space="preserve">ametitele ja tööturule </w:t>
      </w:r>
      <w:r w:rsidRPr="00FA1890">
        <w:rPr>
          <w:rFonts w:eastAsia="Arial"/>
          <w:lang w:val="et-EE"/>
        </w:rPr>
        <w:t>soostereotüüpset lähenemis</w:t>
      </w:r>
      <w:r w:rsidR="00A43555" w:rsidRPr="00FA1890">
        <w:rPr>
          <w:rFonts w:eastAsia="Arial"/>
          <w:lang w:val="et-EE"/>
        </w:rPr>
        <w:t>viisi.</w:t>
      </w:r>
    </w:p>
    <w:p w14:paraId="51432646" w14:textId="77777777" w:rsidR="00A43555" w:rsidRPr="00FA1890" w:rsidRDefault="00A43555" w:rsidP="004034F3">
      <w:pPr>
        <w:jc w:val="both"/>
        <w:rPr>
          <w:rFonts w:eastAsia="Arial"/>
          <w:lang w:val="et-EE"/>
        </w:rPr>
      </w:pPr>
    </w:p>
    <w:p w14:paraId="326F9144" w14:textId="6786C6E3" w:rsidR="00CA2241" w:rsidRPr="00FA1890" w:rsidRDefault="00CA2241" w:rsidP="004034F3">
      <w:pPr>
        <w:jc w:val="both"/>
        <w:rPr>
          <w:rFonts w:eastAsia="Arial"/>
          <w:lang w:val="et-EE"/>
        </w:rPr>
      </w:pPr>
      <w:r w:rsidRPr="00FA1890">
        <w:rPr>
          <w:rFonts w:eastAsia="Arial"/>
          <w:lang w:val="et-EE"/>
        </w:rPr>
        <w:t>Tegevuste kavandamisel ja elluviimisel võetakse arvesse meeste ja naiste erinevat olukorda, vajadusi ja huve. Tegevustega seotud teavitustegevustes ja nõustamisel välditakse eelarvamusi ja stereotüüpe kinnistavaid hoiakuid naiste ja meeste ning vähemusrühmade suhtes. Andmeid meetme tegevustes osalenute kohta kogutakse soo ja vanuse järgi. Põlevkivi</w:t>
      </w:r>
      <w:r w:rsidR="0021724A" w:rsidRPr="00FA1890">
        <w:rPr>
          <w:rFonts w:eastAsia="Arial"/>
          <w:lang w:val="et-EE"/>
        </w:rPr>
        <w:t>sektoris</w:t>
      </w:r>
      <w:r w:rsidRPr="00FA1890">
        <w:rPr>
          <w:rFonts w:eastAsia="Arial"/>
          <w:lang w:val="et-EE"/>
        </w:rPr>
        <w:t xml:space="preserve"> on erakordselt </w:t>
      </w:r>
      <w:r w:rsidR="0021724A" w:rsidRPr="00FA1890">
        <w:rPr>
          <w:rFonts w:eastAsia="Arial"/>
          <w:lang w:val="et-EE"/>
        </w:rPr>
        <w:t>väike</w:t>
      </w:r>
      <w:r w:rsidRPr="00FA1890">
        <w:rPr>
          <w:rFonts w:eastAsia="Arial"/>
          <w:lang w:val="et-EE"/>
        </w:rPr>
        <w:t xml:space="preserve"> naiste osakaal (20%), mistõttu on tegevuste</w:t>
      </w:r>
      <w:r w:rsidR="0021724A" w:rsidRPr="00FA1890">
        <w:rPr>
          <w:rFonts w:eastAsia="Arial"/>
          <w:lang w:val="et-EE"/>
        </w:rPr>
        <w:t>, sealhulgas</w:t>
      </w:r>
      <w:r w:rsidRPr="00FA1890">
        <w:rPr>
          <w:rFonts w:eastAsia="Arial"/>
          <w:lang w:val="et-EE"/>
        </w:rPr>
        <w:t xml:space="preserve"> oskuste arendamise toetamise tegevuste sihtrühmaks suuresti mehed, kelle elukestvas õppes </w:t>
      </w:r>
      <w:r w:rsidR="00197B15" w:rsidRPr="00FA1890">
        <w:rPr>
          <w:rFonts w:eastAsia="Arial"/>
          <w:lang w:val="et-EE"/>
        </w:rPr>
        <w:t xml:space="preserve">osalemise </w:t>
      </w:r>
      <w:r w:rsidRPr="00FA1890">
        <w:rPr>
          <w:rFonts w:eastAsia="Arial"/>
          <w:lang w:val="et-EE"/>
        </w:rPr>
        <w:t>ja tööturuteenuste</w:t>
      </w:r>
      <w:r w:rsidR="00197B15" w:rsidRPr="00FA1890">
        <w:rPr>
          <w:rFonts w:eastAsia="Arial"/>
          <w:lang w:val="et-EE"/>
        </w:rPr>
        <w:t xml:space="preserve"> kasutamise</w:t>
      </w:r>
      <w:r w:rsidRPr="00FA1890">
        <w:rPr>
          <w:rFonts w:eastAsia="Arial"/>
          <w:lang w:val="et-EE"/>
        </w:rPr>
        <w:t xml:space="preserve"> määr on üldiselt madalam kui naistel</w:t>
      </w:r>
      <w:r w:rsidR="00706271" w:rsidRPr="00FA1890">
        <w:rPr>
          <w:rFonts w:eastAsia="Arial"/>
          <w:lang w:val="et-EE"/>
        </w:rPr>
        <w:t>.</w:t>
      </w:r>
      <w:r w:rsidR="00DD65F9" w:rsidRPr="00FA1890">
        <w:rPr>
          <w:rFonts w:eastAsia="Arial"/>
          <w:lang w:val="et-EE"/>
        </w:rPr>
        <w:t xml:space="preserve"> 2022.</w:t>
      </w:r>
      <w:r w:rsidR="00610EF0" w:rsidRPr="00FA1890">
        <w:rPr>
          <w:rFonts w:eastAsia="Arial"/>
          <w:lang w:val="et-EE"/>
        </w:rPr>
        <w:t> aastal</w:t>
      </w:r>
      <w:r w:rsidR="00DD65F9" w:rsidRPr="00FA1890">
        <w:rPr>
          <w:rFonts w:eastAsia="Arial"/>
          <w:lang w:val="et-EE"/>
        </w:rPr>
        <w:t xml:space="preserve"> osales</w:t>
      </w:r>
      <w:r w:rsidR="003D6E98" w:rsidRPr="00FA1890">
        <w:rPr>
          <w:rFonts w:eastAsia="Arial"/>
          <w:lang w:val="et-EE"/>
        </w:rPr>
        <w:t xml:space="preserve"> </w:t>
      </w:r>
      <w:r w:rsidR="00197B15" w:rsidRPr="00FA1890">
        <w:rPr>
          <w:rFonts w:eastAsia="Arial"/>
          <w:lang w:val="et-EE"/>
        </w:rPr>
        <w:t xml:space="preserve">elukestvas õppes </w:t>
      </w:r>
      <w:r w:rsidR="00610EF0" w:rsidRPr="00FA1890">
        <w:rPr>
          <w:rFonts w:eastAsia="Arial"/>
          <w:lang w:val="et-EE"/>
        </w:rPr>
        <w:t>16</w:t>
      </w:r>
      <w:r w:rsidR="00610EF0" w:rsidRPr="00FA1890">
        <w:rPr>
          <w:noProof/>
          <w:lang w:val="et-EE"/>
        </w:rPr>
        <w:t>–</w:t>
      </w:r>
      <w:r w:rsidR="003D6E98" w:rsidRPr="00FA1890">
        <w:rPr>
          <w:rFonts w:eastAsia="Arial"/>
          <w:lang w:val="et-EE"/>
        </w:rPr>
        <w:t>64-aastastest</w:t>
      </w:r>
      <w:r w:rsidR="00DD65F9" w:rsidRPr="00FA1890">
        <w:rPr>
          <w:rFonts w:eastAsia="Arial"/>
          <w:lang w:val="et-EE"/>
        </w:rPr>
        <w:t xml:space="preserve"> Ida-Virumaa meestest </w:t>
      </w:r>
      <w:r w:rsidR="00362E50" w:rsidRPr="00FA1890">
        <w:rPr>
          <w:rFonts w:eastAsia="Arial"/>
          <w:lang w:val="et-EE"/>
        </w:rPr>
        <w:t xml:space="preserve">21,9% </w:t>
      </w:r>
      <w:r w:rsidR="00197B15" w:rsidRPr="00FA1890">
        <w:rPr>
          <w:rFonts w:eastAsia="Arial"/>
          <w:lang w:val="et-EE"/>
        </w:rPr>
        <w:t>ja</w:t>
      </w:r>
      <w:r w:rsidR="00362E50" w:rsidRPr="00FA1890">
        <w:rPr>
          <w:rFonts w:eastAsia="Arial"/>
          <w:lang w:val="et-EE"/>
        </w:rPr>
        <w:t xml:space="preserve"> naistest </w:t>
      </w:r>
      <w:r w:rsidR="00D048B3" w:rsidRPr="00FA1890">
        <w:rPr>
          <w:rFonts w:eastAsia="Arial"/>
          <w:lang w:val="et-EE"/>
        </w:rPr>
        <w:t>27,3%</w:t>
      </w:r>
      <w:r w:rsidR="00197B15" w:rsidRPr="00FA1890">
        <w:rPr>
          <w:rFonts w:eastAsia="Arial"/>
          <w:lang w:val="et-EE"/>
        </w:rPr>
        <w:t>,</w:t>
      </w:r>
      <w:r w:rsidR="00EE5CB9" w:rsidRPr="00FA1890">
        <w:rPr>
          <w:rFonts w:eastAsia="Arial"/>
          <w:lang w:val="et-EE"/>
        </w:rPr>
        <w:t xml:space="preserve"> Eestis kokku aga vastavalt 23,6% meestest ja 32,4% naistest</w:t>
      </w:r>
      <w:r w:rsidR="00CA3918" w:rsidRPr="00FA1890">
        <w:rPr>
          <w:rFonts w:eastAsia="Arial"/>
          <w:lang w:val="et-EE"/>
        </w:rPr>
        <w:t xml:space="preserve"> (Statistikaamet, 2023)</w:t>
      </w:r>
      <w:r w:rsidR="00EE5CB9" w:rsidRPr="00FA1890">
        <w:rPr>
          <w:rFonts w:eastAsia="Arial"/>
          <w:lang w:val="et-EE"/>
        </w:rPr>
        <w:t>.</w:t>
      </w:r>
    </w:p>
    <w:p w14:paraId="7D24B272" w14:textId="77777777" w:rsidR="00CA2241" w:rsidRPr="00FA1890" w:rsidRDefault="00CA2241" w:rsidP="004034F3">
      <w:pPr>
        <w:jc w:val="both"/>
        <w:rPr>
          <w:rFonts w:eastAsia="Arial"/>
          <w:lang w:val="et-EE"/>
        </w:rPr>
      </w:pPr>
    </w:p>
    <w:p w14:paraId="03DEA9F7" w14:textId="63EEE6B2" w:rsidR="00CA2241" w:rsidRPr="00FA1890" w:rsidRDefault="00CA2241" w:rsidP="004034F3">
      <w:pPr>
        <w:jc w:val="both"/>
        <w:rPr>
          <w:rFonts w:eastAsia="Arial"/>
          <w:lang w:val="et-EE"/>
        </w:rPr>
      </w:pPr>
      <w:r w:rsidRPr="00FA1890">
        <w:rPr>
          <w:rFonts w:eastAsia="Arial"/>
          <w:lang w:val="et-EE"/>
        </w:rPr>
        <w:t>TAT ettevalmistamisel ja rakendamisel tagatakse, et inimese ea tõttu ei diskrimineerita ühtegi TAT sihtrühma liiget. Teenuste osutamisel lähtutakse inimeste vanuselistest eripäradest ja tagatakse sellest tulenevalt personaalne lähenemine. Põlevkivi</w:t>
      </w:r>
      <w:r w:rsidR="0021724A" w:rsidRPr="00FA1890">
        <w:rPr>
          <w:rFonts w:eastAsia="Arial"/>
          <w:lang w:val="et-EE"/>
        </w:rPr>
        <w:t>sektori</w:t>
      </w:r>
      <w:r w:rsidRPr="00FA1890">
        <w:rPr>
          <w:rFonts w:eastAsia="Arial"/>
          <w:lang w:val="et-EE"/>
        </w:rPr>
        <w:t xml:space="preserve"> töötajate keskmise vanus on 47 aastat, sihtrühmas on enam vanemaealisi.</w:t>
      </w:r>
      <w:r w:rsidR="004C37DA" w:rsidRPr="00FA1890">
        <w:rPr>
          <w:rStyle w:val="Allmrkuseviide"/>
          <w:rFonts w:eastAsia="Arial"/>
          <w:lang w:val="et-EE"/>
        </w:rPr>
        <w:footnoteReference w:id="10"/>
      </w:r>
      <w:r w:rsidRPr="00FA1890">
        <w:rPr>
          <w:rFonts w:eastAsia="Arial"/>
          <w:lang w:val="et-EE"/>
        </w:rPr>
        <w:t xml:space="preserve"> Teenuste osutamisel arvestatakse, et sihtrühma kuuluvad inimesed võivad olla nt liikumis-, nägemis- või kuulmispuudega. TAT-s nimetatud tegevuste elluviimisel jälgitakse, et liikumis-, nägemis- või kuulmispuudega inimestele oleks tagatud ligipääs ja võimalus tegevuses osaleda.</w:t>
      </w:r>
    </w:p>
    <w:p w14:paraId="102B2799" w14:textId="77777777" w:rsidR="00CA2241" w:rsidRPr="00FA1890" w:rsidRDefault="00CA2241" w:rsidP="004034F3">
      <w:pPr>
        <w:jc w:val="both"/>
        <w:rPr>
          <w:rFonts w:eastAsia="Arial"/>
          <w:lang w:val="et-EE"/>
        </w:rPr>
      </w:pPr>
    </w:p>
    <w:p w14:paraId="629ADB44" w14:textId="5F151B52" w:rsidR="00CA2241" w:rsidRPr="00FA1890" w:rsidRDefault="00CA2241" w:rsidP="004034F3">
      <w:pPr>
        <w:jc w:val="both"/>
        <w:rPr>
          <w:rFonts w:eastAsia="Arial"/>
          <w:lang w:val="et-EE"/>
        </w:rPr>
      </w:pPr>
      <w:r w:rsidRPr="00FA1890">
        <w:rPr>
          <w:rFonts w:eastAsia="Arial"/>
          <w:lang w:val="et-EE"/>
        </w:rPr>
        <w:t>TAT-s nimetatud tegevuste elluviimisel ei koguta mingil viisil infot tegevustes osalevate inimeste rassi ja rahvusliku kuulumise ega usu ja seksuaalse sättumuse kohta.</w:t>
      </w:r>
    </w:p>
    <w:p w14:paraId="507A2C74" w14:textId="7A082FA9" w:rsidR="006F765E" w:rsidRPr="00FA1890" w:rsidRDefault="006F765E" w:rsidP="004034F3">
      <w:pPr>
        <w:jc w:val="both"/>
        <w:rPr>
          <w:bCs/>
          <w:lang w:val="et-EE"/>
        </w:rPr>
      </w:pPr>
    </w:p>
    <w:p w14:paraId="27195836" w14:textId="535AE371" w:rsidR="006F765E" w:rsidRPr="00FA1890" w:rsidRDefault="006F765E" w:rsidP="004034F3">
      <w:pPr>
        <w:jc w:val="both"/>
        <w:rPr>
          <w:b/>
          <w:bCs/>
          <w:lang w:val="et-EE"/>
        </w:rPr>
      </w:pPr>
      <w:r w:rsidRPr="00FA1890">
        <w:rPr>
          <w:b/>
          <w:bCs/>
          <w:lang w:val="et-EE"/>
        </w:rPr>
        <w:t>Andmekaitsealane mõjuhinnang</w:t>
      </w:r>
    </w:p>
    <w:p w14:paraId="60D4432F" w14:textId="4A2259CF" w:rsidR="006F765E" w:rsidRPr="00300791" w:rsidRDefault="006F765E" w:rsidP="004034F3">
      <w:pPr>
        <w:jc w:val="both"/>
        <w:rPr>
          <w:lang w:val="et-EE"/>
        </w:rPr>
      </w:pPr>
    </w:p>
    <w:p w14:paraId="0AADD6EC" w14:textId="1515463A" w:rsidR="007205E8" w:rsidRPr="00FA1890" w:rsidRDefault="007205E8" w:rsidP="004034F3">
      <w:pPr>
        <w:jc w:val="both"/>
        <w:rPr>
          <w:bCs/>
          <w:lang w:val="et-EE"/>
        </w:rPr>
      </w:pPr>
      <w:r w:rsidRPr="00FA1890">
        <w:rPr>
          <w:bCs/>
          <w:lang w:val="et-EE"/>
        </w:rPr>
        <w:t>TAT raames pakub teenust ja tegeleb sihtrühmaga töötukassa. Töötukassa töötleb isikuandmeid tööturuteenuste ja -toetuste seaduses sätestatud ülesannete täitmiseks, milleks on kõnealusel juhul tööturuteenuste osutamine</w:t>
      </w:r>
      <w:r w:rsidR="00976E20" w:rsidRPr="00FA1890">
        <w:rPr>
          <w:bCs/>
          <w:lang w:val="et-EE"/>
        </w:rPr>
        <w:t>, kuid mida rahastatakse teisest allikast ja täiendavale sihtrühmale</w:t>
      </w:r>
      <w:r w:rsidRPr="00FA1890">
        <w:rPr>
          <w:bCs/>
          <w:lang w:val="et-EE"/>
        </w:rPr>
        <w:t xml:space="preserve">. TAT tulemusel võib suureneda teatud ulatuses isikuandmete töötlemise maht, kui TAT abil jõuavad teenused rohkemate abi vajavate </w:t>
      </w:r>
      <w:r w:rsidR="0098128E" w:rsidRPr="00FA1890">
        <w:rPr>
          <w:bCs/>
          <w:lang w:val="et-EE"/>
        </w:rPr>
        <w:t>inimesteni</w:t>
      </w:r>
      <w:r w:rsidRPr="00FA1890">
        <w:rPr>
          <w:bCs/>
          <w:lang w:val="et-EE"/>
        </w:rPr>
        <w:t>. Isikuandmete töötlemise ulatus ei muutu, andmekoosseisud on nimetatud seaduses ja täpsustatud</w:t>
      </w:r>
      <w:r w:rsidR="007A5EBC" w:rsidRPr="00FA1890">
        <w:rPr>
          <w:lang w:val="et-EE"/>
        </w:rPr>
        <w:t xml:space="preserve"> </w:t>
      </w:r>
      <w:r w:rsidR="007041D0" w:rsidRPr="00FA1890">
        <w:rPr>
          <w:bCs/>
          <w:lang w:val="et-EE"/>
        </w:rPr>
        <w:t>t</w:t>
      </w:r>
      <w:r w:rsidR="007A5EBC" w:rsidRPr="00FA1890">
        <w:rPr>
          <w:bCs/>
          <w:lang w:val="et-EE"/>
        </w:rPr>
        <w:t>ervise- ja tööminister</w:t>
      </w:r>
      <w:r w:rsidR="007A5EBC" w:rsidRPr="00FA1890">
        <w:rPr>
          <w:lang w:val="et-EE"/>
        </w:rPr>
        <w:t xml:space="preserve"> </w:t>
      </w:r>
      <w:r w:rsidR="007A5EBC" w:rsidRPr="00FA1890">
        <w:rPr>
          <w:bCs/>
          <w:lang w:val="et-EE"/>
        </w:rPr>
        <w:t>05.03.2019 määruses nr 8</w:t>
      </w:r>
      <w:r w:rsidRPr="00FA1890">
        <w:rPr>
          <w:bCs/>
          <w:lang w:val="et-EE"/>
        </w:rPr>
        <w:t xml:space="preserve"> </w:t>
      </w:r>
      <w:r w:rsidR="007A5EBC" w:rsidRPr="00FA1890">
        <w:rPr>
          <w:bCs/>
          <w:lang w:val="et-EE"/>
        </w:rPr>
        <w:t xml:space="preserve">„Töötuskindlustuse </w:t>
      </w:r>
      <w:r w:rsidRPr="00FA1890">
        <w:rPr>
          <w:bCs/>
          <w:lang w:val="et-EE"/>
        </w:rPr>
        <w:t>andmekogu põhimäärus</w:t>
      </w:r>
      <w:r w:rsidR="007A5EBC" w:rsidRPr="00FA1890">
        <w:rPr>
          <w:bCs/>
          <w:lang w:val="et-EE"/>
        </w:rPr>
        <w:t>“</w:t>
      </w:r>
      <w:r w:rsidRPr="00FA1890">
        <w:rPr>
          <w:bCs/>
          <w:lang w:val="et-EE"/>
        </w:rPr>
        <w:t>.</w:t>
      </w:r>
    </w:p>
    <w:p w14:paraId="719EEDDC" w14:textId="456B4F18" w:rsidR="006945A1" w:rsidRPr="00FA1890" w:rsidRDefault="006945A1" w:rsidP="004034F3">
      <w:pPr>
        <w:jc w:val="both"/>
        <w:rPr>
          <w:bCs/>
          <w:lang w:val="et-EE"/>
        </w:rPr>
      </w:pPr>
    </w:p>
    <w:p w14:paraId="06C728FC" w14:textId="47C5FEC4" w:rsidR="006945A1" w:rsidRPr="00FA1890" w:rsidRDefault="006945A1" w:rsidP="004034F3">
      <w:pPr>
        <w:jc w:val="both"/>
        <w:rPr>
          <w:lang w:val="et-EE"/>
        </w:rPr>
      </w:pPr>
      <w:r w:rsidRPr="00FA1890">
        <w:rPr>
          <w:lang w:val="et-EE"/>
        </w:rPr>
        <w:t xml:space="preserve">Elluviijal on kohustus koguda </w:t>
      </w:r>
      <w:r w:rsidR="008771CB" w:rsidRPr="00FA1890">
        <w:rPr>
          <w:lang w:val="et-EE"/>
        </w:rPr>
        <w:t xml:space="preserve">vastavalt ÜSS2021_2027 § 19 lõikele 3 </w:t>
      </w:r>
      <w:r w:rsidRPr="00FA1890">
        <w:rPr>
          <w:lang w:val="et-EE"/>
        </w:rPr>
        <w:t xml:space="preserve">osalejate andmeid, mis on nimetatud Euroopa Parlamendi ja </w:t>
      </w:r>
      <w:r w:rsidR="00A43555" w:rsidRPr="00FA1890">
        <w:rPr>
          <w:lang w:val="et-EE"/>
        </w:rPr>
        <w:t>n</w:t>
      </w:r>
      <w:r w:rsidRPr="00FA1890">
        <w:rPr>
          <w:lang w:val="et-EE"/>
        </w:rPr>
        <w:t>õukogu määruse (EL) 2021/1056 artiklis 12 ja III lisas.</w:t>
      </w:r>
    </w:p>
    <w:p w14:paraId="5852F80F" w14:textId="37635A99" w:rsidR="006945A1" w:rsidRPr="00FA1890" w:rsidRDefault="006945A1" w:rsidP="004034F3">
      <w:pPr>
        <w:jc w:val="both"/>
        <w:rPr>
          <w:bCs/>
          <w:lang w:val="et-EE"/>
        </w:rPr>
      </w:pPr>
    </w:p>
    <w:p w14:paraId="437ACE57" w14:textId="1EBC36F8" w:rsidR="00525283" w:rsidRPr="00FA1890" w:rsidRDefault="007205E8" w:rsidP="004034F3">
      <w:pPr>
        <w:jc w:val="both"/>
        <w:rPr>
          <w:bCs/>
          <w:lang w:val="et-EE"/>
        </w:rPr>
      </w:pPr>
      <w:r w:rsidRPr="00FA1890">
        <w:rPr>
          <w:bCs/>
          <w:lang w:val="et-EE"/>
        </w:rPr>
        <w:t>Andme</w:t>
      </w:r>
      <w:r w:rsidR="008F7113" w:rsidRPr="00FA1890">
        <w:rPr>
          <w:bCs/>
          <w:lang w:val="et-EE"/>
        </w:rPr>
        <w:t>i</w:t>
      </w:r>
      <w:r w:rsidRPr="00FA1890">
        <w:rPr>
          <w:bCs/>
          <w:lang w:val="et-EE"/>
        </w:rPr>
        <w:t>d kogutakse inimestelt endilt</w:t>
      </w:r>
      <w:r w:rsidR="0069119A" w:rsidRPr="00FA1890">
        <w:rPr>
          <w:bCs/>
          <w:lang w:val="et-EE"/>
        </w:rPr>
        <w:t>,</w:t>
      </w:r>
      <w:r w:rsidRPr="00FA1890">
        <w:rPr>
          <w:bCs/>
          <w:lang w:val="et-EE"/>
        </w:rPr>
        <w:t xml:space="preserve"> teistest riigi infosüsteemidest</w:t>
      </w:r>
      <w:r w:rsidR="00ED4DEE" w:rsidRPr="00FA1890">
        <w:rPr>
          <w:bCs/>
          <w:lang w:val="et-EE"/>
        </w:rPr>
        <w:t xml:space="preserve"> või päringutega</w:t>
      </w:r>
      <w:r w:rsidRPr="00FA1890">
        <w:rPr>
          <w:bCs/>
          <w:lang w:val="et-EE"/>
        </w:rPr>
        <w:t xml:space="preserve">. Kõikidele isikuandmetega seotud dokumentidele on kehtestatud juurdepääsupiirang, mille alused on esitatud avaliku teabe seaduse §-s 35. Töötukassa järgib isikuandmete töötlemist puudutavaid kehtivaid õigusakte, sh Euroopa Parlamendi ja nõukogu määrust (EL) 2016/679 (isikuandmete kaitse üldmäärus), isikuandmete kaitse seadust ja avaliku teabe seadust. Töötukassa kasutab andmetele vastava turvalisuse taseme tagamiseks töökorralduslikult, tehniliselt ja füüsiliselt parimaid võimalikke meetmeid, et tagada isikuandmete nõuetekohane kaitse. Andmekogudes töödeldavatele andmetele piisava tasemega turvalisuse tagamiseks rakendatakse infosüsteemide turvameetmete süsteemi ISKE põhimõtteid. Töötukassa töötleb isikuandmeid, lähtudes õiguspärasuse, eesmärgipärasuse ja minimaalsuse põhimõttest, teenuste osutamiseks kasutatakse vaid selleks </w:t>
      </w:r>
      <w:r w:rsidRPr="00FA1890">
        <w:rPr>
          <w:bCs/>
          <w:lang w:val="et-EE"/>
        </w:rPr>
        <w:lastRenderedPageBreak/>
        <w:t>vajalikke ja ettenähtud andmeid. TAT kinnitamise tulemusel töötukassa andmete töötlemise reeglites ja protseduurides muudatusi ei tule.</w:t>
      </w:r>
      <w:r w:rsidR="00976E20" w:rsidRPr="00FA1890">
        <w:rPr>
          <w:bCs/>
          <w:lang w:val="et-EE"/>
        </w:rPr>
        <w:t xml:space="preserve"> Kuna laieneb vaid teenuste saajate ring, siis kokkuvõttes võib andmekaitsealast mõju pidada väheseks.</w:t>
      </w:r>
    </w:p>
    <w:p w14:paraId="4C1D3151" w14:textId="77777777" w:rsidR="0098128E" w:rsidRPr="00FA1890" w:rsidRDefault="0098128E" w:rsidP="004034F3">
      <w:pPr>
        <w:jc w:val="both"/>
        <w:rPr>
          <w:bCs/>
          <w:lang w:val="et-EE"/>
        </w:rPr>
      </w:pPr>
    </w:p>
    <w:p w14:paraId="64B6E30E" w14:textId="56321067" w:rsidR="007205E8" w:rsidRPr="00FA1890" w:rsidRDefault="007205E8" w:rsidP="004034F3">
      <w:pPr>
        <w:jc w:val="both"/>
        <w:rPr>
          <w:b/>
          <w:lang w:val="et-EE"/>
        </w:rPr>
      </w:pPr>
      <w:r w:rsidRPr="00FA1890">
        <w:rPr>
          <w:b/>
          <w:lang w:val="et-EE"/>
        </w:rPr>
        <w:t>V TAT kooskõla valikukriteeriumitega</w:t>
      </w:r>
    </w:p>
    <w:p w14:paraId="57318A4B" w14:textId="313BA5C4" w:rsidR="007205E8" w:rsidRPr="00300791" w:rsidRDefault="007205E8" w:rsidP="004034F3">
      <w:pPr>
        <w:jc w:val="both"/>
        <w:rPr>
          <w:bCs/>
          <w:lang w:val="et-EE"/>
        </w:rPr>
      </w:pPr>
    </w:p>
    <w:p w14:paraId="58530D6B" w14:textId="5C1F9827" w:rsidR="008D3367" w:rsidRPr="00FA1890" w:rsidRDefault="00E4649F" w:rsidP="004034F3">
      <w:pPr>
        <w:jc w:val="both"/>
        <w:rPr>
          <w:b/>
          <w:lang w:val="et-EE"/>
        </w:rPr>
      </w:pPr>
      <w:r w:rsidRPr="00FA1890">
        <w:rPr>
          <w:rFonts w:eastAsia="Arial"/>
          <w:bCs/>
          <w:lang w:val="et-EE"/>
        </w:rPr>
        <w:t xml:space="preserve">TAT tegevused vastavad </w:t>
      </w:r>
      <w:r w:rsidRPr="00FA1890">
        <w:rPr>
          <w:rStyle w:val="cf01"/>
          <w:rFonts w:ascii="Times New Roman" w:hAnsi="Times New Roman" w:cs="Times New Roman"/>
          <w:sz w:val="24"/>
          <w:szCs w:val="24"/>
          <w:lang w:val="et-EE"/>
        </w:rPr>
        <w:t>rakenduskava seirekomisjoni kinnitatud valikukriteeriumitele (ühendmääruse § 7).</w:t>
      </w:r>
    </w:p>
    <w:p w14:paraId="47D6F85C" w14:textId="77777777" w:rsidR="008D3367" w:rsidRPr="00FA1890" w:rsidRDefault="008D3367" w:rsidP="004034F3">
      <w:pPr>
        <w:jc w:val="both"/>
        <w:rPr>
          <w:b/>
          <w:lang w:val="et-EE"/>
        </w:rPr>
      </w:pPr>
    </w:p>
    <w:p w14:paraId="229342E7" w14:textId="108EFE49" w:rsidR="007205E8" w:rsidRPr="00FA1890" w:rsidRDefault="007205E8" w:rsidP="004034F3">
      <w:pPr>
        <w:numPr>
          <w:ilvl w:val="0"/>
          <w:numId w:val="16"/>
        </w:numPr>
        <w:jc w:val="both"/>
        <w:rPr>
          <w:u w:val="single"/>
          <w:lang w:val="et-EE"/>
        </w:rPr>
      </w:pPr>
      <w:r w:rsidRPr="00FA1890">
        <w:rPr>
          <w:u w:val="single"/>
          <w:lang w:val="et-EE"/>
        </w:rPr>
        <w:t xml:space="preserve">TAT </w:t>
      </w:r>
      <w:r w:rsidR="00C85F9C" w:rsidRPr="00FA1890">
        <w:rPr>
          <w:rFonts w:eastAsia="Arial"/>
          <w:u w:val="single"/>
          <w:lang w:val="et-EE"/>
        </w:rPr>
        <w:t>kooskõla valdkondlike arengukavadega, mõju rakenduskava erieesmärgi ja meetme eesmärkide saavutamisel</w:t>
      </w:r>
    </w:p>
    <w:p w14:paraId="067A61BA" w14:textId="77777777" w:rsidR="007205E8" w:rsidRPr="00FA1890" w:rsidRDefault="007205E8" w:rsidP="004034F3">
      <w:pPr>
        <w:jc w:val="both"/>
        <w:rPr>
          <w:lang w:val="et-EE"/>
        </w:rPr>
      </w:pPr>
    </w:p>
    <w:p w14:paraId="2003CCD4" w14:textId="7FCDE270" w:rsidR="007205E8" w:rsidRPr="00FA1890" w:rsidRDefault="008122D3" w:rsidP="004034F3">
      <w:pPr>
        <w:jc w:val="both"/>
        <w:rPr>
          <w:lang w:val="et-EE"/>
        </w:rPr>
      </w:pPr>
      <w:r w:rsidRPr="00FA1890">
        <w:rPr>
          <w:rFonts w:eastAsia="Arial"/>
          <w:lang w:val="et-EE"/>
        </w:rPr>
        <w:t xml:space="preserve">TAT kooskõla valdkondlike arengukavadega </w:t>
      </w:r>
      <w:r w:rsidR="008F7113" w:rsidRPr="00FA1890">
        <w:rPr>
          <w:rFonts w:eastAsia="Arial"/>
          <w:lang w:val="et-EE"/>
        </w:rPr>
        <w:t>ning</w:t>
      </w:r>
      <w:r w:rsidRPr="00FA1890">
        <w:rPr>
          <w:rFonts w:eastAsia="Arial"/>
          <w:lang w:val="et-EE"/>
        </w:rPr>
        <w:t xml:space="preserve"> panust rakenduskava erieesmärki </w:t>
      </w:r>
      <w:r w:rsidR="008F7113" w:rsidRPr="00FA1890">
        <w:rPr>
          <w:rFonts w:eastAsia="Arial"/>
          <w:lang w:val="et-EE"/>
        </w:rPr>
        <w:t>ja</w:t>
      </w:r>
      <w:r w:rsidRPr="00FA1890">
        <w:rPr>
          <w:rFonts w:eastAsia="Arial"/>
          <w:lang w:val="et-EE"/>
        </w:rPr>
        <w:t xml:space="preserve"> meetme eesmärkidesse, sh projekti tulemuste ja mõju eeldatavat ulatust on kirjeldatud TAT punktis</w:t>
      </w:r>
      <w:r w:rsidR="008F7113" w:rsidRPr="00FA1890">
        <w:rPr>
          <w:rFonts w:eastAsia="Arial"/>
          <w:lang w:val="et-EE"/>
        </w:rPr>
        <w:t> 1</w:t>
      </w:r>
      <w:r w:rsidRPr="00FA1890">
        <w:rPr>
          <w:rFonts w:eastAsia="Arial"/>
          <w:lang w:val="et-EE"/>
        </w:rPr>
        <w:t xml:space="preserve"> ja seletuskirja IV</w:t>
      </w:r>
      <w:r w:rsidR="008F7113" w:rsidRPr="00FA1890">
        <w:rPr>
          <w:rFonts w:eastAsia="Arial"/>
          <w:lang w:val="et-EE"/>
        </w:rPr>
        <w:t> osas</w:t>
      </w:r>
      <w:r w:rsidRPr="00FA1890">
        <w:rPr>
          <w:rFonts w:eastAsia="Arial"/>
          <w:lang w:val="et-EE"/>
        </w:rPr>
        <w:t>. TAT panust meetme väljundnäitaja ja tulemusnäitaja saavutamisse on kirjeldatud TAT ja seletuskirja punktis 3.</w:t>
      </w:r>
    </w:p>
    <w:p w14:paraId="4CD59397" w14:textId="77777777" w:rsidR="007205E8" w:rsidRPr="00FA1890" w:rsidRDefault="007205E8" w:rsidP="004034F3">
      <w:pPr>
        <w:jc w:val="both"/>
        <w:rPr>
          <w:lang w:val="et-EE"/>
        </w:rPr>
      </w:pPr>
    </w:p>
    <w:p w14:paraId="388BF8FF" w14:textId="77777777" w:rsidR="007205E8" w:rsidRPr="00FA1890" w:rsidRDefault="007205E8" w:rsidP="004034F3">
      <w:pPr>
        <w:numPr>
          <w:ilvl w:val="0"/>
          <w:numId w:val="16"/>
        </w:numPr>
        <w:jc w:val="both"/>
        <w:rPr>
          <w:u w:val="single"/>
          <w:lang w:val="et-EE"/>
        </w:rPr>
      </w:pPr>
      <w:r w:rsidRPr="00FA1890">
        <w:rPr>
          <w:u w:val="single"/>
          <w:lang w:val="et-EE"/>
        </w:rPr>
        <w:t>TAT põhjendatus</w:t>
      </w:r>
    </w:p>
    <w:p w14:paraId="6CDC331D" w14:textId="77777777" w:rsidR="007205E8" w:rsidRPr="00FA1890" w:rsidRDefault="007205E8" w:rsidP="004034F3">
      <w:pPr>
        <w:jc w:val="both"/>
        <w:rPr>
          <w:u w:val="single"/>
          <w:lang w:val="et-EE"/>
        </w:rPr>
      </w:pPr>
    </w:p>
    <w:p w14:paraId="56A1CFA0" w14:textId="5214F981" w:rsidR="007205E8" w:rsidRPr="00FA1890" w:rsidRDefault="007205E8" w:rsidP="004034F3">
      <w:pPr>
        <w:jc w:val="both"/>
        <w:rPr>
          <w:lang w:val="et-EE"/>
        </w:rPr>
      </w:pPr>
      <w:r w:rsidRPr="00FA1890">
        <w:rPr>
          <w:lang w:val="et-EE"/>
        </w:rPr>
        <w:t>TAT tegevused aitavad kaasa meetme 21.6.1.6 „Tööleasumise toetamine ning täiend- ja ümberõppe toetamine“ eesmärgi saavutamisele. TAT eesmärgi ja vajalikkuse ning eesmärgi saavutamiseks tehtavate tegevuste põhjalik kirjeldus on esitatud seletuskirja I ja II peatükis.</w:t>
      </w:r>
    </w:p>
    <w:p w14:paraId="18A72324" w14:textId="77777777" w:rsidR="007205E8" w:rsidRPr="00FA1890" w:rsidRDefault="007205E8" w:rsidP="004034F3">
      <w:pPr>
        <w:jc w:val="both"/>
        <w:rPr>
          <w:lang w:val="et-EE"/>
        </w:rPr>
      </w:pPr>
    </w:p>
    <w:p w14:paraId="5EFBD2C6" w14:textId="77777777" w:rsidR="007205E8" w:rsidRPr="00FA1890" w:rsidRDefault="007205E8" w:rsidP="004034F3">
      <w:pPr>
        <w:numPr>
          <w:ilvl w:val="0"/>
          <w:numId w:val="16"/>
        </w:numPr>
        <w:jc w:val="both"/>
        <w:rPr>
          <w:u w:val="single"/>
          <w:lang w:val="et-EE"/>
        </w:rPr>
      </w:pPr>
      <w:r w:rsidRPr="00FA1890">
        <w:rPr>
          <w:u w:val="single"/>
          <w:lang w:val="et-EE"/>
        </w:rPr>
        <w:t xml:space="preserve">Kuluefektiivsus </w:t>
      </w:r>
    </w:p>
    <w:p w14:paraId="7DD1E6B1" w14:textId="77777777" w:rsidR="007205E8" w:rsidRPr="00FA1890" w:rsidRDefault="007205E8" w:rsidP="004034F3">
      <w:pPr>
        <w:jc w:val="both"/>
        <w:rPr>
          <w:u w:val="single"/>
          <w:lang w:val="et-EE"/>
        </w:rPr>
      </w:pPr>
    </w:p>
    <w:p w14:paraId="16B35BA8" w14:textId="09B4B889" w:rsidR="00027F50" w:rsidRPr="00FA1890" w:rsidRDefault="007205E8" w:rsidP="004034F3">
      <w:pPr>
        <w:jc w:val="both"/>
        <w:rPr>
          <w:lang w:val="et-EE"/>
        </w:rPr>
      </w:pPr>
      <w:r w:rsidRPr="00FA1890">
        <w:rPr>
          <w:lang w:val="et-EE"/>
        </w:rPr>
        <w:t>Planeeritud eelarve kujunemist on kirjeldatud eelarve seletuskirjas. Eelarve planeerimisel lähtutakse varasematest kogemustest sama tüüpi kulude tegemisel ja seda korrigeeritakse vajaduse korral tarbijahinnaindeksi prognoositava muutusega. Uut tüüpi kulude planeerimisel uuritakse hindasid turult või töötatakse need ise välja.</w:t>
      </w:r>
    </w:p>
    <w:p w14:paraId="75181E1B" w14:textId="3947F6CF" w:rsidR="007205E8" w:rsidRPr="00FA1890" w:rsidRDefault="007205E8" w:rsidP="004034F3">
      <w:pPr>
        <w:jc w:val="both"/>
        <w:rPr>
          <w:lang w:val="et-EE"/>
        </w:rPr>
      </w:pPr>
    </w:p>
    <w:p w14:paraId="65A16754" w14:textId="77777777" w:rsidR="007205E8" w:rsidRPr="00FA1890" w:rsidRDefault="007205E8" w:rsidP="004034F3">
      <w:pPr>
        <w:numPr>
          <w:ilvl w:val="0"/>
          <w:numId w:val="16"/>
        </w:numPr>
        <w:jc w:val="both"/>
        <w:rPr>
          <w:u w:val="single"/>
          <w:lang w:val="et-EE"/>
        </w:rPr>
      </w:pPr>
      <w:r w:rsidRPr="00FA1890">
        <w:rPr>
          <w:u w:val="single"/>
          <w:lang w:val="et-EE"/>
        </w:rPr>
        <w:t>Toetuse saaja suutlikkus projekti ellu viia</w:t>
      </w:r>
    </w:p>
    <w:p w14:paraId="7C05EFE2" w14:textId="77777777" w:rsidR="007205E8" w:rsidRPr="00FA1890" w:rsidRDefault="007205E8" w:rsidP="004034F3">
      <w:pPr>
        <w:ind w:left="360"/>
        <w:jc w:val="both"/>
        <w:rPr>
          <w:u w:val="single"/>
          <w:lang w:val="et-EE"/>
        </w:rPr>
      </w:pPr>
    </w:p>
    <w:p w14:paraId="58899ADE" w14:textId="56725272" w:rsidR="00027F50" w:rsidRPr="00FA1890" w:rsidRDefault="00561F91" w:rsidP="004034F3">
      <w:pPr>
        <w:jc w:val="both"/>
        <w:rPr>
          <w:lang w:val="et-EE"/>
        </w:rPr>
      </w:pPr>
      <w:r w:rsidRPr="00FA1890">
        <w:rPr>
          <w:lang w:val="et-EE"/>
        </w:rPr>
        <w:t xml:space="preserve">TAT elluviija on töötukassa kui riikliku tööturupoliitika elluviija. Töötukassa vastutab riiklikul tasandil aktiivsete tööturumeetmete </w:t>
      </w:r>
      <w:r w:rsidR="008F7113" w:rsidRPr="00FA1890">
        <w:rPr>
          <w:lang w:val="et-EE"/>
        </w:rPr>
        <w:t>rakendamise</w:t>
      </w:r>
      <w:r w:rsidRPr="00FA1890">
        <w:rPr>
          <w:lang w:val="et-EE"/>
        </w:rPr>
        <w:t xml:space="preserve"> eest. </w:t>
      </w:r>
      <w:r w:rsidR="00C67FD8" w:rsidRPr="00FA1890">
        <w:rPr>
          <w:lang w:val="et-EE"/>
        </w:rPr>
        <w:t>Töötukassa omab suutlik</w:t>
      </w:r>
      <w:r w:rsidR="00A43555" w:rsidRPr="00FA1890">
        <w:rPr>
          <w:lang w:val="et-EE"/>
        </w:rPr>
        <w:t>k</w:t>
      </w:r>
      <w:r w:rsidR="00C67FD8" w:rsidRPr="00FA1890">
        <w:rPr>
          <w:lang w:val="et-EE"/>
        </w:rPr>
        <w:t>ust projekte ellu viia, kuna omab kogemust toetuse elluviijana eelmistel EL</w:t>
      </w:r>
      <w:r w:rsidR="00A43555" w:rsidRPr="00FA1890">
        <w:rPr>
          <w:lang w:val="et-EE"/>
        </w:rPr>
        <w:t>i</w:t>
      </w:r>
      <w:r w:rsidR="00C67FD8" w:rsidRPr="00FA1890">
        <w:rPr>
          <w:lang w:val="et-EE"/>
        </w:rPr>
        <w:t xml:space="preserve"> toetusperioodidel. Töötukassa on EL</w:t>
      </w:r>
      <w:r w:rsidR="00A43555" w:rsidRPr="00FA1890">
        <w:rPr>
          <w:lang w:val="et-EE"/>
        </w:rPr>
        <w:t>i</w:t>
      </w:r>
      <w:r w:rsidR="00C67FD8" w:rsidRPr="00FA1890">
        <w:rPr>
          <w:lang w:val="et-EE"/>
        </w:rPr>
        <w:t xml:space="preserve"> toetusperioodil 2014–2020 olnud </w:t>
      </w:r>
      <w:r w:rsidR="00C550F7" w:rsidRPr="00FA1890">
        <w:rPr>
          <w:lang w:val="et-EE"/>
        </w:rPr>
        <w:t>programmide</w:t>
      </w:r>
      <w:r w:rsidR="00C67FD8" w:rsidRPr="00FA1890">
        <w:rPr>
          <w:lang w:val="et-EE"/>
        </w:rPr>
        <w:t xml:space="preserve"> </w:t>
      </w:r>
      <w:r w:rsidR="00814784" w:rsidRPr="00FA1890">
        <w:rPr>
          <w:lang w:val="et-EE"/>
        </w:rPr>
        <w:t>„</w:t>
      </w:r>
      <w:r w:rsidR="00C67FD8" w:rsidRPr="00FA1890">
        <w:rPr>
          <w:lang w:val="et-EE"/>
        </w:rPr>
        <w:t>Tööturuteenuste osutamine tagamaks paremaid võimalusi hõives osalemiseks“</w:t>
      </w:r>
      <w:r w:rsidR="00A43555" w:rsidRPr="00FA1890">
        <w:rPr>
          <w:lang w:val="et-EE"/>
        </w:rPr>
        <w:t xml:space="preserve"> ja</w:t>
      </w:r>
      <w:r w:rsidR="004D31B3" w:rsidRPr="00FA1890">
        <w:rPr>
          <w:lang w:val="et-EE"/>
        </w:rPr>
        <w:t xml:space="preserve"> „Karjäärinõustamise kättesaadavuse suurendamine“</w:t>
      </w:r>
      <w:r w:rsidR="00A43555" w:rsidRPr="00FA1890">
        <w:rPr>
          <w:lang w:val="et-EE"/>
        </w:rPr>
        <w:t xml:space="preserve"> </w:t>
      </w:r>
      <w:r w:rsidR="008F7113" w:rsidRPr="00FA1890">
        <w:rPr>
          <w:lang w:val="et-EE"/>
        </w:rPr>
        <w:t>puhul toetuse saaja ja elluviija</w:t>
      </w:r>
      <w:r w:rsidR="00C550F7" w:rsidRPr="00FA1890">
        <w:rPr>
          <w:lang w:val="et-EE"/>
        </w:rPr>
        <w:t xml:space="preserve"> ning </w:t>
      </w:r>
      <w:r w:rsidR="008F7113" w:rsidRPr="00FA1890">
        <w:rPr>
          <w:lang w:val="et-EE"/>
        </w:rPr>
        <w:t xml:space="preserve">programmi </w:t>
      </w:r>
      <w:r w:rsidR="00C550F7" w:rsidRPr="00FA1890">
        <w:rPr>
          <w:lang w:val="et-EE"/>
        </w:rPr>
        <w:t>„Töövõime süsteemi toetavad tegevused“</w:t>
      </w:r>
      <w:r w:rsidR="00A43555" w:rsidRPr="00FA1890">
        <w:rPr>
          <w:lang w:val="et-EE"/>
        </w:rPr>
        <w:t xml:space="preserve"> puhul</w:t>
      </w:r>
      <w:r w:rsidR="008F7113" w:rsidRPr="00FA1890">
        <w:rPr>
          <w:lang w:val="et-EE"/>
        </w:rPr>
        <w:t xml:space="preserve"> partner</w:t>
      </w:r>
      <w:r w:rsidR="00D303AB" w:rsidRPr="00FA1890">
        <w:rPr>
          <w:lang w:val="et-EE"/>
        </w:rPr>
        <w:t>.</w:t>
      </w:r>
    </w:p>
    <w:p w14:paraId="2C95913B" w14:textId="00F160C0" w:rsidR="008E0898" w:rsidRPr="00FA1890" w:rsidRDefault="008E0898" w:rsidP="004034F3">
      <w:pPr>
        <w:jc w:val="both"/>
        <w:rPr>
          <w:lang w:val="et-EE"/>
        </w:rPr>
      </w:pPr>
    </w:p>
    <w:p w14:paraId="2EE6AD55" w14:textId="77777777" w:rsidR="00970711" w:rsidRPr="00FA1890" w:rsidRDefault="00970711" w:rsidP="004034F3">
      <w:pPr>
        <w:pStyle w:val="Loendilik"/>
        <w:numPr>
          <w:ilvl w:val="0"/>
          <w:numId w:val="16"/>
        </w:numPr>
        <w:jc w:val="both"/>
        <w:rPr>
          <w:rFonts w:eastAsia="Arial"/>
          <w:u w:val="single"/>
          <w:lang w:val="et-EE"/>
        </w:rPr>
      </w:pPr>
      <w:r w:rsidRPr="00FA1890">
        <w:rPr>
          <w:rFonts w:eastAsia="Arial"/>
          <w:u w:val="single"/>
          <w:lang w:val="et-EE"/>
        </w:rPr>
        <w:t>Kooskõla Eesti pikaajalise arengustrateegia aluspõhimõtete ja sihtidega</w:t>
      </w:r>
    </w:p>
    <w:p w14:paraId="629469B9" w14:textId="77777777" w:rsidR="00970711" w:rsidRPr="00FA1890" w:rsidRDefault="00970711" w:rsidP="004034F3">
      <w:pPr>
        <w:jc w:val="both"/>
        <w:rPr>
          <w:rFonts w:eastAsia="Arial"/>
          <w:lang w:val="et-EE"/>
        </w:rPr>
      </w:pPr>
    </w:p>
    <w:p w14:paraId="471950D5" w14:textId="61961C37" w:rsidR="008E0898" w:rsidRPr="00FA1890" w:rsidRDefault="00970711" w:rsidP="004034F3">
      <w:pPr>
        <w:jc w:val="both"/>
        <w:rPr>
          <w:lang w:val="et-EE"/>
        </w:rPr>
      </w:pPr>
      <w:r w:rsidRPr="00FA1890">
        <w:rPr>
          <w:rFonts w:eastAsia="Arial"/>
          <w:lang w:val="et-EE"/>
        </w:rPr>
        <w:t xml:space="preserve">Kooskõla </w:t>
      </w:r>
      <w:r w:rsidR="00BF0819" w:rsidRPr="00FA1890">
        <w:rPr>
          <w:rFonts w:eastAsia="Arial"/>
          <w:lang w:val="et-EE"/>
        </w:rPr>
        <w:t>strateegia „</w:t>
      </w:r>
      <w:r w:rsidRPr="00FA1890">
        <w:rPr>
          <w:rFonts w:eastAsia="Arial"/>
          <w:lang w:val="et-EE"/>
        </w:rPr>
        <w:t>Eesti 2035</w:t>
      </w:r>
      <w:r w:rsidR="00BF0819" w:rsidRPr="00FA1890">
        <w:rPr>
          <w:rFonts w:eastAsia="Arial"/>
          <w:lang w:val="et-EE"/>
        </w:rPr>
        <w:t>“</w:t>
      </w:r>
      <w:r w:rsidRPr="00FA1890">
        <w:rPr>
          <w:rFonts w:eastAsia="Arial"/>
          <w:lang w:val="et-EE"/>
        </w:rPr>
        <w:t xml:space="preserve"> aluspõhimõtete ja sihtidega on hinnatud TAT punktis 1.1 ning seletuskirja IV</w:t>
      </w:r>
      <w:r w:rsidR="008F7113" w:rsidRPr="00FA1890">
        <w:rPr>
          <w:rFonts w:eastAsia="Arial"/>
          <w:lang w:val="et-EE"/>
        </w:rPr>
        <w:t> osas.</w:t>
      </w:r>
    </w:p>
    <w:p w14:paraId="30870CEF" w14:textId="77777777" w:rsidR="00C67FD8" w:rsidRPr="00FA1890" w:rsidRDefault="00C67FD8" w:rsidP="004034F3">
      <w:pPr>
        <w:jc w:val="both"/>
        <w:rPr>
          <w:lang w:val="et-EE" w:eastAsia="et-EE"/>
        </w:rPr>
      </w:pPr>
    </w:p>
    <w:p w14:paraId="0A9238DC" w14:textId="77777777" w:rsidR="00027F50" w:rsidRPr="00FA1890" w:rsidRDefault="00027F50" w:rsidP="004034F3">
      <w:pPr>
        <w:rPr>
          <w:rFonts w:eastAsia="Arial"/>
          <w:b/>
          <w:lang w:val="et-EE"/>
        </w:rPr>
      </w:pPr>
      <w:r w:rsidRPr="00FA1890">
        <w:rPr>
          <w:rFonts w:eastAsia="Arial"/>
          <w:b/>
          <w:lang w:val="et-EE"/>
        </w:rPr>
        <w:t>VI TAT jõustumine</w:t>
      </w:r>
    </w:p>
    <w:p w14:paraId="269C020D" w14:textId="77777777" w:rsidR="00027F50" w:rsidRPr="00300791" w:rsidRDefault="00027F50" w:rsidP="004034F3">
      <w:pPr>
        <w:rPr>
          <w:rFonts w:eastAsia="Arial"/>
          <w:bCs/>
          <w:lang w:val="et-EE"/>
        </w:rPr>
      </w:pPr>
    </w:p>
    <w:p w14:paraId="4A07740E" w14:textId="3838A1AD" w:rsidR="00027F50" w:rsidRPr="00FA1890" w:rsidRDefault="00027F50" w:rsidP="004034F3">
      <w:pPr>
        <w:rPr>
          <w:rFonts w:eastAsia="Arial"/>
          <w:lang w:val="et-EE"/>
        </w:rPr>
      </w:pPr>
      <w:r w:rsidRPr="00FA1890">
        <w:rPr>
          <w:rFonts w:eastAsia="Arial"/>
          <w:lang w:val="et-EE"/>
        </w:rPr>
        <w:t>TAT</w:t>
      </w:r>
      <w:r w:rsidR="00527E1F">
        <w:rPr>
          <w:rFonts w:eastAsia="Arial"/>
          <w:lang w:val="et-EE"/>
        </w:rPr>
        <w:t xml:space="preserve"> käskkiri</w:t>
      </w:r>
      <w:r w:rsidRPr="00FA1890">
        <w:rPr>
          <w:rFonts w:eastAsia="Arial"/>
          <w:lang w:val="et-EE"/>
        </w:rPr>
        <w:t xml:space="preserve"> jõustub üldises korras.</w:t>
      </w:r>
    </w:p>
    <w:p w14:paraId="1AFC13EE" w14:textId="57ECA843" w:rsidR="00DA714C" w:rsidRDefault="00DA714C">
      <w:pPr>
        <w:spacing w:after="200" w:line="276" w:lineRule="auto"/>
        <w:rPr>
          <w:rFonts w:eastAsia="Arial"/>
          <w:bCs/>
          <w:lang w:val="et-EE"/>
        </w:rPr>
      </w:pPr>
      <w:r>
        <w:rPr>
          <w:rFonts w:eastAsia="Arial"/>
          <w:bCs/>
          <w:lang w:val="et-EE"/>
        </w:rPr>
        <w:br w:type="page"/>
      </w:r>
    </w:p>
    <w:p w14:paraId="539558F1" w14:textId="77777777" w:rsidR="00027F50" w:rsidRPr="00FA1890" w:rsidRDefault="00027F50" w:rsidP="004034F3">
      <w:pPr>
        <w:rPr>
          <w:rFonts w:eastAsia="Arial"/>
          <w:b/>
          <w:lang w:val="et-EE"/>
        </w:rPr>
      </w:pPr>
      <w:r w:rsidRPr="00FA1890">
        <w:rPr>
          <w:rFonts w:eastAsia="Arial"/>
          <w:b/>
          <w:lang w:val="et-EE"/>
        </w:rPr>
        <w:lastRenderedPageBreak/>
        <w:t>VII TAT kooskõlastamine</w:t>
      </w:r>
    </w:p>
    <w:p w14:paraId="2381FA55" w14:textId="77777777" w:rsidR="00027F50" w:rsidRDefault="00027F50" w:rsidP="004034F3">
      <w:pPr>
        <w:rPr>
          <w:rFonts w:eastAsia="Arial"/>
          <w:lang w:val="et-EE"/>
        </w:rPr>
      </w:pPr>
    </w:p>
    <w:p w14:paraId="4A2B7D2C" w14:textId="2510C608" w:rsidR="00527E1F" w:rsidRDefault="00527E1F" w:rsidP="00C50224">
      <w:pPr>
        <w:jc w:val="both"/>
        <w:rPr>
          <w:rFonts w:eastAsia="Arial"/>
          <w:lang w:val="et-EE"/>
        </w:rPr>
      </w:pPr>
      <w:r>
        <w:rPr>
          <w:rFonts w:eastAsia="Arial"/>
          <w:lang w:val="et-EE"/>
        </w:rPr>
        <w:t xml:space="preserve">Käskkirja </w:t>
      </w:r>
      <w:r w:rsidRPr="00FA1890">
        <w:rPr>
          <w:rFonts w:eastAsia="Arial"/>
          <w:lang w:val="et-EE"/>
        </w:rPr>
        <w:t xml:space="preserve">eelnõu esitati eelnõude infosüsteemi (EIS) kaudu kooskõlastamiseks Rahandusministeeriumile, Keskkonnaministeeriumile, Haridus- ja Teadusministeeriumile, Majandus- ja Kommunikatsiooniministeeriumile ja e-posti teel Riigi Tugiteenuste Keskusele ning arvamuse avaldamiseks Eesti Töötukassale, </w:t>
      </w:r>
      <w:r w:rsidRPr="00FA1890">
        <w:rPr>
          <w:lang w:val="et-EE"/>
        </w:rPr>
        <w:t>rakenduskava seirekomisjonile, Euroopa Komisjonile ja õiglase ülemineku protsessi juhtkomisjonile</w:t>
      </w:r>
      <w:r w:rsidRPr="00FA1890">
        <w:rPr>
          <w:rFonts w:eastAsia="Arial"/>
          <w:lang w:val="et-EE"/>
        </w:rPr>
        <w:t>.</w:t>
      </w:r>
      <w:r w:rsidRPr="00FA1890">
        <w:t xml:space="preserve"> </w:t>
      </w:r>
      <w:r w:rsidRPr="00FA1890">
        <w:rPr>
          <w:rFonts w:eastAsia="Arial"/>
          <w:lang w:val="et-EE"/>
        </w:rPr>
        <w:t>Tähtajaks 17.07.2023 kooskõlastas Rahandusministeerium eelnõu märkustega ning Haridus- ja Teadusministeerium kooskõlastas eelnõu märkusteta, kuid saatis mitteametlikud kommentaarid. Kliimaministeerium kooskõlastas eelnõu kommentaarideta. Kommentaarid esitasid ka Eesti Töötukassa ja Eesti Kaubandus-tööstuskoda. Märkuste ja kommentaaridega arvestati, ning tehti vastavad täiendused.</w:t>
      </w:r>
      <w:r>
        <w:rPr>
          <w:rFonts w:eastAsia="Arial"/>
          <w:lang w:val="et-EE"/>
        </w:rPr>
        <w:t xml:space="preserve"> Käskkiri on </w:t>
      </w:r>
      <w:r w:rsidR="00BD599E">
        <w:rPr>
          <w:rFonts w:eastAsia="Arial"/>
          <w:lang w:val="et-EE"/>
        </w:rPr>
        <w:t>enne kinnitamisele saatmist täiendavalt kooskõlastatud Rahandusministeeriumiga.</w:t>
      </w:r>
    </w:p>
    <w:p w14:paraId="6ED81DAA" w14:textId="77777777" w:rsidR="00527E1F" w:rsidRDefault="00527E1F" w:rsidP="004034F3">
      <w:pPr>
        <w:rPr>
          <w:rFonts w:eastAsia="Arial"/>
          <w:lang w:val="et-EE"/>
        </w:rPr>
      </w:pPr>
    </w:p>
    <w:p w14:paraId="542EB3AB" w14:textId="589163C9" w:rsidR="00527E1F" w:rsidRDefault="00527E1F" w:rsidP="004034F3">
      <w:pPr>
        <w:rPr>
          <w:rFonts w:eastAsia="Arial"/>
          <w:lang w:val="et-EE"/>
        </w:rPr>
      </w:pPr>
      <w:r>
        <w:rPr>
          <w:rFonts w:eastAsia="Arial"/>
          <w:lang w:val="et-EE"/>
        </w:rPr>
        <w:t>Seletuskirja lisad:</w:t>
      </w:r>
    </w:p>
    <w:p w14:paraId="64E0EB73" w14:textId="0B6EB5B4" w:rsidR="00527E1F" w:rsidRPr="00527E1F" w:rsidRDefault="00527E1F" w:rsidP="00527E1F">
      <w:pPr>
        <w:rPr>
          <w:rFonts w:eastAsia="Arial"/>
          <w:lang w:val="et-EE"/>
        </w:rPr>
      </w:pPr>
      <w:r w:rsidRPr="00527E1F">
        <w:rPr>
          <w:rFonts w:eastAsia="Arial"/>
          <w:lang w:val="et-EE"/>
        </w:rPr>
        <w:t>1.</w:t>
      </w:r>
      <w:r>
        <w:rPr>
          <w:rFonts w:eastAsia="Arial"/>
          <w:lang w:val="et-EE"/>
        </w:rPr>
        <w:t xml:space="preserve"> </w:t>
      </w:r>
      <w:r w:rsidRPr="00527E1F">
        <w:rPr>
          <w:rFonts w:eastAsia="Arial"/>
          <w:lang w:val="et-EE"/>
        </w:rPr>
        <w:t>Põhiõiguste hartaga ja puuetega inimeste õiguste konventsiooniga arvestamise kontroll-leht</w:t>
      </w:r>
    </w:p>
    <w:p w14:paraId="6E32CB9E" w14:textId="699A6DE2" w:rsidR="00527E1F" w:rsidRDefault="00527E1F" w:rsidP="00527E1F">
      <w:pPr>
        <w:rPr>
          <w:rFonts w:eastAsia="Arial"/>
          <w:lang w:val="et-EE"/>
        </w:rPr>
      </w:pPr>
      <w:r>
        <w:rPr>
          <w:rFonts w:eastAsia="Arial"/>
          <w:lang w:val="et-EE"/>
        </w:rPr>
        <w:t xml:space="preserve">2. </w:t>
      </w:r>
      <w:r w:rsidRPr="00FA1890">
        <w:rPr>
          <w:rFonts w:eastAsia="Arial"/>
          <w:lang w:val="et-EE"/>
        </w:rPr>
        <w:t>Riskide hindamine</w:t>
      </w:r>
    </w:p>
    <w:sectPr w:rsidR="00527E1F" w:rsidSect="00EA201A">
      <w:footerReference w:type="default" r:id="rId20"/>
      <w:pgSz w:w="11907" w:h="16840" w:code="9"/>
      <w:pgMar w:top="1417" w:right="567" w:bottom="141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BF70" w14:textId="77777777" w:rsidR="00D60BD0" w:rsidRDefault="00D60BD0">
      <w:r>
        <w:separator/>
      </w:r>
    </w:p>
  </w:endnote>
  <w:endnote w:type="continuationSeparator" w:id="0">
    <w:p w14:paraId="1B499849" w14:textId="77777777" w:rsidR="00D60BD0" w:rsidRDefault="00D60BD0">
      <w:r>
        <w:continuationSeparator/>
      </w:r>
    </w:p>
  </w:endnote>
  <w:endnote w:type="continuationNotice" w:id="1">
    <w:p w14:paraId="21B8F7C1" w14:textId="77777777" w:rsidR="00D60BD0" w:rsidRDefault="00D60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4C8E" w14:textId="35C618AF" w:rsidR="00285A56" w:rsidRDefault="00285A56" w:rsidP="00EA201A">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80B11">
      <w:rPr>
        <w:rStyle w:val="Lehekljenumber"/>
        <w:noProof/>
      </w:rPr>
      <w:t>2</w:t>
    </w:r>
    <w:r>
      <w:rPr>
        <w:rStyle w:val="Lehekljenumber"/>
      </w:rPr>
      <w:fldChar w:fldCharType="end"/>
    </w:r>
  </w:p>
  <w:p w14:paraId="5F91E715" w14:textId="77777777" w:rsidR="00285A56" w:rsidRDefault="00285A56" w:rsidP="00EA201A">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2182" w14:textId="77777777" w:rsidR="00D60BD0" w:rsidRDefault="00D60BD0">
      <w:r>
        <w:separator/>
      </w:r>
    </w:p>
  </w:footnote>
  <w:footnote w:type="continuationSeparator" w:id="0">
    <w:p w14:paraId="70B5D803" w14:textId="77777777" w:rsidR="00D60BD0" w:rsidRDefault="00D60BD0">
      <w:r>
        <w:continuationSeparator/>
      </w:r>
    </w:p>
  </w:footnote>
  <w:footnote w:type="continuationNotice" w:id="1">
    <w:p w14:paraId="51EFF496" w14:textId="77777777" w:rsidR="00D60BD0" w:rsidRDefault="00D60BD0"/>
  </w:footnote>
  <w:footnote w:id="2">
    <w:p w14:paraId="69AC3139" w14:textId="0F662CBE" w:rsidR="009A6095" w:rsidRPr="009A6095" w:rsidRDefault="009A6095">
      <w:pPr>
        <w:pStyle w:val="Allmrkusetekst"/>
        <w:rPr>
          <w:lang w:val="et-EE"/>
        </w:rPr>
      </w:pPr>
      <w:r>
        <w:rPr>
          <w:rStyle w:val="Allmrkuseviide"/>
        </w:rPr>
        <w:footnoteRef/>
      </w:r>
      <w:r>
        <w:t xml:space="preserve"> </w:t>
      </w:r>
      <w:r w:rsidR="00720E5E" w:rsidRPr="00720E5E">
        <w:t>Kliimapoliitika põhialused (2023 uuendustega)</w:t>
      </w:r>
      <w:r w:rsidR="00720E5E">
        <w:t xml:space="preserve"> </w:t>
      </w:r>
      <w:hyperlink r:id="rId1" w:history="1">
        <w:r w:rsidR="00BF0819" w:rsidRPr="00EF17AC">
          <w:rPr>
            <w:rStyle w:val="Hperlink"/>
          </w:rPr>
          <w:t>https://envir.ee/media/9407/download</w:t>
        </w:r>
      </w:hyperlink>
      <w:r w:rsidR="00536A72">
        <w:t xml:space="preserve">, </w:t>
      </w:r>
      <w:r w:rsidR="00536A72" w:rsidRPr="00536A72">
        <w:t>09.02.2023</w:t>
      </w:r>
    </w:p>
  </w:footnote>
  <w:footnote w:id="3">
    <w:p w14:paraId="0F701313" w14:textId="30A0C950" w:rsidR="00FD6520" w:rsidRPr="00FD6520" w:rsidRDefault="00FD6520">
      <w:pPr>
        <w:pStyle w:val="Allmrkusetekst"/>
        <w:rPr>
          <w:lang w:val="et-EE"/>
        </w:rPr>
      </w:pPr>
      <w:r>
        <w:rPr>
          <w:rStyle w:val="Allmrkuseviide"/>
        </w:rPr>
        <w:footnoteRef/>
      </w:r>
      <w:r w:rsidRPr="00E251E6">
        <w:rPr>
          <w:lang w:val="et-EE"/>
        </w:rPr>
        <w:t xml:space="preserve"> </w:t>
      </w:r>
      <w:r w:rsidR="009A6095" w:rsidRPr="00E251E6">
        <w:rPr>
          <w:lang w:val="et-EE"/>
        </w:rPr>
        <w:t xml:space="preserve">Kliimapoliitika põhialuste seletuskiri </w:t>
      </w:r>
      <w:hyperlink r:id="rId2" w:history="1">
        <w:r w:rsidR="00BF0819" w:rsidRPr="00E251E6">
          <w:rPr>
            <w:rStyle w:val="Hperlink"/>
            <w:lang w:val="et-EE"/>
          </w:rPr>
          <w:t>https://envir.ee/media/885/download</w:t>
        </w:r>
      </w:hyperlink>
      <w:r w:rsidR="00536A72">
        <w:rPr>
          <w:lang w:val="et-EE"/>
        </w:rPr>
        <w:t xml:space="preserve">, </w:t>
      </w:r>
      <w:r w:rsidR="00536A72" w:rsidRPr="00536A72">
        <w:rPr>
          <w:lang w:val="et-EE"/>
        </w:rPr>
        <w:t>09.02.2023</w:t>
      </w:r>
    </w:p>
  </w:footnote>
  <w:footnote w:id="4">
    <w:p w14:paraId="0BFCDB0D" w14:textId="77777777" w:rsidR="00C64ED1" w:rsidRPr="003E191C" w:rsidRDefault="00C64ED1" w:rsidP="00C64ED1">
      <w:pPr>
        <w:pStyle w:val="Allmrkusetekst"/>
        <w:rPr>
          <w:lang w:val="et-EE"/>
        </w:rPr>
      </w:pPr>
      <w:r w:rsidRPr="003E191C">
        <w:rPr>
          <w:rStyle w:val="Allmrkuseviide"/>
          <w:lang w:val="et-EE"/>
        </w:rPr>
        <w:footnoteRef/>
      </w:r>
      <w:r w:rsidRPr="003E191C">
        <w:rPr>
          <w:lang w:val="et-EE"/>
        </w:rPr>
        <w:t xml:space="preserve"> See stsenaarium näeb ette sektori sulgemise aastaks 2035.</w:t>
      </w:r>
    </w:p>
  </w:footnote>
  <w:footnote w:id="5">
    <w:p w14:paraId="3D94B6DB" w14:textId="55E2B6FA" w:rsidR="009F5901" w:rsidRPr="009F5901" w:rsidRDefault="009F5901">
      <w:pPr>
        <w:pStyle w:val="Allmrkusetekst"/>
        <w:rPr>
          <w:lang w:val="et-EE"/>
        </w:rPr>
      </w:pPr>
      <w:r>
        <w:rPr>
          <w:rStyle w:val="Allmrkuseviide"/>
        </w:rPr>
        <w:footnoteRef/>
      </w:r>
      <w:r w:rsidRPr="009B14CD">
        <w:rPr>
          <w:lang w:val="pt-PT"/>
        </w:rPr>
        <w:t xml:space="preserve"> </w:t>
      </w:r>
      <w:r>
        <w:rPr>
          <w:lang w:val="et-EE"/>
        </w:rPr>
        <w:t xml:space="preserve">Haridus- ja teadusministri </w:t>
      </w:r>
      <w:r w:rsidRPr="009B14CD">
        <w:rPr>
          <w:lang w:val="pt-PT"/>
        </w:rPr>
        <w:t xml:space="preserve">14.06.2022 </w:t>
      </w:r>
      <w:r w:rsidR="00A43555" w:rsidRPr="009B14CD">
        <w:rPr>
          <w:lang w:val="pt-PT"/>
        </w:rPr>
        <w:t xml:space="preserve">käskkiri </w:t>
      </w:r>
      <w:r w:rsidRPr="009B14CD">
        <w:rPr>
          <w:lang w:val="pt-PT"/>
        </w:rPr>
        <w:t>nr 1.1-2/22/174</w:t>
      </w:r>
      <w:r w:rsidR="00A43555" w:rsidRPr="009B14CD">
        <w:rPr>
          <w:lang w:val="pt-PT"/>
        </w:rPr>
        <w:t>.</w:t>
      </w:r>
    </w:p>
  </w:footnote>
  <w:footnote w:id="6">
    <w:p w14:paraId="508364B3" w14:textId="065C9A41" w:rsidR="00020F84" w:rsidRPr="004829B2" w:rsidRDefault="00020F84" w:rsidP="00020F84">
      <w:pPr>
        <w:pStyle w:val="Allmrkusetekst"/>
        <w:jc w:val="both"/>
        <w:rPr>
          <w:lang w:val="et-EE"/>
        </w:rPr>
      </w:pPr>
      <w:r>
        <w:rPr>
          <w:rStyle w:val="Allmrkuseviide"/>
        </w:rPr>
        <w:footnoteRef/>
      </w:r>
      <w:r w:rsidRPr="00C85368">
        <w:rPr>
          <w:lang w:val="et-EE"/>
        </w:rPr>
        <w:t xml:space="preserve"> </w:t>
      </w:r>
      <w:r w:rsidRPr="00732149">
        <w:rPr>
          <w:lang w:val="et-EE"/>
        </w:rPr>
        <w:t>Meetme</w:t>
      </w:r>
      <w:r w:rsidR="00A25E1F" w:rsidRPr="00732149">
        <w:rPr>
          <w:lang w:val="et-EE"/>
        </w:rPr>
        <w:t xml:space="preserve"> kasutajate</w:t>
      </w:r>
      <w:r w:rsidRPr="004829B2">
        <w:rPr>
          <w:lang w:val="et-EE"/>
        </w:rPr>
        <w:t xml:space="preserve"> (sh eelkõige tööle asumise toetusega tööle</w:t>
      </w:r>
      <w:r>
        <w:rPr>
          <w:lang w:val="et-EE"/>
        </w:rPr>
        <w:t xml:space="preserve"> </w:t>
      </w:r>
      <w:r w:rsidRPr="004829B2">
        <w:rPr>
          <w:lang w:val="et-EE"/>
        </w:rPr>
        <w:t xml:space="preserve">asujate) arvu mõjutab see, kas ja millises tempos toimub põlevkivisektori üleminek. </w:t>
      </w:r>
      <w:r>
        <w:rPr>
          <w:lang w:val="et-EE"/>
        </w:rPr>
        <w:t>S</w:t>
      </w:r>
      <w:r w:rsidRPr="004829B2">
        <w:rPr>
          <w:lang w:val="et-EE"/>
        </w:rPr>
        <w:t>eda mõjutavad omakorda oluliselt Euroopa Liidu (ELi kliimaambitsioonid, kvoodikauplemine, süsinikumaks) ja maailmaturu (nafta hind) arengu</w:t>
      </w:r>
      <w:r w:rsidR="00E044F9">
        <w:rPr>
          <w:lang w:val="et-EE"/>
        </w:rPr>
        <w:t>suuna</w:t>
      </w:r>
      <w:r w:rsidRPr="004829B2">
        <w:rPr>
          <w:lang w:val="et-EE"/>
        </w:rPr>
        <w:t>d, mida on raske ennustada</w:t>
      </w:r>
      <w:r>
        <w:rPr>
          <w:lang w:val="et-EE"/>
        </w:rPr>
        <w:t>.</w:t>
      </w:r>
    </w:p>
  </w:footnote>
  <w:footnote w:id="7">
    <w:p w14:paraId="24ACD2A6" w14:textId="7A61A6DE" w:rsidR="004C0D18" w:rsidRPr="004A0FA6" w:rsidRDefault="004C0D18">
      <w:pPr>
        <w:pStyle w:val="Allmrkusetekst"/>
        <w:rPr>
          <w:lang w:val="et-EE"/>
        </w:rPr>
      </w:pPr>
      <w:r>
        <w:rPr>
          <w:rStyle w:val="Allmrkuseviide"/>
        </w:rPr>
        <w:footnoteRef/>
      </w:r>
      <w:r>
        <w:t xml:space="preserve"> </w:t>
      </w:r>
      <w:r>
        <w:rPr>
          <w:lang w:val="et-EE"/>
        </w:rPr>
        <w:t xml:space="preserve">Eesti Töötukassa (2020). Töötust ennetavad meetmed. Veebilehel: </w:t>
      </w:r>
      <w:r w:rsidRPr="004C0D18">
        <w:rPr>
          <w:lang w:val="et-EE"/>
        </w:rPr>
        <w:t>https://www.tootukassa.ee/web/sites/default/files/2022-01/tootust_ennetavate_meetmete_analuus_loplik.pdf</w:t>
      </w:r>
      <w:r w:rsidR="00A25F22">
        <w:rPr>
          <w:lang w:val="et-EE"/>
        </w:rPr>
        <w:t>.</w:t>
      </w:r>
    </w:p>
  </w:footnote>
  <w:footnote w:id="8">
    <w:p w14:paraId="7324CAFE" w14:textId="3D77F0F3" w:rsidR="004C37DA" w:rsidRPr="004C37DA" w:rsidRDefault="004C37DA">
      <w:pPr>
        <w:pStyle w:val="Allmrkusetekst"/>
        <w:rPr>
          <w:lang w:val="et-EE"/>
        </w:rPr>
      </w:pPr>
      <w:r>
        <w:rPr>
          <w:rStyle w:val="Allmrkuseviide"/>
        </w:rPr>
        <w:footnoteRef/>
      </w:r>
      <w:r w:rsidRPr="007F06FA">
        <w:rPr>
          <w:lang w:val="et-EE"/>
        </w:rPr>
        <w:t xml:space="preserve"> https://www.praxis.ee/wp-content/uploads/2020/12/Lopparuanne_Polevkivitoostuse-kahanemise-mojud.pdf</w:t>
      </w:r>
      <w:r w:rsidR="0021724A" w:rsidRPr="007F06FA">
        <w:rPr>
          <w:lang w:val="et-EE"/>
        </w:rPr>
        <w:t>.</w:t>
      </w:r>
    </w:p>
  </w:footnote>
  <w:footnote w:id="9">
    <w:p w14:paraId="6E2EF240" w14:textId="217EE9E1" w:rsidR="00E071BD" w:rsidRPr="00C71AFE" w:rsidRDefault="00E071BD">
      <w:pPr>
        <w:pStyle w:val="Allmrkusetekst"/>
        <w:rPr>
          <w:lang w:val="et-EE"/>
        </w:rPr>
      </w:pPr>
      <w:r>
        <w:rPr>
          <w:rStyle w:val="Allmrkuseviide"/>
        </w:rPr>
        <w:footnoteRef/>
      </w:r>
      <w:r>
        <w:t xml:space="preserve"> </w:t>
      </w:r>
      <w:r>
        <w:rPr>
          <w:lang w:val="et-EE"/>
        </w:rPr>
        <w:t>Ibid.</w:t>
      </w:r>
    </w:p>
  </w:footnote>
  <w:footnote w:id="10">
    <w:p w14:paraId="13FEB7AD" w14:textId="53E3495D" w:rsidR="004C37DA" w:rsidRPr="004C37DA" w:rsidRDefault="004C37DA">
      <w:pPr>
        <w:pStyle w:val="Allmrkusetekst"/>
        <w:rPr>
          <w:lang w:val="et-EE"/>
        </w:rPr>
      </w:pPr>
      <w:r>
        <w:rPr>
          <w:rStyle w:val="Allmrkuseviide"/>
        </w:rPr>
        <w:footnoteRef/>
      </w:r>
      <w:r w:rsidRPr="007F06FA">
        <w:rPr>
          <w:lang w:val="et-EE"/>
        </w:rPr>
        <w:t xml:space="preserve"> https://www.praxis.ee/wp-content/uploads/2020/12/Lopparuanne_Polevkivitoostuse-kahanemise-mojud.pdf</w:t>
      </w:r>
      <w:r w:rsidR="0021724A" w:rsidRPr="007F06FA">
        <w:rPr>
          <w:lang w:val="et-E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37B"/>
    <w:multiLevelType w:val="hybridMultilevel"/>
    <w:tmpl w:val="BE30CD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B33FB5"/>
    <w:multiLevelType w:val="multilevel"/>
    <w:tmpl w:val="9460C24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5025416"/>
    <w:multiLevelType w:val="hybridMultilevel"/>
    <w:tmpl w:val="D48A3E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4E1761"/>
    <w:multiLevelType w:val="multilevel"/>
    <w:tmpl w:val="303E26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91431B8"/>
    <w:multiLevelType w:val="hybridMultilevel"/>
    <w:tmpl w:val="31AAA31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5" w15:restartNumberingAfterBreak="0">
    <w:nsid w:val="2BB02EEC"/>
    <w:multiLevelType w:val="hybridMultilevel"/>
    <w:tmpl w:val="C30C2E70"/>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AA80BC1"/>
    <w:multiLevelType w:val="hybridMultilevel"/>
    <w:tmpl w:val="95763694"/>
    <w:lvl w:ilvl="0" w:tplc="0425000F">
      <w:start w:val="1"/>
      <w:numFmt w:val="decimal"/>
      <w:lvlText w:val="%1."/>
      <w:lvlJc w:val="left"/>
      <w:pPr>
        <w:ind w:left="360" w:hanging="360"/>
      </w:p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7" w15:restartNumberingAfterBreak="0">
    <w:nsid w:val="3F60746E"/>
    <w:multiLevelType w:val="hybridMultilevel"/>
    <w:tmpl w:val="6742B96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985045"/>
    <w:multiLevelType w:val="hybridMultilevel"/>
    <w:tmpl w:val="6742B960"/>
    <w:lvl w:ilvl="0" w:tplc="6044A44C">
      <w:start w:val="1"/>
      <w:numFmt w:val="decimal"/>
      <w:lvlText w:val="%1)"/>
      <w:lvlJc w:val="left"/>
      <w:pPr>
        <w:ind w:left="720" w:hanging="360"/>
      </w:pPr>
      <w:rPr>
        <w:rFonts w:ascii="Arial" w:eastAsia="Times New Roman"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95634C8"/>
    <w:multiLevelType w:val="hybridMultilevel"/>
    <w:tmpl w:val="8D2EC6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9CD77D4"/>
    <w:multiLevelType w:val="hybridMultilevel"/>
    <w:tmpl w:val="5E1CE632"/>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920C7"/>
    <w:multiLevelType w:val="hybridMultilevel"/>
    <w:tmpl w:val="00A4E2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E8508B8"/>
    <w:multiLevelType w:val="hybridMultilevel"/>
    <w:tmpl w:val="C46E2B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4C0110D"/>
    <w:multiLevelType w:val="hybridMultilevel"/>
    <w:tmpl w:val="C18EE3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6D87194"/>
    <w:multiLevelType w:val="hybridMultilevel"/>
    <w:tmpl w:val="29061A1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5" w15:restartNumberingAfterBreak="0">
    <w:nsid w:val="5FA16951"/>
    <w:multiLevelType w:val="hybridMultilevel"/>
    <w:tmpl w:val="3246135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74BE6A70"/>
    <w:multiLevelType w:val="hybridMultilevel"/>
    <w:tmpl w:val="FFBA4E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7346071"/>
    <w:multiLevelType w:val="hybridMultilevel"/>
    <w:tmpl w:val="DC36B628"/>
    <w:lvl w:ilvl="0" w:tplc="0D606E0A">
      <w:numFmt w:val="bullet"/>
      <w:lvlText w:val="•"/>
      <w:lvlJc w:val="left"/>
      <w:pPr>
        <w:ind w:left="720" w:hanging="720"/>
      </w:pPr>
      <w:rPr>
        <w:rFonts w:ascii="Arial" w:eastAsia="Times New Roman"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780074D8"/>
    <w:multiLevelType w:val="hybridMultilevel"/>
    <w:tmpl w:val="5BC4C5D8"/>
    <w:lvl w:ilvl="0" w:tplc="77A0DA00">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798F38FB"/>
    <w:multiLevelType w:val="multilevel"/>
    <w:tmpl w:val="8C1E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0E6F38"/>
    <w:multiLevelType w:val="hybridMultilevel"/>
    <w:tmpl w:val="0826099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4"/>
  </w:num>
  <w:num w:numId="6">
    <w:abstractNumId w:val="2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3"/>
  </w:num>
  <w:num w:numId="14">
    <w:abstractNumId w:val="1"/>
  </w:num>
  <w:num w:numId="15">
    <w:abstractNumId w:val="18"/>
  </w:num>
  <w:num w:numId="16">
    <w:abstractNumId w:val="6"/>
  </w:num>
  <w:num w:numId="17">
    <w:abstractNumId w:val="8"/>
  </w:num>
  <w:num w:numId="18">
    <w:abstractNumId w:val="7"/>
  </w:num>
  <w:num w:numId="19">
    <w:abstractNumId w:val="5"/>
  </w:num>
  <w:num w:numId="20">
    <w:abstractNumId w:val="9"/>
  </w:num>
  <w:num w:numId="21">
    <w:abstractNumId w:val="16"/>
  </w:num>
  <w:num w:numId="22">
    <w:abstractNumId w:val="2"/>
  </w:num>
  <w:num w:numId="23">
    <w:abstractNumId w:val="0"/>
  </w:num>
  <w:num w:numId="24">
    <w:abstractNumId w:val="11"/>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B0"/>
    <w:rsid w:val="000011C2"/>
    <w:rsid w:val="000038EE"/>
    <w:rsid w:val="000049C5"/>
    <w:rsid w:val="00004C3E"/>
    <w:rsid w:val="00004CFE"/>
    <w:rsid w:val="000064BE"/>
    <w:rsid w:val="000066E9"/>
    <w:rsid w:val="00007670"/>
    <w:rsid w:val="00010C70"/>
    <w:rsid w:val="000119A3"/>
    <w:rsid w:val="00012A51"/>
    <w:rsid w:val="00012C8A"/>
    <w:rsid w:val="00014058"/>
    <w:rsid w:val="00016F5F"/>
    <w:rsid w:val="00017D8A"/>
    <w:rsid w:val="00020613"/>
    <w:rsid w:val="00020F84"/>
    <w:rsid w:val="00021014"/>
    <w:rsid w:val="000220CB"/>
    <w:rsid w:val="000222D3"/>
    <w:rsid w:val="00022547"/>
    <w:rsid w:val="0002374A"/>
    <w:rsid w:val="00023BCB"/>
    <w:rsid w:val="00024708"/>
    <w:rsid w:val="000262AB"/>
    <w:rsid w:val="00027F50"/>
    <w:rsid w:val="00030502"/>
    <w:rsid w:val="00031E6F"/>
    <w:rsid w:val="000330E0"/>
    <w:rsid w:val="000331F6"/>
    <w:rsid w:val="0003475B"/>
    <w:rsid w:val="000350D0"/>
    <w:rsid w:val="00035CDB"/>
    <w:rsid w:val="00035DDC"/>
    <w:rsid w:val="00035E80"/>
    <w:rsid w:val="00036590"/>
    <w:rsid w:val="000369EC"/>
    <w:rsid w:val="0003744B"/>
    <w:rsid w:val="00041166"/>
    <w:rsid w:val="00043AF0"/>
    <w:rsid w:val="00044EF9"/>
    <w:rsid w:val="00052E82"/>
    <w:rsid w:val="00055721"/>
    <w:rsid w:val="00056046"/>
    <w:rsid w:val="00060BD4"/>
    <w:rsid w:val="00061AD7"/>
    <w:rsid w:val="00062C0E"/>
    <w:rsid w:val="000632C5"/>
    <w:rsid w:val="00063796"/>
    <w:rsid w:val="00064828"/>
    <w:rsid w:val="00064983"/>
    <w:rsid w:val="0006621C"/>
    <w:rsid w:val="000678F2"/>
    <w:rsid w:val="0007037A"/>
    <w:rsid w:val="00070AB0"/>
    <w:rsid w:val="0007263A"/>
    <w:rsid w:val="00075F42"/>
    <w:rsid w:val="00076150"/>
    <w:rsid w:val="00076624"/>
    <w:rsid w:val="00076723"/>
    <w:rsid w:val="0008226F"/>
    <w:rsid w:val="0008276D"/>
    <w:rsid w:val="00082989"/>
    <w:rsid w:val="0008305C"/>
    <w:rsid w:val="00083189"/>
    <w:rsid w:val="00085D78"/>
    <w:rsid w:val="0008614E"/>
    <w:rsid w:val="000864B2"/>
    <w:rsid w:val="00086E28"/>
    <w:rsid w:val="00086E6E"/>
    <w:rsid w:val="00086E9A"/>
    <w:rsid w:val="00087097"/>
    <w:rsid w:val="000873C6"/>
    <w:rsid w:val="000878C6"/>
    <w:rsid w:val="00090AD0"/>
    <w:rsid w:val="00091B70"/>
    <w:rsid w:val="000922BE"/>
    <w:rsid w:val="00093A13"/>
    <w:rsid w:val="0009479B"/>
    <w:rsid w:val="0009594B"/>
    <w:rsid w:val="00095DF7"/>
    <w:rsid w:val="00095FB1"/>
    <w:rsid w:val="000A04C6"/>
    <w:rsid w:val="000A3112"/>
    <w:rsid w:val="000A58CE"/>
    <w:rsid w:val="000A72A7"/>
    <w:rsid w:val="000B0E84"/>
    <w:rsid w:val="000B1CA7"/>
    <w:rsid w:val="000B272A"/>
    <w:rsid w:val="000B76D8"/>
    <w:rsid w:val="000C10DD"/>
    <w:rsid w:val="000C1CC3"/>
    <w:rsid w:val="000C2577"/>
    <w:rsid w:val="000C3657"/>
    <w:rsid w:val="000C4480"/>
    <w:rsid w:val="000C6D0A"/>
    <w:rsid w:val="000D18B5"/>
    <w:rsid w:val="000D1C79"/>
    <w:rsid w:val="000D792C"/>
    <w:rsid w:val="000D7AB6"/>
    <w:rsid w:val="000E02F6"/>
    <w:rsid w:val="000E0C8B"/>
    <w:rsid w:val="000E1122"/>
    <w:rsid w:val="000E1FE6"/>
    <w:rsid w:val="000E25E8"/>
    <w:rsid w:val="000E2960"/>
    <w:rsid w:val="000E2AF7"/>
    <w:rsid w:val="000E3B99"/>
    <w:rsid w:val="000E5824"/>
    <w:rsid w:val="000E677A"/>
    <w:rsid w:val="000F0A59"/>
    <w:rsid w:val="000F0C89"/>
    <w:rsid w:val="000F40C1"/>
    <w:rsid w:val="000F4834"/>
    <w:rsid w:val="000F6921"/>
    <w:rsid w:val="000F7BE9"/>
    <w:rsid w:val="001018DE"/>
    <w:rsid w:val="00101E1B"/>
    <w:rsid w:val="0010287D"/>
    <w:rsid w:val="001032C6"/>
    <w:rsid w:val="0010376D"/>
    <w:rsid w:val="00103E07"/>
    <w:rsid w:val="00104C0D"/>
    <w:rsid w:val="00105502"/>
    <w:rsid w:val="001058B6"/>
    <w:rsid w:val="00106D33"/>
    <w:rsid w:val="00107048"/>
    <w:rsid w:val="00113132"/>
    <w:rsid w:val="001136B7"/>
    <w:rsid w:val="00113AAD"/>
    <w:rsid w:val="00116399"/>
    <w:rsid w:val="00116BF7"/>
    <w:rsid w:val="0012129D"/>
    <w:rsid w:val="00122F61"/>
    <w:rsid w:val="00123F31"/>
    <w:rsid w:val="00124195"/>
    <w:rsid w:val="0012464F"/>
    <w:rsid w:val="00125EB7"/>
    <w:rsid w:val="001269D7"/>
    <w:rsid w:val="0013097F"/>
    <w:rsid w:val="00130EC5"/>
    <w:rsid w:val="001329EB"/>
    <w:rsid w:val="001331F8"/>
    <w:rsid w:val="00134659"/>
    <w:rsid w:val="00135AEA"/>
    <w:rsid w:val="001433C5"/>
    <w:rsid w:val="00144236"/>
    <w:rsid w:val="00144E28"/>
    <w:rsid w:val="00145CEB"/>
    <w:rsid w:val="00145F19"/>
    <w:rsid w:val="00146E11"/>
    <w:rsid w:val="00151FE3"/>
    <w:rsid w:val="001522D1"/>
    <w:rsid w:val="0015277E"/>
    <w:rsid w:val="0015285A"/>
    <w:rsid w:val="0015310A"/>
    <w:rsid w:val="00153A1D"/>
    <w:rsid w:val="00160E14"/>
    <w:rsid w:val="0016197E"/>
    <w:rsid w:val="00162517"/>
    <w:rsid w:val="00162530"/>
    <w:rsid w:val="00164B75"/>
    <w:rsid w:val="00164FB5"/>
    <w:rsid w:val="00165D43"/>
    <w:rsid w:val="00165D80"/>
    <w:rsid w:val="00166F69"/>
    <w:rsid w:val="00167C4F"/>
    <w:rsid w:val="001708F7"/>
    <w:rsid w:val="00170B65"/>
    <w:rsid w:val="001715E1"/>
    <w:rsid w:val="0017303E"/>
    <w:rsid w:val="001743BA"/>
    <w:rsid w:val="00174C73"/>
    <w:rsid w:val="0017514B"/>
    <w:rsid w:val="00175278"/>
    <w:rsid w:val="001807FB"/>
    <w:rsid w:val="00180F21"/>
    <w:rsid w:val="00181408"/>
    <w:rsid w:val="00182B9A"/>
    <w:rsid w:val="00183B8C"/>
    <w:rsid w:val="00186587"/>
    <w:rsid w:val="001903F8"/>
    <w:rsid w:val="00194FA7"/>
    <w:rsid w:val="0019636B"/>
    <w:rsid w:val="00197B15"/>
    <w:rsid w:val="001A1603"/>
    <w:rsid w:val="001A6A04"/>
    <w:rsid w:val="001A79C7"/>
    <w:rsid w:val="001B0098"/>
    <w:rsid w:val="001B104C"/>
    <w:rsid w:val="001B144A"/>
    <w:rsid w:val="001B1C8D"/>
    <w:rsid w:val="001B1F69"/>
    <w:rsid w:val="001B24E4"/>
    <w:rsid w:val="001B383B"/>
    <w:rsid w:val="001B4E61"/>
    <w:rsid w:val="001B6C01"/>
    <w:rsid w:val="001B6D92"/>
    <w:rsid w:val="001B6F9F"/>
    <w:rsid w:val="001C151B"/>
    <w:rsid w:val="001C19CA"/>
    <w:rsid w:val="001C1D86"/>
    <w:rsid w:val="001C415D"/>
    <w:rsid w:val="001C6D4B"/>
    <w:rsid w:val="001C79E6"/>
    <w:rsid w:val="001C7CFA"/>
    <w:rsid w:val="001C7EF0"/>
    <w:rsid w:val="001C7F81"/>
    <w:rsid w:val="001D0B9B"/>
    <w:rsid w:val="001D16D4"/>
    <w:rsid w:val="001D1920"/>
    <w:rsid w:val="001D248D"/>
    <w:rsid w:val="001D2BB8"/>
    <w:rsid w:val="001D3D03"/>
    <w:rsid w:val="001D5921"/>
    <w:rsid w:val="001D6207"/>
    <w:rsid w:val="001E00A6"/>
    <w:rsid w:val="001E1176"/>
    <w:rsid w:val="001E172C"/>
    <w:rsid w:val="001E20A9"/>
    <w:rsid w:val="001E3B85"/>
    <w:rsid w:val="001E4CAA"/>
    <w:rsid w:val="001E68E8"/>
    <w:rsid w:val="001E69AE"/>
    <w:rsid w:val="001E7260"/>
    <w:rsid w:val="001E7527"/>
    <w:rsid w:val="001E7F47"/>
    <w:rsid w:val="001F2193"/>
    <w:rsid w:val="001F273C"/>
    <w:rsid w:val="001F2C2C"/>
    <w:rsid w:val="001F3324"/>
    <w:rsid w:val="001F3687"/>
    <w:rsid w:val="001F38B1"/>
    <w:rsid w:val="001F5558"/>
    <w:rsid w:val="001F57B5"/>
    <w:rsid w:val="001F62F2"/>
    <w:rsid w:val="001F6694"/>
    <w:rsid w:val="001F692F"/>
    <w:rsid w:val="00200F34"/>
    <w:rsid w:val="00201379"/>
    <w:rsid w:val="002037B8"/>
    <w:rsid w:val="00203B92"/>
    <w:rsid w:val="00205343"/>
    <w:rsid w:val="00205FCF"/>
    <w:rsid w:val="00206576"/>
    <w:rsid w:val="0021067A"/>
    <w:rsid w:val="00211FD2"/>
    <w:rsid w:val="00213A05"/>
    <w:rsid w:val="002150B7"/>
    <w:rsid w:val="00216FCC"/>
    <w:rsid w:val="0021724A"/>
    <w:rsid w:val="0021764C"/>
    <w:rsid w:val="002176EA"/>
    <w:rsid w:val="0022103E"/>
    <w:rsid w:val="00221EE2"/>
    <w:rsid w:val="00222DB4"/>
    <w:rsid w:val="0022373F"/>
    <w:rsid w:val="002237C1"/>
    <w:rsid w:val="002241DC"/>
    <w:rsid w:val="002242EC"/>
    <w:rsid w:val="00225B1E"/>
    <w:rsid w:val="00227570"/>
    <w:rsid w:val="00227BE7"/>
    <w:rsid w:val="0023147E"/>
    <w:rsid w:val="002323BA"/>
    <w:rsid w:val="00232829"/>
    <w:rsid w:val="002371AB"/>
    <w:rsid w:val="00240820"/>
    <w:rsid w:val="0024087A"/>
    <w:rsid w:val="00242114"/>
    <w:rsid w:val="00245126"/>
    <w:rsid w:val="00245D97"/>
    <w:rsid w:val="00246453"/>
    <w:rsid w:val="00250195"/>
    <w:rsid w:val="00251FE2"/>
    <w:rsid w:val="002543E9"/>
    <w:rsid w:val="00257940"/>
    <w:rsid w:val="00257E86"/>
    <w:rsid w:val="00261235"/>
    <w:rsid w:val="00262C31"/>
    <w:rsid w:val="002649AE"/>
    <w:rsid w:val="0026772A"/>
    <w:rsid w:val="002705C7"/>
    <w:rsid w:val="002707C3"/>
    <w:rsid w:val="00271874"/>
    <w:rsid w:val="00271FEC"/>
    <w:rsid w:val="00271FFF"/>
    <w:rsid w:val="00272BEA"/>
    <w:rsid w:val="00272E61"/>
    <w:rsid w:val="002757B1"/>
    <w:rsid w:val="00276FAF"/>
    <w:rsid w:val="00277355"/>
    <w:rsid w:val="002804A1"/>
    <w:rsid w:val="00283936"/>
    <w:rsid w:val="002840BA"/>
    <w:rsid w:val="00285A56"/>
    <w:rsid w:val="00285B26"/>
    <w:rsid w:val="0028784C"/>
    <w:rsid w:val="002934F5"/>
    <w:rsid w:val="002953B7"/>
    <w:rsid w:val="002958D6"/>
    <w:rsid w:val="002978E7"/>
    <w:rsid w:val="002A1470"/>
    <w:rsid w:val="002A43A3"/>
    <w:rsid w:val="002A4ECA"/>
    <w:rsid w:val="002A50DB"/>
    <w:rsid w:val="002A5738"/>
    <w:rsid w:val="002A61AB"/>
    <w:rsid w:val="002A6D2F"/>
    <w:rsid w:val="002B11E8"/>
    <w:rsid w:val="002B129B"/>
    <w:rsid w:val="002B131E"/>
    <w:rsid w:val="002B18B1"/>
    <w:rsid w:val="002B3BAE"/>
    <w:rsid w:val="002B4DBF"/>
    <w:rsid w:val="002B4E31"/>
    <w:rsid w:val="002B6DC8"/>
    <w:rsid w:val="002B72E7"/>
    <w:rsid w:val="002B77B1"/>
    <w:rsid w:val="002B78E4"/>
    <w:rsid w:val="002C159C"/>
    <w:rsid w:val="002C15B7"/>
    <w:rsid w:val="002C2161"/>
    <w:rsid w:val="002C2BDA"/>
    <w:rsid w:val="002C33AC"/>
    <w:rsid w:val="002C5036"/>
    <w:rsid w:val="002C5EFE"/>
    <w:rsid w:val="002C6B2D"/>
    <w:rsid w:val="002C6FF4"/>
    <w:rsid w:val="002C7586"/>
    <w:rsid w:val="002C7AA9"/>
    <w:rsid w:val="002D1519"/>
    <w:rsid w:val="002D17E9"/>
    <w:rsid w:val="002D1F86"/>
    <w:rsid w:val="002D2305"/>
    <w:rsid w:val="002D6396"/>
    <w:rsid w:val="002E3609"/>
    <w:rsid w:val="002E37AB"/>
    <w:rsid w:val="002E5798"/>
    <w:rsid w:val="002E6CDD"/>
    <w:rsid w:val="002E709E"/>
    <w:rsid w:val="002F29DE"/>
    <w:rsid w:val="002F2DFD"/>
    <w:rsid w:val="002F6A00"/>
    <w:rsid w:val="002F7585"/>
    <w:rsid w:val="002F7CE5"/>
    <w:rsid w:val="003002B4"/>
    <w:rsid w:val="00300791"/>
    <w:rsid w:val="00300E64"/>
    <w:rsid w:val="00301049"/>
    <w:rsid w:val="003015B5"/>
    <w:rsid w:val="00301A50"/>
    <w:rsid w:val="00302969"/>
    <w:rsid w:val="00303FCD"/>
    <w:rsid w:val="0030522E"/>
    <w:rsid w:val="00305E5A"/>
    <w:rsid w:val="003069CA"/>
    <w:rsid w:val="003079B4"/>
    <w:rsid w:val="00310E96"/>
    <w:rsid w:val="00312ACC"/>
    <w:rsid w:val="003134E7"/>
    <w:rsid w:val="003135D4"/>
    <w:rsid w:val="00314503"/>
    <w:rsid w:val="00317FD6"/>
    <w:rsid w:val="003200BE"/>
    <w:rsid w:val="00324646"/>
    <w:rsid w:val="0032516A"/>
    <w:rsid w:val="00326066"/>
    <w:rsid w:val="003267F8"/>
    <w:rsid w:val="0033005D"/>
    <w:rsid w:val="00330518"/>
    <w:rsid w:val="00330631"/>
    <w:rsid w:val="00331625"/>
    <w:rsid w:val="00331D9C"/>
    <w:rsid w:val="003349CB"/>
    <w:rsid w:val="00336287"/>
    <w:rsid w:val="00336A07"/>
    <w:rsid w:val="00337035"/>
    <w:rsid w:val="00337425"/>
    <w:rsid w:val="003413F6"/>
    <w:rsid w:val="00341EBB"/>
    <w:rsid w:val="00342B16"/>
    <w:rsid w:val="00343502"/>
    <w:rsid w:val="0034374C"/>
    <w:rsid w:val="0034615F"/>
    <w:rsid w:val="00347D97"/>
    <w:rsid w:val="00351CD4"/>
    <w:rsid w:val="00352E5E"/>
    <w:rsid w:val="00352E7B"/>
    <w:rsid w:val="00352F3C"/>
    <w:rsid w:val="00354703"/>
    <w:rsid w:val="00355335"/>
    <w:rsid w:val="00355EFB"/>
    <w:rsid w:val="00357792"/>
    <w:rsid w:val="003577E8"/>
    <w:rsid w:val="00357AAB"/>
    <w:rsid w:val="00360A12"/>
    <w:rsid w:val="003611A1"/>
    <w:rsid w:val="00362363"/>
    <w:rsid w:val="003625D6"/>
    <w:rsid w:val="00362E50"/>
    <w:rsid w:val="003633D1"/>
    <w:rsid w:val="00364FA9"/>
    <w:rsid w:val="003665D6"/>
    <w:rsid w:val="00366E22"/>
    <w:rsid w:val="0037013D"/>
    <w:rsid w:val="0037053F"/>
    <w:rsid w:val="00372123"/>
    <w:rsid w:val="003726F8"/>
    <w:rsid w:val="0037340F"/>
    <w:rsid w:val="003739BF"/>
    <w:rsid w:val="00374378"/>
    <w:rsid w:val="0037498A"/>
    <w:rsid w:val="00374EEB"/>
    <w:rsid w:val="00375A69"/>
    <w:rsid w:val="0037736D"/>
    <w:rsid w:val="0037770E"/>
    <w:rsid w:val="003806BE"/>
    <w:rsid w:val="00381936"/>
    <w:rsid w:val="0038271E"/>
    <w:rsid w:val="00382D55"/>
    <w:rsid w:val="00383609"/>
    <w:rsid w:val="00383E81"/>
    <w:rsid w:val="00386AFF"/>
    <w:rsid w:val="00386E1E"/>
    <w:rsid w:val="00386F6C"/>
    <w:rsid w:val="00391E83"/>
    <w:rsid w:val="003936EF"/>
    <w:rsid w:val="00394E40"/>
    <w:rsid w:val="00394FDE"/>
    <w:rsid w:val="00395792"/>
    <w:rsid w:val="003A03C9"/>
    <w:rsid w:val="003A140A"/>
    <w:rsid w:val="003A288B"/>
    <w:rsid w:val="003A7043"/>
    <w:rsid w:val="003A76CC"/>
    <w:rsid w:val="003A7948"/>
    <w:rsid w:val="003B0E6D"/>
    <w:rsid w:val="003B1041"/>
    <w:rsid w:val="003B1CA4"/>
    <w:rsid w:val="003B2FC0"/>
    <w:rsid w:val="003B33C7"/>
    <w:rsid w:val="003B73EA"/>
    <w:rsid w:val="003C00E3"/>
    <w:rsid w:val="003C12CA"/>
    <w:rsid w:val="003C148E"/>
    <w:rsid w:val="003C1B61"/>
    <w:rsid w:val="003D20C2"/>
    <w:rsid w:val="003D37F0"/>
    <w:rsid w:val="003D4852"/>
    <w:rsid w:val="003D575D"/>
    <w:rsid w:val="003D68AF"/>
    <w:rsid w:val="003D6E98"/>
    <w:rsid w:val="003D756F"/>
    <w:rsid w:val="003D7BDC"/>
    <w:rsid w:val="003D7C04"/>
    <w:rsid w:val="003E191C"/>
    <w:rsid w:val="003E3947"/>
    <w:rsid w:val="003E3E53"/>
    <w:rsid w:val="003E4489"/>
    <w:rsid w:val="003E52AF"/>
    <w:rsid w:val="003E7CDA"/>
    <w:rsid w:val="003F153E"/>
    <w:rsid w:val="003F4823"/>
    <w:rsid w:val="003F5633"/>
    <w:rsid w:val="003F5759"/>
    <w:rsid w:val="003F5AC7"/>
    <w:rsid w:val="003F60DD"/>
    <w:rsid w:val="003F6709"/>
    <w:rsid w:val="003F6A3A"/>
    <w:rsid w:val="003F7DF6"/>
    <w:rsid w:val="004010C3"/>
    <w:rsid w:val="004024EE"/>
    <w:rsid w:val="004025A0"/>
    <w:rsid w:val="004034F3"/>
    <w:rsid w:val="0040427C"/>
    <w:rsid w:val="00404A07"/>
    <w:rsid w:val="004055E5"/>
    <w:rsid w:val="0040630A"/>
    <w:rsid w:val="00407AA4"/>
    <w:rsid w:val="00412375"/>
    <w:rsid w:val="00412D8E"/>
    <w:rsid w:val="00413AA8"/>
    <w:rsid w:val="00413B9D"/>
    <w:rsid w:val="0041673B"/>
    <w:rsid w:val="004173F1"/>
    <w:rsid w:val="004174A5"/>
    <w:rsid w:val="00421D6A"/>
    <w:rsid w:val="0042214B"/>
    <w:rsid w:val="00423B1C"/>
    <w:rsid w:val="0042579A"/>
    <w:rsid w:val="00425A91"/>
    <w:rsid w:val="00425F8D"/>
    <w:rsid w:val="00427305"/>
    <w:rsid w:val="00430531"/>
    <w:rsid w:val="0043071D"/>
    <w:rsid w:val="00432DE8"/>
    <w:rsid w:val="00434D40"/>
    <w:rsid w:val="00435946"/>
    <w:rsid w:val="00436057"/>
    <w:rsid w:val="004360EF"/>
    <w:rsid w:val="00436EAE"/>
    <w:rsid w:val="004373E2"/>
    <w:rsid w:val="004375E0"/>
    <w:rsid w:val="00437D5B"/>
    <w:rsid w:val="00440F01"/>
    <w:rsid w:val="00441CFA"/>
    <w:rsid w:val="00443242"/>
    <w:rsid w:val="004448B5"/>
    <w:rsid w:val="00444AD2"/>
    <w:rsid w:val="004458E8"/>
    <w:rsid w:val="00445A4F"/>
    <w:rsid w:val="00445B30"/>
    <w:rsid w:val="00445D18"/>
    <w:rsid w:val="004470F7"/>
    <w:rsid w:val="0045171E"/>
    <w:rsid w:val="004544F3"/>
    <w:rsid w:val="0045753A"/>
    <w:rsid w:val="00461734"/>
    <w:rsid w:val="00462B0A"/>
    <w:rsid w:val="0046371B"/>
    <w:rsid w:val="00464FE6"/>
    <w:rsid w:val="00466397"/>
    <w:rsid w:val="00466B0E"/>
    <w:rsid w:val="00466BFD"/>
    <w:rsid w:val="00467625"/>
    <w:rsid w:val="00470DAA"/>
    <w:rsid w:val="00470DCA"/>
    <w:rsid w:val="0047108F"/>
    <w:rsid w:val="004732C9"/>
    <w:rsid w:val="004744C8"/>
    <w:rsid w:val="0047483A"/>
    <w:rsid w:val="004756D6"/>
    <w:rsid w:val="0047614A"/>
    <w:rsid w:val="00476153"/>
    <w:rsid w:val="00476A99"/>
    <w:rsid w:val="0047740D"/>
    <w:rsid w:val="0047766C"/>
    <w:rsid w:val="00480AE9"/>
    <w:rsid w:val="00480B11"/>
    <w:rsid w:val="00481DBD"/>
    <w:rsid w:val="004829B2"/>
    <w:rsid w:val="00483003"/>
    <w:rsid w:val="0048452A"/>
    <w:rsid w:val="00486DDD"/>
    <w:rsid w:val="004872D8"/>
    <w:rsid w:val="00487CC5"/>
    <w:rsid w:val="00487DF0"/>
    <w:rsid w:val="00491576"/>
    <w:rsid w:val="004918B9"/>
    <w:rsid w:val="00491CE4"/>
    <w:rsid w:val="00492877"/>
    <w:rsid w:val="004931FB"/>
    <w:rsid w:val="00493FE2"/>
    <w:rsid w:val="004956D3"/>
    <w:rsid w:val="004969A2"/>
    <w:rsid w:val="00496AC5"/>
    <w:rsid w:val="00497CB9"/>
    <w:rsid w:val="004A0BAF"/>
    <w:rsid w:val="004A0FA6"/>
    <w:rsid w:val="004B08E4"/>
    <w:rsid w:val="004B2FD2"/>
    <w:rsid w:val="004B3CF6"/>
    <w:rsid w:val="004B426C"/>
    <w:rsid w:val="004B5693"/>
    <w:rsid w:val="004B65DD"/>
    <w:rsid w:val="004B70F5"/>
    <w:rsid w:val="004B7156"/>
    <w:rsid w:val="004B7A15"/>
    <w:rsid w:val="004C03F4"/>
    <w:rsid w:val="004C0D18"/>
    <w:rsid w:val="004C2160"/>
    <w:rsid w:val="004C2A6E"/>
    <w:rsid w:val="004C37DA"/>
    <w:rsid w:val="004C3883"/>
    <w:rsid w:val="004C3A56"/>
    <w:rsid w:val="004C4005"/>
    <w:rsid w:val="004C4989"/>
    <w:rsid w:val="004C6697"/>
    <w:rsid w:val="004D0FCB"/>
    <w:rsid w:val="004D169C"/>
    <w:rsid w:val="004D1D74"/>
    <w:rsid w:val="004D2F08"/>
    <w:rsid w:val="004D31B3"/>
    <w:rsid w:val="004D3CB5"/>
    <w:rsid w:val="004D430D"/>
    <w:rsid w:val="004D45C4"/>
    <w:rsid w:val="004D534B"/>
    <w:rsid w:val="004D5F2C"/>
    <w:rsid w:val="004D7F6D"/>
    <w:rsid w:val="004E0A67"/>
    <w:rsid w:val="004E1AF7"/>
    <w:rsid w:val="004E1E68"/>
    <w:rsid w:val="004E2047"/>
    <w:rsid w:val="004E21D0"/>
    <w:rsid w:val="004E37AC"/>
    <w:rsid w:val="004E3C98"/>
    <w:rsid w:val="004E4EC7"/>
    <w:rsid w:val="004E52DF"/>
    <w:rsid w:val="004E5994"/>
    <w:rsid w:val="004E6401"/>
    <w:rsid w:val="004E64C7"/>
    <w:rsid w:val="004E6CB0"/>
    <w:rsid w:val="004F0FB8"/>
    <w:rsid w:val="004F1123"/>
    <w:rsid w:val="004F171F"/>
    <w:rsid w:val="004F23AE"/>
    <w:rsid w:val="004F287A"/>
    <w:rsid w:val="00501418"/>
    <w:rsid w:val="00504D72"/>
    <w:rsid w:val="00507204"/>
    <w:rsid w:val="005074F0"/>
    <w:rsid w:val="00507E0C"/>
    <w:rsid w:val="0051071C"/>
    <w:rsid w:val="00510BD5"/>
    <w:rsid w:val="005110D6"/>
    <w:rsid w:val="0051378F"/>
    <w:rsid w:val="005138E7"/>
    <w:rsid w:val="00514532"/>
    <w:rsid w:val="00515425"/>
    <w:rsid w:val="0051555B"/>
    <w:rsid w:val="005202DD"/>
    <w:rsid w:val="00521979"/>
    <w:rsid w:val="00522798"/>
    <w:rsid w:val="00522A4E"/>
    <w:rsid w:val="005231A7"/>
    <w:rsid w:val="00524580"/>
    <w:rsid w:val="00524D84"/>
    <w:rsid w:val="00525283"/>
    <w:rsid w:val="005268BB"/>
    <w:rsid w:val="00527E1F"/>
    <w:rsid w:val="005308DD"/>
    <w:rsid w:val="00531B21"/>
    <w:rsid w:val="00532045"/>
    <w:rsid w:val="00533044"/>
    <w:rsid w:val="005360BD"/>
    <w:rsid w:val="00536A72"/>
    <w:rsid w:val="00536E5E"/>
    <w:rsid w:val="005379B2"/>
    <w:rsid w:val="0054074F"/>
    <w:rsid w:val="00541F0C"/>
    <w:rsid w:val="005423D1"/>
    <w:rsid w:val="00543E81"/>
    <w:rsid w:val="00544256"/>
    <w:rsid w:val="005459B0"/>
    <w:rsid w:val="00545C3C"/>
    <w:rsid w:val="0055034E"/>
    <w:rsid w:val="00552956"/>
    <w:rsid w:val="00552C27"/>
    <w:rsid w:val="00552D65"/>
    <w:rsid w:val="005542AD"/>
    <w:rsid w:val="00554530"/>
    <w:rsid w:val="00555570"/>
    <w:rsid w:val="00556EE7"/>
    <w:rsid w:val="005602D7"/>
    <w:rsid w:val="00561735"/>
    <w:rsid w:val="00561B27"/>
    <w:rsid w:val="00561F91"/>
    <w:rsid w:val="00562E40"/>
    <w:rsid w:val="00565A2A"/>
    <w:rsid w:val="0056693A"/>
    <w:rsid w:val="005672A3"/>
    <w:rsid w:val="005706CF"/>
    <w:rsid w:val="0057096F"/>
    <w:rsid w:val="00570999"/>
    <w:rsid w:val="0057221D"/>
    <w:rsid w:val="005728EC"/>
    <w:rsid w:val="00572F2A"/>
    <w:rsid w:val="00573214"/>
    <w:rsid w:val="00574DE5"/>
    <w:rsid w:val="0058039B"/>
    <w:rsid w:val="00580B7C"/>
    <w:rsid w:val="00581608"/>
    <w:rsid w:val="005817A8"/>
    <w:rsid w:val="0058216C"/>
    <w:rsid w:val="0058234A"/>
    <w:rsid w:val="00584916"/>
    <w:rsid w:val="0058650E"/>
    <w:rsid w:val="00586C06"/>
    <w:rsid w:val="00586E45"/>
    <w:rsid w:val="00587648"/>
    <w:rsid w:val="00590C4F"/>
    <w:rsid w:val="00590E41"/>
    <w:rsid w:val="0059238F"/>
    <w:rsid w:val="00593529"/>
    <w:rsid w:val="005946F4"/>
    <w:rsid w:val="00597A4D"/>
    <w:rsid w:val="005A4AD8"/>
    <w:rsid w:val="005B0B17"/>
    <w:rsid w:val="005B1A5E"/>
    <w:rsid w:val="005B1F40"/>
    <w:rsid w:val="005B1F7C"/>
    <w:rsid w:val="005B3231"/>
    <w:rsid w:val="005B3A5A"/>
    <w:rsid w:val="005B76F6"/>
    <w:rsid w:val="005B7DAA"/>
    <w:rsid w:val="005C0020"/>
    <w:rsid w:val="005C053A"/>
    <w:rsid w:val="005C07D0"/>
    <w:rsid w:val="005C0BBF"/>
    <w:rsid w:val="005C15CC"/>
    <w:rsid w:val="005C3F08"/>
    <w:rsid w:val="005C4C36"/>
    <w:rsid w:val="005C5103"/>
    <w:rsid w:val="005D1621"/>
    <w:rsid w:val="005D359A"/>
    <w:rsid w:val="005D423F"/>
    <w:rsid w:val="005D52DC"/>
    <w:rsid w:val="005D73B5"/>
    <w:rsid w:val="005D79A3"/>
    <w:rsid w:val="005E04E4"/>
    <w:rsid w:val="005E0869"/>
    <w:rsid w:val="005E10FA"/>
    <w:rsid w:val="005E2151"/>
    <w:rsid w:val="005E3775"/>
    <w:rsid w:val="005E3E38"/>
    <w:rsid w:val="005E401B"/>
    <w:rsid w:val="005E52DA"/>
    <w:rsid w:val="005E5534"/>
    <w:rsid w:val="005F0CB9"/>
    <w:rsid w:val="005F0D6A"/>
    <w:rsid w:val="005F0FAC"/>
    <w:rsid w:val="005F156A"/>
    <w:rsid w:val="005F43E5"/>
    <w:rsid w:val="005F5047"/>
    <w:rsid w:val="005F50C9"/>
    <w:rsid w:val="005F6071"/>
    <w:rsid w:val="005F6E4A"/>
    <w:rsid w:val="00601476"/>
    <w:rsid w:val="006020ED"/>
    <w:rsid w:val="006023AA"/>
    <w:rsid w:val="00604F65"/>
    <w:rsid w:val="006058DB"/>
    <w:rsid w:val="00606A2D"/>
    <w:rsid w:val="0061031A"/>
    <w:rsid w:val="0061082E"/>
    <w:rsid w:val="00610B7A"/>
    <w:rsid w:val="00610DB0"/>
    <w:rsid w:val="00610EF0"/>
    <w:rsid w:val="00611899"/>
    <w:rsid w:val="006118BA"/>
    <w:rsid w:val="006118E5"/>
    <w:rsid w:val="00611FF0"/>
    <w:rsid w:val="006121C6"/>
    <w:rsid w:val="006155CB"/>
    <w:rsid w:val="00615A45"/>
    <w:rsid w:val="0061772A"/>
    <w:rsid w:val="0062240A"/>
    <w:rsid w:val="00623B0F"/>
    <w:rsid w:val="00623BC0"/>
    <w:rsid w:val="006300B2"/>
    <w:rsid w:val="006301C7"/>
    <w:rsid w:val="006310B0"/>
    <w:rsid w:val="006325E2"/>
    <w:rsid w:val="0063307A"/>
    <w:rsid w:val="00634794"/>
    <w:rsid w:val="006362E2"/>
    <w:rsid w:val="00636AD1"/>
    <w:rsid w:val="00640603"/>
    <w:rsid w:val="00640B3B"/>
    <w:rsid w:val="006422FB"/>
    <w:rsid w:val="00642DDE"/>
    <w:rsid w:val="00642E01"/>
    <w:rsid w:val="0064348B"/>
    <w:rsid w:val="006450D8"/>
    <w:rsid w:val="00646578"/>
    <w:rsid w:val="00647044"/>
    <w:rsid w:val="0064730F"/>
    <w:rsid w:val="00650226"/>
    <w:rsid w:val="00650A92"/>
    <w:rsid w:val="00651BA9"/>
    <w:rsid w:val="00656925"/>
    <w:rsid w:val="00660B8E"/>
    <w:rsid w:val="006616C9"/>
    <w:rsid w:val="00664974"/>
    <w:rsid w:val="00664FB3"/>
    <w:rsid w:val="0066647D"/>
    <w:rsid w:val="00670331"/>
    <w:rsid w:val="00671952"/>
    <w:rsid w:val="00671DD5"/>
    <w:rsid w:val="0067252E"/>
    <w:rsid w:val="006726FD"/>
    <w:rsid w:val="00673BDC"/>
    <w:rsid w:val="006741BD"/>
    <w:rsid w:val="00674A8E"/>
    <w:rsid w:val="006753C3"/>
    <w:rsid w:val="006753F6"/>
    <w:rsid w:val="00676AED"/>
    <w:rsid w:val="00676B46"/>
    <w:rsid w:val="0067780C"/>
    <w:rsid w:val="00677917"/>
    <w:rsid w:val="00677BB7"/>
    <w:rsid w:val="00680007"/>
    <w:rsid w:val="0068010B"/>
    <w:rsid w:val="00681235"/>
    <w:rsid w:val="00682FEA"/>
    <w:rsid w:val="006831A4"/>
    <w:rsid w:val="0068405B"/>
    <w:rsid w:val="00685EC5"/>
    <w:rsid w:val="0068615F"/>
    <w:rsid w:val="00686232"/>
    <w:rsid w:val="00686F39"/>
    <w:rsid w:val="006879F2"/>
    <w:rsid w:val="00690769"/>
    <w:rsid w:val="00690A1E"/>
    <w:rsid w:val="0069119A"/>
    <w:rsid w:val="0069191E"/>
    <w:rsid w:val="00691939"/>
    <w:rsid w:val="006926CA"/>
    <w:rsid w:val="00693FB1"/>
    <w:rsid w:val="006945A1"/>
    <w:rsid w:val="00694762"/>
    <w:rsid w:val="0069532E"/>
    <w:rsid w:val="00695541"/>
    <w:rsid w:val="00696B78"/>
    <w:rsid w:val="00697038"/>
    <w:rsid w:val="0069714B"/>
    <w:rsid w:val="00697DB4"/>
    <w:rsid w:val="006A0BD9"/>
    <w:rsid w:val="006A211E"/>
    <w:rsid w:val="006A2B8D"/>
    <w:rsid w:val="006A4693"/>
    <w:rsid w:val="006A7F7A"/>
    <w:rsid w:val="006B11CF"/>
    <w:rsid w:val="006B23D5"/>
    <w:rsid w:val="006B33CF"/>
    <w:rsid w:val="006B433D"/>
    <w:rsid w:val="006B53E5"/>
    <w:rsid w:val="006B5E99"/>
    <w:rsid w:val="006B7D5D"/>
    <w:rsid w:val="006C08C8"/>
    <w:rsid w:val="006C14AD"/>
    <w:rsid w:val="006C1B8B"/>
    <w:rsid w:val="006C1BF4"/>
    <w:rsid w:val="006C604D"/>
    <w:rsid w:val="006C6BBC"/>
    <w:rsid w:val="006D1AA4"/>
    <w:rsid w:val="006D4575"/>
    <w:rsid w:val="006D7E27"/>
    <w:rsid w:val="006D7E70"/>
    <w:rsid w:val="006E02C8"/>
    <w:rsid w:val="006E0EBC"/>
    <w:rsid w:val="006E13FC"/>
    <w:rsid w:val="006E176C"/>
    <w:rsid w:val="006E487C"/>
    <w:rsid w:val="006E5532"/>
    <w:rsid w:val="006F03CA"/>
    <w:rsid w:val="006F08E4"/>
    <w:rsid w:val="006F1F99"/>
    <w:rsid w:val="006F449E"/>
    <w:rsid w:val="006F4BA9"/>
    <w:rsid w:val="006F5C92"/>
    <w:rsid w:val="006F765E"/>
    <w:rsid w:val="006F7A8A"/>
    <w:rsid w:val="006F7C9A"/>
    <w:rsid w:val="007003AF"/>
    <w:rsid w:val="00700ABB"/>
    <w:rsid w:val="007028AF"/>
    <w:rsid w:val="00702F64"/>
    <w:rsid w:val="00703655"/>
    <w:rsid w:val="007041D0"/>
    <w:rsid w:val="00704D25"/>
    <w:rsid w:val="0070568F"/>
    <w:rsid w:val="00705964"/>
    <w:rsid w:val="00706271"/>
    <w:rsid w:val="00711C7C"/>
    <w:rsid w:val="00711FEE"/>
    <w:rsid w:val="00713510"/>
    <w:rsid w:val="00714795"/>
    <w:rsid w:val="0071521A"/>
    <w:rsid w:val="00716368"/>
    <w:rsid w:val="0071686A"/>
    <w:rsid w:val="007205E8"/>
    <w:rsid w:val="00720E5E"/>
    <w:rsid w:val="00721061"/>
    <w:rsid w:val="00723BFA"/>
    <w:rsid w:val="0072406E"/>
    <w:rsid w:val="00724B59"/>
    <w:rsid w:val="00725F58"/>
    <w:rsid w:val="0072721F"/>
    <w:rsid w:val="007312C7"/>
    <w:rsid w:val="00732149"/>
    <w:rsid w:val="00733624"/>
    <w:rsid w:val="0073393E"/>
    <w:rsid w:val="00733A4B"/>
    <w:rsid w:val="00734C33"/>
    <w:rsid w:val="00735488"/>
    <w:rsid w:val="007359A0"/>
    <w:rsid w:val="007368C1"/>
    <w:rsid w:val="007408A9"/>
    <w:rsid w:val="007420CC"/>
    <w:rsid w:val="00743C27"/>
    <w:rsid w:val="007440ED"/>
    <w:rsid w:val="00744621"/>
    <w:rsid w:val="007459CA"/>
    <w:rsid w:val="00747313"/>
    <w:rsid w:val="007474EE"/>
    <w:rsid w:val="00750B0A"/>
    <w:rsid w:val="0075271D"/>
    <w:rsid w:val="0075384D"/>
    <w:rsid w:val="00754936"/>
    <w:rsid w:val="00754BBF"/>
    <w:rsid w:val="0075562F"/>
    <w:rsid w:val="00757CD5"/>
    <w:rsid w:val="0076087E"/>
    <w:rsid w:val="00760978"/>
    <w:rsid w:val="00762CE0"/>
    <w:rsid w:val="00764595"/>
    <w:rsid w:val="007659F3"/>
    <w:rsid w:val="00765B8B"/>
    <w:rsid w:val="007670F4"/>
    <w:rsid w:val="0076745E"/>
    <w:rsid w:val="00772EAB"/>
    <w:rsid w:val="00773099"/>
    <w:rsid w:val="00773FE7"/>
    <w:rsid w:val="00775B15"/>
    <w:rsid w:val="00775FEE"/>
    <w:rsid w:val="00776001"/>
    <w:rsid w:val="00776D15"/>
    <w:rsid w:val="00777AD5"/>
    <w:rsid w:val="007808FB"/>
    <w:rsid w:val="00783BBE"/>
    <w:rsid w:val="00783D63"/>
    <w:rsid w:val="0078594D"/>
    <w:rsid w:val="00785A93"/>
    <w:rsid w:val="007870EF"/>
    <w:rsid w:val="00787290"/>
    <w:rsid w:val="00790E61"/>
    <w:rsid w:val="00792B91"/>
    <w:rsid w:val="00794153"/>
    <w:rsid w:val="00795414"/>
    <w:rsid w:val="007956D7"/>
    <w:rsid w:val="007A2106"/>
    <w:rsid w:val="007A2B5C"/>
    <w:rsid w:val="007A3177"/>
    <w:rsid w:val="007A328B"/>
    <w:rsid w:val="007A3C46"/>
    <w:rsid w:val="007A5EBC"/>
    <w:rsid w:val="007A6C8F"/>
    <w:rsid w:val="007B01E1"/>
    <w:rsid w:val="007B0577"/>
    <w:rsid w:val="007B167B"/>
    <w:rsid w:val="007B2454"/>
    <w:rsid w:val="007B590D"/>
    <w:rsid w:val="007B5FF0"/>
    <w:rsid w:val="007B6F4E"/>
    <w:rsid w:val="007B7A7D"/>
    <w:rsid w:val="007C0303"/>
    <w:rsid w:val="007C0C12"/>
    <w:rsid w:val="007C1909"/>
    <w:rsid w:val="007C1B0E"/>
    <w:rsid w:val="007C2378"/>
    <w:rsid w:val="007C28A3"/>
    <w:rsid w:val="007C3858"/>
    <w:rsid w:val="007C3D60"/>
    <w:rsid w:val="007C5CB6"/>
    <w:rsid w:val="007C7758"/>
    <w:rsid w:val="007C7F4F"/>
    <w:rsid w:val="007D0D3E"/>
    <w:rsid w:val="007D1A27"/>
    <w:rsid w:val="007D230E"/>
    <w:rsid w:val="007D3BD3"/>
    <w:rsid w:val="007D3BDF"/>
    <w:rsid w:val="007D3CD3"/>
    <w:rsid w:val="007D50C2"/>
    <w:rsid w:val="007D784B"/>
    <w:rsid w:val="007D7882"/>
    <w:rsid w:val="007D7B10"/>
    <w:rsid w:val="007D7DAF"/>
    <w:rsid w:val="007E0D92"/>
    <w:rsid w:val="007E1A8A"/>
    <w:rsid w:val="007E5161"/>
    <w:rsid w:val="007E5D23"/>
    <w:rsid w:val="007E671B"/>
    <w:rsid w:val="007F06FA"/>
    <w:rsid w:val="007F2323"/>
    <w:rsid w:val="007F3101"/>
    <w:rsid w:val="007F3E83"/>
    <w:rsid w:val="007F4B28"/>
    <w:rsid w:val="007F5487"/>
    <w:rsid w:val="007F6A6E"/>
    <w:rsid w:val="007F704E"/>
    <w:rsid w:val="007F772A"/>
    <w:rsid w:val="008007C3"/>
    <w:rsid w:val="00802E02"/>
    <w:rsid w:val="008035EC"/>
    <w:rsid w:val="00804672"/>
    <w:rsid w:val="00804747"/>
    <w:rsid w:val="008075A7"/>
    <w:rsid w:val="00810C8A"/>
    <w:rsid w:val="00811C34"/>
    <w:rsid w:val="008122D3"/>
    <w:rsid w:val="008123F6"/>
    <w:rsid w:val="00812BA6"/>
    <w:rsid w:val="0081355D"/>
    <w:rsid w:val="008141CA"/>
    <w:rsid w:val="00814784"/>
    <w:rsid w:val="00814A0F"/>
    <w:rsid w:val="00816960"/>
    <w:rsid w:val="00816E11"/>
    <w:rsid w:val="00820CF6"/>
    <w:rsid w:val="008212C6"/>
    <w:rsid w:val="00821C01"/>
    <w:rsid w:val="00822417"/>
    <w:rsid w:val="00822A53"/>
    <w:rsid w:val="00823B72"/>
    <w:rsid w:val="00825DD9"/>
    <w:rsid w:val="00826B92"/>
    <w:rsid w:val="0082741F"/>
    <w:rsid w:val="008322BC"/>
    <w:rsid w:val="00832C3C"/>
    <w:rsid w:val="00833371"/>
    <w:rsid w:val="008346B5"/>
    <w:rsid w:val="00834D52"/>
    <w:rsid w:val="00835A70"/>
    <w:rsid w:val="008361C6"/>
    <w:rsid w:val="008368B2"/>
    <w:rsid w:val="00836AED"/>
    <w:rsid w:val="00837178"/>
    <w:rsid w:val="00841639"/>
    <w:rsid w:val="00842516"/>
    <w:rsid w:val="008425A1"/>
    <w:rsid w:val="00842A98"/>
    <w:rsid w:val="00843B70"/>
    <w:rsid w:val="00845B14"/>
    <w:rsid w:val="00847796"/>
    <w:rsid w:val="00850D07"/>
    <w:rsid w:val="00855925"/>
    <w:rsid w:val="00860040"/>
    <w:rsid w:val="00862D79"/>
    <w:rsid w:val="00863DA4"/>
    <w:rsid w:val="0086434F"/>
    <w:rsid w:val="00871976"/>
    <w:rsid w:val="008734E3"/>
    <w:rsid w:val="008749E4"/>
    <w:rsid w:val="00874A73"/>
    <w:rsid w:val="00876B96"/>
    <w:rsid w:val="008771CB"/>
    <w:rsid w:val="008778D8"/>
    <w:rsid w:val="008779EC"/>
    <w:rsid w:val="00877E53"/>
    <w:rsid w:val="008807CD"/>
    <w:rsid w:val="00880BBA"/>
    <w:rsid w:val="00881C9D"/>
    <w:rsid w:val="00881FF1"/>
    <w:rsid w:val="00884317"/>
    <w:rsid w:val="00885D63"/>
    <w:rsid w:val="00885EFD"/>
    <w:rsid w:val="008866EE"/>
    <w:rsid w:val="00886DCF"/>
    <w:rsid w:val="00886DEA"/>
    <w:rsid w:val="008874A4"/>
    <w:rsid w:val="008905D4"/>
    <w:rsid w:val="008908D9"/>
    <w:rsid w:val="00890FF9"/>
    <w:rsid w:val="00891F53"/>
    <w:rsid w:val="00892A84"/>
    <w:rsid w:val="0089394E"/>
    <w:rsid w:val="00894055"/>
    <w:rsid w:val="00894C87"/>
    <w:rsid w:val="00896F38"/>
    <w:rsid w:val="008974F4"/>
    <w:rsid w:val="008A00C4"/>
    <w:rsid w:val="008A1123"/>
    <w:rsid w:val="008A3E4A"/>
    <w:rsid w:val="008A417C"/>
    <w:rsid w:val="008A637F"/>
    <w:rsid w:val="008A67B2"/>
    <w:rsid w:val="008B0196"/>
    <w:rsid w:val="008B176C"/>
    <w:rsid w:val="008B2F5B"/>
    <w:rsid w:val="008B3747"/>
    <w:rsid w:val="008B398D"/>
    <w:rsid w:val="008B4336"/>
    <w:rsid w:val="008B4E7F"/>
    <w:rsid w:val="008B6B1C"/>
    <w:rsid w:val="008B70DC"/>
    <w:rsid w:val="008C0C77"/>
    <w:rsid w:val="008C0E46"/>
    <w:rsid w:val="008C13CA"/>
    <w:rsid w:val="008C57E4"/>
    <w:rsid w:val="008C5FCF"/>
    <w:rsid w:val="008C66D4"/>
    <w:rsid w:val="008C6B02"/>
    <w:rsid w:val="008D1211"/>
    <w:rsid w:val="008D1D57"/>
    <w:rsid w:val="008D3367"/>
    <w:rsid w:val="008D401E"/>
    <w:rsid w:val="008D58CD"/>
    <w:rsid w:val="008D74E0"/>
    <w:rsid w:val="008E0898"/>
    <w:rsid w:val="008E0E3C"/>
    <w:rsid w:val="008E11FB"/>
    <w:rsid w:val="008E34F4"/>
    <w:rsid w:val="008E3BCF"/>
    <w:rsid w:val="008E5813"/>
    <w:rsid w:val="008E6145"/>
    <w:rsid w:val="008E69EB"/>
    <w:rsid w:val="008F002C"/>
    <w:rsid w:val="008F0100"/>
    <w:rsid w:val="008F0FBE"/>
    <w:rsid w:val="008F2DA2"/>
    <w:rsid w:val="008F49FF"/>
    <w:rsid w:val="008F5D5C"/>
    <w:rsid w:val="008F62CD"/>
    <w:rsid w:val="008F68C7"/>
    <w:rsid w:val="008F7113"/>
    <w:rsid w:val="00904C5B"/>
    <w:rsid w:val="0090710E"/>
    <w:rsid w:val="009078E0"/>
    <w:rsid w:val="00907B36"/>
    <w:rsid w:val="00910C79"/>
    <w:rsid w:val="00913FAA"/>
    <w:rsid w:val="00914EF3"/>
    <w:rsid w:val="009152AC"/>
    <w:rsid w:val="00915CCC"/>
    <w:rsid w:val="00916005"/>
    <w:rsid w:val="00916F7E"/>
    <w:rsid w:val="0092020E"/>
    <w:rsid w:val="00921359"/>
    <w:rsid w:val="009213BA"/>
    <w:rsid w:val="00921813"/>
    <w:rsid w:val="00923027"/>
    <w:rsid w:val="009248C4"/>
    <w:rsid w:val="00927012"/>
    <w:rsid w:val="00927425"/>
    <w:rsid w:val="009277E9"/>
    <w:rsid w:val="00930F0E"/>
    <w:rsid w:val="009314B6"/>
    <w:rsid w:val="00931DAC"/>
    <w:rsid w:val="00934053"/>
    <w:rsid w:val="009340B3"/>
    <w:rsid w:val="009357E1"/>
    <w:rsid w:val="00937697"/>
    <w:rsid w:val="00937C81"/>
    <w:rsid w:val="00940741"/>
    <w:rsid w:val="00940A98"/>
    <w:rsid w:val="00943B13"/>
    <w:rsid w:val="0094459C"/>
    <w:rsid w:val="00944B79"/>
    <w:rsid w:val="00945117"/>
    <w:rsid w:val="00946856"/>
    <w:rsid w:val="009468EF"/>
    <w:rsid w:val="0094702C"/>
    <w:rsid w:val="00947CFF"/>
    <w:rsid w:val="00952281"/>
    <w:rsid w:val="00953732"/>
    <w:rsid w:val="00956960"/>
    <w:rsid w:val="00956A73"/>
    <w:rsid w:val="00961777"/>
    <w:rsid w:val="00963345"/>
    <w:rsid w:val="00963532"/>
    <w:rsid w:val="0096357D"/>
    <w:rsid w:val="00963EAF"/>
    <w:rsid w:val="00964D28"/>
    <w:rsid w:val="009652D3"/>
    <w:rsid w:val="00966AAD"/>
    <w:rsid w:val="00967477"/>
    <w:rsid w:val="00970711"/>
    <w:rsid w:val="0097187F"/>
    <w:rsid w:val="009719DC"/>
    <w:rsid w:val="009722B3"/>
    <w:rsid w:val="009735A8"/>
    <w:rsid w:val="00973B12"/>
    <w:rsid w:val="00975104"/>
    <w:rsid w:val="00975179"/>
    <w:rsid w:val="00975542"/>
    <w:rsid w:val="009769D0"/>
    <w:rsid w:val="00976C9E"/>
    <w:rsid w:val="00976E20"/>
    <w:rsid w:val="00977FC7"/>
    <w:rsid w:val="0098128E"/>
    <w:rsid w:val="0098254C"/>
    <w:rsid w:val="00983E48"/>
    <w:rsid w:val="009848E3"/>
    <w:rsid w:val="009905C9"/>
    <w:rsid w:val="00992D96"/>
    <w:rsid w:val="00992E6A"/>
    <w:rsid w:val="009931CD"/>
    <w:rsid w:val="00993233"/>
    <w:rsid w:val="00993B7F"/>
    <w:rsid w:val="00995C25"/>
    <w:rsid w:val="00996AD9"/>
    <w:rsid w:val="00996BE6"/>
    <w:rsid w:val="00996E83"/>
    <w:rsid w:val="00997651"/>
    <w:rsid w:val="00997764"/>
    <w:rsid w:val="009A064C"/>
    <w:rsid w:val="009A0C24"/>
    <w:rsid w:val="009A1104"/>
    <w:rsid w:val="009A1DA3"/>
    <w:rsid w:val="009A1DD3"/>
    <w:rsid w:val="009A2B18"/>
    <w:rsid w:val="009A3101"/>
    <w:rsid w:val="009A34EA"/>
    <w:rsid w:val="009A3FF5"/>
    <w:rsid w:val="009A55F4"/>
    <w:rsid w:val="009A6095"/>
    <w:rsid w:val="009A626A"/>
    <w:rsid w:val="009A75E1"/>
    <w:rsid w:val="009A77C7"/>
    <w:rsid w:val="009B0AE9"/>
    <w:rsid w:val="009B1099"/>
    <w:rsid w:val="009B14CD"/>
    <w:rsid w:val="009B3309"/>
    <w:rsid w:val="009B3E3D"/>
    <w:rsid w:val="009B402C"/>
    <w:rsid w:val="009B442B"/>
    <w:rsid w:val="009B4E8F"/>
    <w:rsid w:val="009B6517"/>
    <w:rsid w:val="009B7AAD"/>
    <w:rsid w:val="009C012A"/>
    <w:rsid w:val="009C232D"/>
    <w:rsid w:val="009C2B08"/>
    <w:rsid w:val="009C542B"/>
    <w:rsid w:val="009C5FE9"/>
    <w:rsid w:val="009C6211"/>
    <w:rsid w:val="009C764D"/>
    <w:rsid w:val="009C7BE9"/>
    <w:rsid w:val="009D150A"/>
    <w:rsid w:val="009D26EE"/>
    <w:rsid w:val="009D5046"/>
    <w:rsid w:val="009D5306"/>
    <w:rsid w:val="009D5FA1"/>
    <w:rsid w:val="009D6326"/>
    <w:rsid w:val="009D7137"/>
    <w:rsid w:val="009D7855"/>
    <w:rsid w:val="009E070F"/>
    <w:rsid w:val="009E2540"/>
    <w:rsid w:val="009E544E"/>
    <w:rsid w:val="009E54C4"/>
    <w:rsid w:val="009E667D"/>
    <w:rsid w:val="009E6C58"/>
    <w:rsid w:val="009E6D08"/>
    <w:rsid w:val="009E6EB1"/>
    <w:rsid w:val="009E750A"/>
    <w:rsid w:val="009E7D21"/>
    <w:rsid w:val="009E7EA5"/>
    <w:rsid w:val="009F0027"/>
    <w:rsid w:val="009F1396"/>
    <w:rsid w:val="009F1976"/>
    <w:rsid w:val="009F4AD1"/>
    <w:rsid w:val="009F5901"/>
    <w:rsid w:val="009F73D6"/>
    <w:rsid w:val="00A013C2"/>
    <w:rsid w:val="00A016A7"/>
    <w:rsid w:val="00A01853"/>
    <w:rsid w:val="00A03258"/>
    <w:rsid w:val="00A032CA"/>
    <w:rsid w:val="00A0527B"/>
    <w:rsid w:val="00A05BC2"/>
    <w:rsid w:val="00A07264"/>
    <w:rsid w:val="00A072E5"/>
    <w:rsid w:val="00A0739E"/>
    <w:rsid w:val="00A10F89"/>
    <w:rsid w:val="00A11A52"/>
    <w:rsid w:val="00A12A82"/>
    <w:rsid w:val="00A161EE"/>
    <w:rsid w:val="00A17853"/>
    <w:rsid w:val="00A20353"/>
    <w:rsid w:val="00A215BA"/>
    <w:rsid w:val="00A21709"/>
    <w:rsid w:val="00A22AB0"/>
    <w:rsid w:val="00A235AD"/>
    <w:rsid w:val="00A25A4C"/>
    <w:rsid w:val="00A25E1F"/>
    <w:rsid w:val="00A25F22"/>
    <w:rsid w:val="00A27E32"/>
    <w:rsid w:val="00A27E86"/>
    <w:rsid w:val="00A323FD"/>
    <w:rsid w:val="00A3318D"/>
    <w:rsid w:val="00A3367F"/>
    <w:rsid w:val="00A353AE"/>
    <w:rsid w:val="00A35729"/>
    <w:rsid w:val="00A35916"/>
    <w:rsid w:val="00A3660B"/>
    <w:rsid w:val="00A36AA0"/>
    <w:rsid w:val="00A37612"/>
    <w:rsid w:val="00A37D7C"/>
    <w:rsid w:val="00A4006C"/>
    <w:rsid w:val="00A4140A"/>
    <w:rsid w:val="00A41992"/>
    <w:rsid w:val="00A4211E"/>
    <w:rsid w:val="00A43555"/>
    <w:rsid w:val="00A4386E"/>
    <w:rsid w:val="00A45392"/>
    <w:rsid w:val="00A473F4"/>
    <w:rsid w:val="00A47A7F"/>
    <w:rsid w:val="00A50410"/>
    <w:rsid w:val="00A51BA3"/>
    <w:rsid w:val="00A522FC"/>
    <w:rsid w:val="00A523DB"/>
    <w:rsid w:val="00A52700"/>
    <w:rsid w:val="00A52FA4"/>
    <w:rsid w:val="00A5448C"/>
    <w:rsid w:val="00A544F4"/>
    <w:rsid w:val="00A5532B"/>
    <w:rsid w:val="00A5535D"/>
    <w:rsid w:val="00A55BC4"/>
    <w:rsid w:val="00A567A5"/>
    <w:rsid w:val="00A57B22"/>
    <w:rsid w:val="00A60F6A"/>
    <w:rsid w:val="00A637F4"/>
    <w:rsid w:val="00A65C80"/>
    <w:rsid w:val="00A66C1F"/>
    <w:rsid w:val="00A703AE"/>
    <w:rsid w:val="00A708B9"/>
    <w:rsid w:val="00A71A1A"/>
    <w:rsid w:val="00A71DEF"/>
    <w:rsid w:val="00A7259D"/>
    <w:rsid w:val="00A72F2C"/>
    <w:rsid w:val="00A755B0"/>
    <w:rsid w:val="00A76172"/>
    <w:rsid w:val="00A765BE"/>
    <w:rsid w:val="00A766D2"/>
    <w:rsid w:val="00A766EB"/>
    <w:rsid w:val="00A76B87"/>
    <w:rsid w:val="00A80B09"/>
    <w:rsid w:val="00A81171"/>
    <w:rsid w:val="00A81E82"/>
    <w:rsid w:val="00A8325E"/>
    <w:rsid w:val="00A8350B"/>
    <w:rsid w:val="00A84B39"/>
    <w:rsid w:val="00A84BE5"/>
    <w:rsid w:val="00A84F15"/>
    <w:rsid w:val="00A87605"/>
    <w:rsid w:val="00A9055D"/>
    <w:rsid w:val="00A90C1A"/>
    <w:rsid w:val="00A958E6"/>
    <w:rsid w:val="00A95BE9"/>
    <w:rsid w:val="00A96544"/>
    <w:rsid w:val="00A976CB"/>
    <w:rsid w:val="00A97D5A"/>
    <w:rsid w:val="00AA081D"/>
    <w:rsid w:val="00AA0D0D"/>
    <w:rsid w:val="00AA315E"/>
    <w:rsid w:val="00AA37C4"/>
    <w:rsid w:val="00AA5150"/>
    <w:rsid w:val="00AA7244"/>
    <w:rsid w:val="00AB064B"/>
    <w:rsid w:val="00AB105C"/>
    <w:rsid w:val="00AB3466"/>
    <w:rsid w:val="00AB5AC0"/>
    <w:rsid w:val="00AB60AA"/>
    <w:rsid w:val="00AB6938"/>
    <w:rsid w:val="00AB77B8"/>
    <w:rsid w:val="00AC022D"/>
    <w:rsid w:val="00AC0315"/>
    <w:rsid w:val="00AC0700"/>
    <w:rsid w:val="00AC1597"/>
    <w:rsid w:val="00AC398A"/>
    <w:rsid w:val="00AC3B95"/>
    <w:rsid w:val="00AC534F"/>
    <w:rsid w:val="00AC5F76"/>
    <w:rsid w:val="00AD1210"/>
    <w:rsid w:val="00AD1936"/>
    <w:rsid w:val="00AD2473"/>
    <w:rsid w:val="00AD38CC"/>
    <w:rsid w:val="00AD402C"/>
    <w:rsid w:val="00AD4564"/>
    <w:rsid w:val="00AD5871"/>
    <w:rsid w:val="00AD64DF"/>
    <w:rsid w:val="00AD688C"/>
    <w:rsid w:val="00AD7002"/>
    <w:rsid w:val="00AE1BAE"/>
    <w:rsid w:val="00AE2C20"/>
    <w:rsid w:val="00AE3C0D"/>
    <w:rsid w:val="00AE45CD"/>
    <w:rsid w:val="00AE6419"/>
    <w:rsid w:val="00AE66FF"/>
    <w:rsid w:val="00AE7C1B"/>
    <w:rsid w:val="00AF08EF"/>
    <w:rsid w:val="00AF2062"/>
    <w:rsid w:val="00AF3F6E"/>
    <w:rsid w:val="00AF511E"/>
    <w:rsid w:val="00AF5399"/>
    <w:rsid w:val="00AF6607"/>
    <w:rsid w:val="00B00F7E"/>
    <w:rsid w:val="00B012AF"/>
    <w:rsid w:val="00B02D9B"/>
    <w:rsid w:val="00B03528"/>
    <w:rsid w:val="00B03C72"/>
    <w:rsid w:val="00B05896"/>
    <w:rsid w:val="00B073BE"/>
    <w:rsid w:val="00B07617"/>
    <w:rsid w:val="00B10A03"/>
    <w:rsid w:val="00B10DA3"/>
    <w:rsid w:val="00B118DB"/>
    <w:rsid w:val="00B1382C"/>
    <w:rsid w:val="00B14741"/>
    <w:rsid w:val="00B156AA"/>
    <w:rsid w:val="00B16383"/>
    <w:rsid w:val="00B17011"/>
    <w:rsid w:val="00B17154"/>
    <w:rsid w:val="00B21640"/>
    <w:rsid w:val="00B21689"/>
    <w:rsid w:val="00B224C6"/>
    <w:rsid w:val="00B23510"/>
    <w:rsid w:val="00B23803"/>
    <w:rsid w:val="00B2668D"/>
    <w:rsid w:val="00B26A83"/>
    <w:rsid w:val="00B305A4"/>
    <w:rsid w:val="00B30638"/>
    <w:rsid w:val="00B32A00"/>
    <w:rsid w:val="00B34853"/>
    <w:rsid w:val="00B37EC9"/>
    <w:rsid w:val="00B40129"/>
    <w:rsid w:val="00B4082B"/>
    <w:rsid w:val="00B414E9"/>
    <w:rsid w:val="00B4250D"/>
    <w:rsid w:val="00B4295B"/>
    <w:rsid w:val="00B434D4"/>
    <w:rsid w:val="00B43DE6"/>
    <w:rsid w:val="00B45F3D"/>
    <w:rsid w:val="00B46FD0"/>
    <w:rsid w:val="00B475E1"/>
    <w:rsid w:val="00B47AA6"/>
    <w:rsid w:val="00B5167D"/>
    <w:rsid w:val="00B5305B"/>
    <w:rsid w:val="00B5334E"/>
    <w:rsid w:val="00B54602"/>
    <w:rsid w:val="00B54D7A"/>
    <w:rsid w:val="00B559D7"/>
    <w:rsid w:val="00B566B3"/>
    <w:rsid w:val="00B56A1E"/>
    <w:rsid w:val="00B6204D"/>
    <w:rsid w:val="00B622BC"/>
    <w:rsid w:val="00B62A97"/>
    <w:rsid w:val="00B62DA8"/>
    <w:rsid w:val="00B640EF"/>
    <w:rsid w:val="00B6432D"/>
    <w:rsid w:val="00B64BC6"/>
    <w:rsid w:val="00B65C4A"/>
    <w:rsid w:val="00B6619C"/>
    <w:rsid w:val="00B663F7"/>
    <w:rsid w:val="00B673E9"/>
    <w:rsid w:val="00B676B8"/>
    <w:rsid w:val="00B7022F"/>
    <w:rsid w:val="00B70F90"/>
    <w:rsid w:val="00B723C8"/>
    <w:rsid w:val="00B72967"/>
    <w:rsid w:val="00B74D9E"/>
    <w:rsid w:val="00B7513E"/>
    <w:rsid w:val="00B75A4E"/>
    <w:rsid w:val="00B75B27"/>
    <w:rsid w:val="00B75E90"/>
    <w:rsid w:val="00B771AA"/>
    <w:rsid w:val="00B80192"/>
    <w:rsid w:val="00B805BA"/>
    <w:rsid w:val="00B8133A"/>
    <w:rsid w:val="00B814C6"/>
    <w:rsid w:val="00B81659"/>
    <w:rsid w:val="00B849A6"/>
    <w:rsid w:val="00B850E4"/>
    <w:rsid w:val="00B86CF6"/>
    <w:rsid w:val="00B87101"/>
    <w:rsid w:val="00B873A2"/>
    <w:rsid w:val="00B87DDB"/>
    <w:rsid w:val="00B90936"/>
    <w:rsid w:val="00B90C0A"/>
    <w:rsid w:val="00B9444D"/>
    <w:rsid w:val="00B94C17"/>
    <w:rsid w:val="00B954EB"/>
    <w:rsid w:val="00BA1F71"/>
    <w:rsid w:val="00BA23A0"/>
    <w:rsid w:val="00BA23C0"/>
    <w:rsid w:val="00BA36BD"/>
    <w:rsid w:val="00BA3B45"/>
    <w:rsid w:val="00BA3E2B"/>
    <w:rsid w:val="00BA4436"/>
    <w:rsid w:val="00BA4D4C"/>
    <w:rsid w:val="00BA695F"/>
    <w:rsid w:val="00BA6ECA"/>
    <w:rsid w:val="00BA7461"/>
    <w:rsid w:val="00BB071C"/>
    <w:rsid w:val="00BB47E9"/>
    <w:rsid w:val="00BB4FFB"/>
    <w:rsid w:val="00BB5F93"/>
    <w:rsid w:val="00BB6A76"/>
    <w:rsid w:val="00BC1F35"/>
    <w:rsid w:val="00BC2A00"/>
    <w:rsid w:val="00BC4053"/>
    <w:rsid w:val="00BC5A54"/>
    <w:rsid w:val="00BC5BAD"/>
    <w:rsid w:val="00BC69DB"/>
    <w:rsid w:val="00BC7E40"/>
    <w:rsid w:val="00BD171D"/>
    <w:rsid w:val="00BD1828"/>
    <w:rsid w:val="00BD30B8"/>
    <w:rsid w:val="00BD5513"/>
    <w:rsid w:val="00BD599E"/>
    <w:rsid w:val="00BD6B01"/>
    <w:rsid w:val="00BD796C"/>
    <w:rsid w:val="00BD7D67"/>
    <w:rsid w:val="00BE0551"/>
    <w:rsid w:val="00BE05E6"/>
    <w:rsid w:val="00BE075D"/>
    <w:rsid w:val="00BE23B3"/>
    <w:rsid w:val="00BE2802"/>
    <w:rsid w:val="00BE2B37"/>
    <w:rsid w:val="00BE3B43"/>
    <w:rsid w:val="00BE4D8A"/>
    <w:rsid w:val="00BE5CAF"/>
    <w:rsid w:val="00BE6435"/>
    <w:rsid w:val="00BE67F0"/>
    <w:rsid w:val="00BE7AAE"/>
    <w:rsid w:val="00BF0188"/>
    <w:rsid w:val="00BF0819"/>
    <w:rsid w:val="00BF2120"/>
    <w:rsid w:val="00BF2D77"/>
    <w:rsid w:val="00BF344D"/>
    <w:rsid w:val="00BF3AF3"/>
    <w:rsid w:val="00BF464B"/>
    <w:rsid w:val="00BF5C51"/>
    <w:rsid w:val="00BF6287"/>
    <w:rsid w:val="00C010AB"/>
    <w:rsid w:val="00C01BD6"/>
    <w:rsid w:val="00C01C91"/>
    <w:rsid w:val="00C039E7"/>
    <w:rsid w:val="00C0404E"/>
    <w:rsid w:val="00C0593A"/>
    <w:rsid w:val="00C07F6F"/>
    <w:rsid w:val="00C10C27"/>
    <w:rsid w:val="00C126EF"/>
    <w:rsid w:val="00C12DFA"/>
    <w:rsid w:val="00C151B4"/>
    <w:rsid w:val="00C17D47"/>
    <w:rsid w:val="00C21B8A"/>
    <w:rsid w:val="00C22EBE"/>
    <w:rsid w:val="00C23E3C"/>
    <w:rsid w:val="00C240AA"/>
    <w:rsid w:val="00C24645"/>
    <w:rsid w:val="00C26D45"/>
    <w:rsid w:val="00C27FD0"/>
    <w:rsid w:val="00C27FDC"/>
    <w:rsid w:val="00C3040E"/>
    <w:rsid w:val="00C31458"/>
    <w:rsid w:val="00C34428"/>
    <w:rsid w:val="00C36676"/>
    <w:rsid w:val="00C4184D"/>
    <w:rsid w:val="00C428F7"/>
    <w:rsid w:val="00C42F80"/>
    <w:rsid w:val="00C446C2"/>
    <w:rsid w:val="00C459B9"/>
    <w:rsid w:val="00C50224"/>
    <w:rsid w:val="00C51A16"/>
    <w:rsid w:val="00C52446"/>
    <w:rsid w:val="00C52FD8"/>
    <w:rsid w:val="00C550F7"/>
    <w:rsid w:val="00C5600A"/>
    <w:rsid w:val="00C567DF"/>
    <w:rsid w:val="00C56B1A"/>
    <w:rsid w:val="00C60C00"/>
    <w:rsid w:val="00C60F23"/>
    <w:rsid w:val="00C61B83"/>
    <w:rsid w:val="00C64682"/>
    <w:rsid w:val="00C64ED1"/>
    <w:rsid w:val="00C67D08"/>
    <w:rsid w:val="00C67FD8"/>
    <w:rsid w:val="00C706FC"/>
    <w:rsid w:val="00C70D80"/>
    <w:rsid w:val="00C71600"/>
    <w:rsid w:val="00C71AFE"/>
    <w:rsid w:val="00C748A9"/>
    <w:rsid w:val="00C758AB"/>
    <w:rsid w:val="00C76792"/>
    <w:rsid w:val="00C80584"/>
    <w:rsid w:val="00C82CB4"/>
    <w:rsid w:val="00C83616"/>
    <w:rsid w:val="00C849DD"/>
    <w:rsid w:val="00C85368"/>
    <w:rsid w:val="00C85F9C"/>
    <w:rsid w:val="00C8783E"/>
    <w:rsid w:val="00C87BE0"/>
    <w:rsid w:val="00C87C99"/>
    <w:rsid w:val="00C90629"/>
    <w:rsid w:val="00C90F0B"/>
    <w:rsid w:val="00C91F92"/>
    <w:rsid w:val="00C92DBE"/>
    <w:rsid w:val="00C94E81"/>
    <w:rsid w:val="00CA1400"/>
    <w:rsid w:val="00CA2241"/>
    <w:rsid w:val="00CA2710"/>
    <w:rsid w:val="00CA2EA7"/>
    <w:rsid w:val="00CA3918"/>
    <w:rsid w:val="00CA41B6"/>
    <w:rsid w:val="00CA6931"/>
    <w:rsid w:val="00CA6938"/>
    <w:rsid w:val="00CA7948"/>
    <w:rsid w:val="00CA7AAD"/>
    <w:rsid w:val="00CB0C90"/>
    <w:rsid w:val="00CB1C0C"/>
    <w:rsid w:val="00CB328E"/>
    <w:rsid w:val="00CB54F4"/>
    <w:rsid w:val="00CB7147"/>
    <w:rsid w:val="00CC277C"/>
    <w:rsid w:val="00CC31B7"/>
    <w:rsid w:val="00CC331A"/>
    <w:rsid w:val="00CC39D5"/>
    <w:rsid w:val="00CC44C7"/>
    <w:rsid w:val="00CC664D"/>
    <w:rsid w:val="00CD0C66"/>
    <w:rsid w:val="00CD1194"/>
    <w:rsid w:val="00CD1C39"/>
    <w:rsid w:val="00CD3599"/>
    <w:rsid w:val="00CD4673"/>
    <w:rsid w:val="00CD5180"/>
    <w:rsid w:val="00CE10CC"/>
    <w:rsid w:val="00CE4A0B"/>
    <w:rsid w:val="00CE4E72"/>
    <w:rsid w:val="00CE5054"/>
    <w:rsid w:val="00CE6547"/>
    <w:rsid w:val="00CE717B"/>
    <w:rsid w:val="00CE750B"/>
    <w:rsid w:val="00CE7650"/>
    <w:rsid w:val="00CE793B"/>
    <w:rsid w:val="00CE7EE4"/>
    <w:rsid w:val="00CF1F4E"/>
    <w:rsid w:val="00CF40E3"/>
    <w:rsid w:val="00CF45B5"/>
    <w:rsid w:val="00CF502F"/>
    <w:rsid w:val="00CF7427"/>
    <w:rsid w:val="00D005F2"/>
    <w:rsid w:val="00D0068E"/>
    <w:rsid w:val="00D00FA4"/>
    <w:rsid w:val="00D0216D"/>
    <w:rsid w:val="00D048B3"/>
    <w:rsid w:val="00D06FF9"/>
    <w:rsid w:val="00D07FA5"/>
    <w:rsid w:val="00D114CC"/>
    <w:rsid w:val="00D120B3"/>
    <w:rsid w:val="00D1314A"/>
    <w:rsid w:val="00D137BB"/>
    <w:rsid w:val="00D156DC"/>
    <w:rsid w:val="00D16552"/>
    <w:rsid w:val="00D16667"/>
    <w:rsid w:val="00D16E0D"/>
    <w:rsid w:val="00D257B4"/>
    <w:rsid w:val="00D2608F"/>
    <w:rsid w:val="00D2696F"/>
    <w:rsid w:val="00D276F5"/>
    <w:rsid w:val="00D303AB"/>
    <w:rsid w:val="00D3069A"/>
    <w:rsid w:val="00D30E87"/>
    <w:rsid w:val="00D32930"/>
    <w:rsid w:val="00D33023"/>
    <w:rsid w:val="00D333FF"/>
    <w:rsid w:val="00D33DDD"/>
    <w:rsid w:val="00D34579"/>
    <w:rsid w:val="00D35751"/>
    <w:rsid w:val="00D3744A"/>
    <w:rsid w:val="00D40CF4"/>
    <w:rsid w:val="00D414DA"/>
    <w:rsid w:val="00D46353"/>
    <w:rsid w:val="00D4659B"/>
    <w:rsid w:val="00D46C61"/>
    <w:rsid w:val="00D4724A"/>
    <w:rsid w:val="00D50C66"/>
    <w:rsid w:val="00D50F6C"/>
    <w:rsid w:val="00D517A0"/>
    <w:rsid w:val="00D53741"/>
    <w:rsid w:val="00D550BD"/>
    <w:rsid w:val="00D55BAC"/>
    <w:rsid w:val="00D55CCB"/>
    <w:rsid w:val="00D565F1"/>
    <w:rsid w:val="00D569D7"/>
    <w:rsid w:val="00D57246"/>
    <w:rsid w:val="00D60BD0"/>
    <w:rsid w:val="00D61E83"/>
    <w:rsid w:val="00D623CF"/>
    <w:rsid w:val="00D647A3"/>
    <w:rsid w:val="00D661F9"/>
    <w:rsid w:val="00D662A1"/>
    <w:rsid w:val="00D6635A"/>
    <w:rsid w:val="00D6781D"/>
    <w:rsid w:val="00D71F12"/>
    <w:rsid w:val="00D722B3"/>
    <w:rsid w:val="00D7265A"/>
    <w:rsid w:val="00D7282E"/>
    <w:rsid w:val="00D7339D"/>
    <w:rsid w:val="00D7343A"/>
    <w:rsid w:val="00D73CD4"/>
    <w:rsid w:val="00D74715"/>
    <w:rsid w:val="00D74FB5"/>
    <w:rsid w:val="00D75A44"/>
    <w:rsid w:val="00D77327"/>
    <w:rsid w:val="00D806CE"/>
    <w:rsid w:val="00D8143B"/>
    <w:rsid w:val="00D819D3"/>
    <w:rsid w:val="00D82B8A"/>
    <w:rsid w:val="00D82C67"/>
    <w:rsid w:val="00D832A5"/>
    <w:rsid w:val="00D85BEE"/>
    <w:rsid w:val="00D87A95"/>
    <w:rsid w:val="00D87FE0"/>
    <w:rsid w:val="00D91EFD"/>
    <w:rsid w:val="00D92FE3"/>
    <w:rsid w:val="00D9380B"/>
    <w:rsid w:val="00D94ED3"/>
    <w:rsid w:val="00D94F2B"/>
    <w:rsid w:val="00D963BD"/>
    <w:rsid w:val="00D963F4"/>
    <w:rsid w:val="00D96D93"/>
    <w:rsid w:val="00DA0038"/>
    <w:rsid w:val="00DA129E"/>
    <w:rsid w:val="00DA23E6"/>
    <w:rsid w:val="00DA714C"/>
    <w:rsid w:val="00DA7756"/>
    <w:rsid w:val="00DA7F30"/>
    <w:rsid w:val="00DB1FF6"/>
    <w:rsid w:val="00DB283C"/>
    <w:rsid w:val="00DB2A1E"/>
    <w:rsid w:val="00DB3E2C"/>
    <w:rsid w:val="00DB4932"/>
    <w:rsid w:val="00DB4EC6"/>
    <w:rsid w:val="00DB5287"/>
    <w:rsid w:val="00DB62B9"/>
    <w:rsid w:val="00DB7322"/>
    <w:rsid w:val="00DB7ECF"/>
    <w:rsid w:val="00DC08EA"/>
    <w:rsid w:val="00DC37D2"/>
    <w:rsid w:val="00DC3AF0"/>
    <w:rsid w:val="00DC4F77"/>
    <w:rsid w:val="00DC560A"/>
    <w:rsid w:val="00DC5637"/>
    <w:rsid w:val="00DD060C"/>
    <w:rsid w:val="00DD1CC4"/>
    <w:rsid w:val="00DD30A4"/>
    <w:rsid w:val="00DD43E1"/>
    <w:rsid w:val="00DD4F1F"/>
    <w:rsid w:val="00DD5181"/>
    <w:rsid w:val="00DD65F9"/>
    <w:rsid w:val="00DE0843"/>
    <w:rsid w:val="00DE0848"/>
    <w:rsid w:val="00DE23DD"/>
    <w:rsid w:val="00DE45AB"/>
    <w:rsid w:val="00DE59E5"/>
    <w:rsid w:val="00DE768C"/>
    <w:rsid w:val="00DE7F40"/>
    <w:rsid w:val="00DF1143"/>
    <w:rsid w:val="00DF1401"/>
    <w:rsid w:val="00DF1DD6"/>
    <w:rsid w:val="00DF3B74"/>
    <w:rsid w:val="00DF64A4"/>
    <w:rsid w:val="00DF6630"/>
    <w:rsid w:val="00DF760C"/>
    <w:rsid w:val="00DF7BB7"/>
    <w:rsid w:val="00E00A7F"/>
    <w:rsid w:val="00E0113A"/>
    <w:rsid w:val="00E0142F"/>
    <w:rsid w:val="00E01FA2"/>
    <w:rsid w:val="00E03471"/>
    <w:rsid w:val="00E044F9"/>
    <w:rsid w:val="00E0461B"/>
    <w:rsid w:val="00E04759"/>
    <w:rsid w:val="00E04AEE"/>
    <w:rsid w:val="00E04AF2"/>
    <w:rsid w:val="00E071BD"/>
    <w:rsid w:val="00E07D2C"/>
    <w:rsid w:val="00E1104C"/>
    <w:rsid w:val="00E112C8"/>
    <w:rsid w:val="00E11334"/>
    <w:rsid w:val="00E1133B"/>
    <w:rsid w:val="00E1150D"/>
    <w:rsid w:val="00E12FA0"/>
    <w:rsid w:val="00E13240"/>
    <w:rsid w:val="00E13552"/>
    <w:rsid w:val="00E14E5C"/>
    <w:rsid w:val="00E1669A"/>
    <w:rsid w:val="00E16896"/>
    <w:rsid w:val="00E20723"/>
    <w:rsid w:val="00E22617"/>
    <w:rsid w:val="00E23246"/>
    <w:rsid w:val="00E240DC"/>
    <w:rsid w:val="00E24904"/>
    <w:rsid w:val="00E251E6"/>
    <w:rsid w:val="00E26AE1"/>
    <w:rsid w:val="00E30DC1"/>
    <w:rsid w:val="00E31977"/>
    <w:rsid w:val="00E3199F"/>
    <w:rsid w:val="00E31BD8"/>
    <w:rsid w:val="00E32484"/>
    <w:rsid w:val="00E33198"/>
    <w:rsid w:val="00E33333"/>
    <w:rsid w:val="00E3353B"/>
    <w:rsid w:val="00E33DDA"/>
    <w:rsid w:val="00E36B1F"/>
    <w:rsid w:val="00E37A3F"/>
    <w:rsid w:val="00E40921"/>
    <w:rsid w:val="00E409A4"/>
    <w:rsid w:val="00E40E13"/>
    <w:rsid w:val="00E414F9"/>
    <w:rsid w:val="00E41655"/>
    <w:rsid w:val="00E419EF"/>
    <w:rsid w:val="00E431F4"/>
    <w:rsid w:val="00E4362E"/>
    <w:rsid w:val="00E436A3"/>
    <w:rsid w:val="00E443CC"/>
    <w:rsid w:val="00E45C62"/>
    <w:rsid w:val="00E4649F"/>
    <w:rsid w:val="00E4751C"/>
    <w:rsid w:val="00E50B58"/>
    <w:rsid w:val="00E53D61"/>
    <w:rsid w:val="00E542E7"/>
    <w:rsid w:val="00E559FA"/>
    <w:rsid w:val="00E55D66"/>
    <w:rsid w:val="00E56878"/>
    <w:rsid w:val="00E56E73"/>
    <w:rsid w:val="00E60C52"/>
    <w:rsid w:val="00E62DF0"/>
    <w:rsid w:val="00E655FC"/>
    <w:rsid w:val="00E65B20"/>
    <w:rsid w:val="00E65E0C"/>
    <w:rsid w:val="00E7058D"/>
    <w:rsid w:val="00E70F39"/>
    <w:rsid w:val="00E710C6"/>
    <w:rsid w:val="00E75FBD"/>
    <w:rsid w:val="00E773C7"/>
    <w:rsid w:val="00E77FCC"/>
    <w:rsid w:val="00E80203"/>
    <w:rsid w:val="00E82450"/>
    <w:rsid w:val="00E832C9"/>
    <w:rsid w:val="00E84A83"/>
    <w:rsid w:val="00E84DA2"/>
    <w:rsid w:val="00E85CFC"/>
    <w:rsid w:val="00E86227"/>
    <w:rsid w:val="00E87610"/>
    <w:rsid w:val="00E87ACD"/>
    <w:rsid w:val="00E90BF4"/>
    <w:rsid w:val="00E910CD"/>
    <w:rsid w:val="00E92252"/>
    <w:rsid w:val="00E93011"/>
    <w:rsid w:val="00E93465"/>
    <w:rsid w:val="00E93877"/>
    <w:rsid w:val="00E94E83"/>
    <w:rsid w:val="00E9598A"/>
    <w:rsid w:val="00E96C8B"/>
    <w:rsid w:val="00E96E2C"/>
    <w:rsid w:val="00E96E9E"/>
    <w:rsid w:val="00E976CF"/>
    <w:rsid w:val="00E978A6"/>
    <w:rsid w:val="00EA0AA3"/>
    <w:rsid w:val="00EA201A"/>
    <w:rsid w:val="00EA228D"/>
    <w:rsid w:val="00EA2323"/>
    <w:rsid w:val="00EA2478"/>
    <w:rsid w:val="00EA3E99"/>
    <w:rsid w:val="00EA4F10"/>
    <w:rsid w:val="00EA65A0"/>
    <w:rsid w:val="00EA7795"/>
    <w:rsid w:val="00EA7A26"/>
    <w:rsid w:val="00EB2438"/>
    <w:rsid w:val="00EB366D"/>
    <w:rsid w:val="00EB405E"/>
    <w:rsid w:val="00EB589B"/>
    <w:rsid w:val="00EB78BF"/>
    <w:rsid w:val="00EB7D32"/>
    <w:rsid w:val="00EC008E"/>
    <w:rsid w:val="00EC1C6E"/>
    <w:rsid w:val="00EC2061"/>
    <w:rsid w:val="00EC252F"/>
    <w:rsid w:val="00EC3EC8"/>
    <w:rsid w:val="00ED0794"/>
    <w:rsid w:val="00ED1C26"/>
    <w:rsid w:val="00ED2606"/>
    <w:rsid w:val="00ED2851"/>
    <w:rsid w:val="00ED2E55"/>
    <w:rsid w:val="00ED4352"/>
    <w:rsid w:val="00ED4DEE"/>
    <w:rsid w:val="00ED53F5"/>
    <w:rsid w:val="00ED6D52"/>
    <w:rsid w:val="00ED7AD3"/>
    <w:rsid w:val="00EE0793"/>
    <w:rsid w:val="00EE0DED"/>
    <w:rsid w:val="00EE1A93"/>
    <w:rsid w:val="00EE1CB0"/>
    <w:rsid w:val="00EE1D84"/>
    <w:rsid w:val="00EE2357"/>
    <w:rsid w:val="00EE34C4"/>
    <w:rsid w:val="00EE3576"/>
    <w:rsid w:val="00EE4748"/>
    <w:rsid w:val="00EE5CB9"/>
    <w:rsid w:val="00EE68D5"/>
    <w:rsid w:val="00EE6A4C"/>
    <w:rsid w:val="00EE6DE5"/>
    <w:rsid w:val="00EE70F5"/>
    <w:rsid w:val="00EF10E5"/>
    <w:rsid w:val="00EF11A6"/>
    <w:rsid w:val="00EF1835"/>
    <w:rsid w:val="00EF1E74"/>
    <w:rsid w:val="00EF1EF2"/>
    <w:rsid w:val="00EF2200"/>
    <w:rsid w:val="00EF602C"/>
    <w:rsid w:val="00EF654E"/>
    <w:rsid w:val="00EF6AE9"/>
    <w:rsid w:val="00EF76C4"/>
    <w:rsid w:val="00EF7ABA"/>
    <w:rsid w:val="00EF7F82"/>
    <w:rsid w:val="00F045B5"/>
    <w:rsid w:val="00F069B1"/>
    <w:rsid w:val="00F103D3"/>
    <w:rsid w:val="00F116D3"/>
    <w:rsid w:val="00F12D31"/>
    <w:rsid w:val="00F13DE2"/>
    <w:rsid w:val="00F14129"/>
    <w:rsid w:val="00F17EBC"/>
    <w:rsid w:val="00F21693"/>
    <w:rsid w:val="00F21AE2"/>
    <w:rsid w:val="00F21F4E"/>
    <w:rsid w:val="00F22EF8"/>
    <w:rsid w:val="00F230C9"/>
    <w:rsid w:val="00F23879"/>
    <w:rsid w:val="00F264B0"/>
    <w:rsid w:val="00F266C9"/>
    <w:rsid w:val="00F27F41"/>
    <w:rsid w:val="00F30396"/>
    <w:rsid w:val="00F31367"/>
    <w:rsid w:val="00F31448"/>
    <w:rsid w:val="00F31736"/>
    <w:rsid w:val="00F3176D"/>
    <w:rsid w:val="00F325AA"/>
    <w:rsid w:val="00F3289C"/>
    <w:rsid w:val="00F33A8C"/>
    <w:rsid w:val="00F34C50"/>
    <w:rsid w:val="00F362CC"/>
    <w:rsid w:val="00F40B66"/>
    <w:rsid w:val="00F4109C"/>
    <w:rsid w:val="00F421E7"/>
    <w:rsid w:val="00F432FF"/>
    <w:rsid w:val="00F43513"/>
    <w:rsid w:val="00F4385B"/>
    <w:rsid w:val="00F44219"/>
    <w:rsid w:val="00F475E9"/>
    <w:rsid w:val="00F50907"/>
    <w:rsid w:val="00F512C7"/>
    <w:rsid w:val="00F5211D"/>
    <w:rsid w:val="00F527A5"/>
    <w:rsid w:val="00F55836"/>
    <w:rsid w:val="00F6133C"/>
    <w:rsid w:val="00F613A5"/>
    <w:rsid w:val="00F6377F"/>
    <w:rsid w:val="00F63798"/>
    <w:rsid w:val="00F65DF8"/>
    <w:rsid w:val="00F674D9"/>
    <w:rsid w:val="00F67904"/>
    <w:rsid w:val="00F67946"/>
    <w:rsid w:val="00F67986"/>
    <w:rsid w:val="00F70346"/>
    <w:rsid w:val="00F7144D"/>
    <w:rsid w:val="00F71D40"/>
    <w:rsid w:val="00F7245E"/>
    <w:rsid w:val="00F7581E"/>
    <w:rsid w:val="00F76BC5"/>
    <w:rsid w:val="00F77217"/>
    <w:rsid w:val="00F77DB6"/>
    <w:rsid w:val="00F83674"/>
    <w:rsid w:val="00F84421"/>
    <w:rsid w:val="00F86B08"/>
    <w:rsid w:val="00F86B5B"/>
    <w:rsid w:val="00F87200"/>
    <w:rsid w:val="00F9198D"/>
    <w:rsid w:val="00F935B4"/>
    <w:rsid w:val="00F9371A"/>
    <w:rsid w:val="00F944EC"/>
    <w:rsid w:val="00F96C20"/>
    <w:rsid w:val="00F9749E"/>
    <w:rsid w:val="00FA06F4"/>
    <w:rsid w:val="00FA0AD3"/>
    <w:rsid w:val="00FA1890"/>
    <w:rsid w:val="00FA2388"/>
    <w:rsid w:val="00FA5017"/>
    <w:rsid w:val="00FA5107"/>
    <w:rsid w:val="00FA7085"/>
    <w:rsid w:val="00FA7A31"/>
    <w:rsid w:val="00FB1325"/>
    <w:rsid w:val="00FB20F8"/>
    <w:rsid w:val="00FB26B4"/>
    <w:rsid w:val="00FB45D6"/>
    <w:rsid w:val="00FB4F24"/>
    <w:rsid w:val="00FB58F0"/>
    <w:rsid w:val="00FB6A82"/>
    <w:rsid w:val="00FC016D"/>
    <w:rsid w:val="00FC3BEA"/>
    <w:rsid w:val="00FC40D4"/>
    <w:rsid w:val="00FC460D"/>
    <w:rsid w:val="00FC7EAE"/>
    <w:rsid w:val="00FD1F1A"/>
    <w:rsid w:val="00FD22BF"/>
    <w:rsid w:val="00FD2420"/>
    <w:rsid w:val="00FD31D3"/>
    <w:rsid w:val="00FD528B"/>
    <w:rsid w:val="00FD5FDF"/>
    <w:rsid w:val="00FD6520"/>
    <w:rsid w:val="00FD67F0"/>
    <w:rsid w:val="00FD6E2D"/>
    <w:rsid w:val="00FD6F9D"/>
    <w:rsid w:val="00FD7D42"/>
    <w:rsid w:val="00FE0561"/>
    <w:rsid w:val="00FE0906"/>
    <w:rsid w:val="00FE1951"/>
    <w:rsid w:val="00FE1E77"/>
    <w:rsid w:val="00FE2985"/>
    <w:rsid w:val="00FE355E"/>
    <w:rsid w:val="00FE3C76"/>
    <w:rsid w:val="00FE4ABB"/>
    <w:rsid w:val="00FE4F88"/>
    <w:rsid w:val="00FE5A8B"/>
    <w:rsid w:val="00FE5A95"/>
    <w:rsid w:val="00FF0138"/>
    <w:rsid w:val="00FF1881"/>
    <w:rsid w:val="00FF3EBD"/>
    <w:rsid w:val="00FF3EC8"/>
    <w:rsid w:val="00FF4520"/>
    <w:rsid w:val="00FF6705"/>
    <w:rsid w:val="00FF73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8FFD2"/>
  <w14:defaultImageDpi w14:val="0"/>
  <w15:docId w15:val="{89B3CED7-FDC6-4858-8A45-44A4FBA0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59A0"/>
    <w:pPr>
      <w:spacing w:after="0" w:line="240" w:lineRule="auto"/>
    </w:pPr>
    <w:rPr>
      <w:sz w:val="24"/>
      <w:szCs w:val="24"/>
      <w:lang w:val="en-US" w:eastAsia="en-US"/>
    </w:rPr>
  </w:style>
  <w:style w:type="paragraph" w:styleId="Pealkiri1">
    <w:name w:val="heading 1"/>
    <w:basedOn w:val="Normaallaad"/>
    <w:next w:val="Normaallaad"/>
    <w:link w:val="Pealkiri1Mrk"/>
    <w:uiPriority w:val="99"/>
    <w:qFormat/>
    <w:rsid w:val="009E2540"/>
    <w:pPr>
      <w:keepNext/>
      <w:tabs>
        <w:tab w:val="left" w:pos="284"/>
      </w:tabs>
      <w:ind w:right="288"/>
      <w:outlineLvl w:val="0"/>
    </w:pPr>
    <w:rPr>
      <w:b/>
      <w:bCs/>
    </w:rPr>
  </w:style>
  <w:style w:type="paragraph" w:styleId="Pealkiri2">
    <w:name w:val="heading 2"/>
    <w:basedOn w:val="Normaallaad"/>
    <w:next w:val="Normaallaad"/>
    <w:link w:val="Pealkiri2Mrk"/>
    <w:uiPriority w:val="9"/>
    <w:semiHidden/>
    <w:unhideWhenUsed/>
    <w:qFormat/>
    <w:rsid w:val="00B429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9"/>
    <w:qFormat/>
    <w:rsid w:val="009E2540"/>
    <w:pPr>
      <w:keepNext/>
      <w:ind w:right="-1"/>
      <w:jc w:val="both"/>
      <w:outlineLvl w:val="2"/>
    </w:pPr>
    <w:rPr>
      <w:rFonts w:ascii="Arial" w:hAnsi="Arial" w:cs="Arial"/>
      <w:sz w:val="22"/>
      <w:szCs w:val="22"/>
      <w:u w:val="single"/>
      <w:lang w:val="et-EE"/>
    </w:rPr>
  </w:style>
  <w:style w:type="paragraph" w:styleId="Pealkiri4">
    <w:name w:val="heading 4"/>
    <w:basedOn w:val="Normaallaad"/>
    <w:next w:val="Normaallaad"/>
    <w:link w:val="Pealkiri4Mrk"/>
    <w:uiPriority w:val="99"/>
    <w:qFormat/>
    <w:rsid w:val="009E2540"/>
    <w:pPr>
      <w:keepNext/>
      <w:spacing w:before="240" w:after="60"/>
      <w:outlineLvl w:val="3"/>
    </w:pPr>
    <w:rPr>
      <w:b/>
      <w:bCs/>
      <w:sz w:val="28"/>
      <w:szCs w:val="28"/>
    </w:rPr>
  </w:style>
  <w:style w:type="paragraph" w:styleId="Pealkiri5">
    <w:name w:val="heading 5"/>
    <w:basedOn w:val="Normaallaad"/>
    <w:next w:val="Normaallaad"/>
    <w:link w:val="Pealkiri5Mrk"/>
    <w:uiPriority w:val="9"/>
    <w:unhideWhenUsed/>
    <w:qFormat/>
    <w:rsid w:val="007B5FF0"/>
    <w:pPr>
      <w:keepNext/>
      <w:keepLines/>
      <w:spacing w:before="4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9"/>
    <w:qFormat/>
    <w:rsid w:val="009E2540"/>
    <w:pPr>
      <w:keepNext/>
      <w:jc w:val="both"/>
      <w:outlineLvl w:val="5"/>
    </w:pPr>
    <w:rPr>
      <w:rFonts w:ascii="Arial" w:hAnsi="Arial" w:cs="Arial"/>
      <w:sz w:val="22"/>
      <w:szCs w:val="22"/>
      <w:u w:val="single"/>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US" w:eastAsia="en-US"/>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US" w:eastAsia="en-US"/>
    </w:rPr>
  </w:style>
  <w:style w:type="character" w:customStyle="1" w:styleId="Pealkiri4Mrk">
    <w:name w:val="Pealkiri 4 Märk"/>
    <w:basedOn w:val="Liguvaikefont"/>
    <w:link w:val="Pealkiri4"/>
    <w:uiPriority w:val="9"/>
    <w:semiHidden/>
    <w:locked/>
    <w:rPr>
      <w:rFonts w:asciiTheme="minorHAnsi" w:eastAsiaTheme="minorEastAsia" w:hAnsiTheme="minorHAnsi" w:cs="Times New Roman"/>
      <w:b/>
      <w:bCs/>
      <w:sz w:val="28"/>
      <w:szCs w:val="28"/>
      <w:lang w:val="en-US" w:eastAsia="en-US"/>
    </w:rPr>
  </w:style>
  <w:style w:type="character" w:customStyle="1" w:styleId="Pealkiri6Mrk">
    <w:name w:val="Pealkiri 6 Märk"/>
    <w:basedOn w:val="Liguvaikefont"/>
    <w:link w:val="Pealkiri6"/>
    <w:uiPriority w:val="9"/>
    <w:semiHidden/>
    <w:locked/>
    <w:rPr>
      <w:rFonts w:asciiTheme="minorHAnsi" w:eastAsiaTheme="minorEastAsia" w:hAnsiTheme="minorHAnsi" w:cs="Times New Roman"/>
      <w:b/>
      <w:bCs/>
      <w:lang w:val="en-US" w:eastAsia="en-US"/>
    </w:rPr>
  </w:style>
  <w:style w:type="character" w:styleId="Lehekljenumber">
    <w:name w:val="page number"/>
    <w:basedOn w:val="Liguvaikefont"/>
    <w:uiPriority w:val="99"/>
    <w:rsid w:val="00EA201A"/>
    <w:rPr>
      <w:rFonts w:cs="Times New Roman"/>
    </w:rPr>
  </w:style>
  <w:style w:type="paragraph" w:styleId="Jalus">
    <w:name w:val="footer"/>
    <w:basedOn w:val="Normaallaad"/>
    <w:link w:val="JalusMrk"/>
    <w:uiPriority w:val="99"/>
    <w:rsid w:val="00EA201A"/>
    <w:pPr>
      <w:tabs>
        <w:tab w:val="center" w:pos="4536"/>
        <w:tab w:val="right" w:pos="9072"/>
      </w:tabs>
    </w:pPr>
  </w:style>
  <w:style w:type="character" w:customStyle="1" w:styleId="JalusMrk">
    <w:name w:val="Jalus Märk"/>
    <w:basedOn w:val="Liguvaikefont"/>
    <w:link w:val="Jalus"/>
    <w:uiPriority w:val="99"/>
    <w:semiHidden/>
    <w:locked/>
    <w:rPr>
      <w:rFonts w:cs="Times New Roman"/>
      <w:sz w:val="24"/>
      <w:szCs w:val="24"/>
      <w:lang w:val="en-US" w:eastAsia="en-US"/>
    </w:rPr>
  </w:style>
  <w:style w:type="character" w:styleId="Hperlink">
    <w:name w:val="Hyperlink"/>
    <w:basedOn w:val="Liguvaikefont"/>
    <w:uiPriority w:val="99"/>
    <w:rsid w:val="009E2540"/>
    <w:rPr>
      <w:rFonts w:cs="Times New Roman"/>
      <w:color w:val="auto"/>
      <w:u w:val="single"/>
    </w:rPr>
  </w:style>
  <w:style w:type="paragraph" w:styleId="Taandegakehatekst">
    <w:name w:val="Body Text Indent"/>
    <w:basedOn w:val="Normaallaad"/>
    <w:link w:val="TaandegakehatekstMrk"/>
    <w:uiPriority w:val="99"/>
    <w:rsid w:val="009E2540"/>
    <w:pPr>
      <w:ind w:left="360"/>
    </w:pPr>
    <w:rPr>
      <w:rFonts w:ascii="Arial" w:hAnsi="Arial" w:cs="Arial"/>
      <w:i/>
      <w:iCs/>
      <w:sz w:val="22"/>
      <w:szCs w:val="22"/>
      <w:lang w:val="et-EE"/>
    </w:rPr>
  </w:style>
  <w:style w:type="character" w:customStyle="1" w:styleId="TaandegakehatekstMrk">
    <w:name w:val="Taandega kehatekst Märk"/>
    <w:basedOn w:val="Liguvaikefont"/>
    <w:link w:val="Taandegakehatekst"/>
    <w:uiPriority w:val="99"/>
    <w:semiHidden/>
    <w:locked/>
    <w:rPr>
      <w:rFonts w:cs="Times New Roman"/>
      <w:sz w:val="24"/>
      <w:szCs w:val="24"/>
      <w:lang w:val="en-US" w:eastAsia="en-US"/>
    </w:rPr>
  </w:style>
  <w:style w:type="character" w:customStyle="1" w:styleId="text">
    <w:name w:val="text"/>
    <w:basedOn w:val="Liguvaikefont"/>
    <w:uiPriority w:val="99"/>
    <w:rsid w:val="009E2540"/>
    <w:rPr>
      <w:rFonts w:cs="Times New Roman"/>
    </w:rPr>
  </w:style>
  <w:style w:type="paragraph" w:styleId="Normaallaadveeb">
    <w:name w:val="Normal (Web)"/>
    <w:basedOn w:val="Normaallaad"/>
    <w:uiPriority w:val="99"/>
    <w:rsid w:val="009E2540"/>
    <w:pPr>
      <w:spacing w:before="100" w:beforeAutospacing="1" w:after="100" w:afterAutospacing="1"/>
    </w:pPr>
    <w:rPr>
      <w:rFonts w:ascii="Arial Unicode MS" w:hAnsi="Arial Unicode MS" w:cs="Arial Unicode MS"/>
      <w:color w:val="000000"/>
      <w:lang w:val="en-GB"/>
    </w:rPr>
  </w:style>
  <w:style w:type="paragraph" w:styleId="Plokktekst">
    <w:name w:val="Block Text"/>
    <w:basedOn w:val="Normaallaad"/>
    <w:uiPriority w:val="99"/>
    <w:rsid w:val="009E2540"/>
    <w:pPr>
      <w:tabs>
        <w:tab w:val="left" w:pos="426"/>
      </w:tabs>
      <w:ind w:left="360" w:right="-1"/>
      <w:jc w:val="both"/>
    </w:pPr>
    <w:rPr>
      <w:rFonts w:ascii="Arial" w:hAnsi="Arial" w:cs="Arial"/>
      <w:sz w:val="22"/>
      <w:szCs w:val="22"/>
      <w:lang w:val="et-EE"/>
    </w:rPr>
  </w:style>
  <w:style w:type="paragraph" w:styleId="Kehatekst">
    <w:name w:val="Body Text"/>
    <w:basedOn w:val="Normaallaad"/>
    <w:link w:val="KehatekstMrk"/>
    <w:uiPriority w:val="99"/>
    <w:rsid w:val="009E2540"/>
    <w:pPr>
      <w:spacing w:after="120"/>
    </w:pPr>
  </w:style>
  <w:style w:type="character" w:customStyle="1" w:styleId="KehatekstMrk">
    <w:name w:val="Kehatekst Märk"/>
    <w:basedOn w:val="Liguvaikefont"/>
    <w:link w:val="Kehatekst"/>
    <w:uiPriority w:val="99"/>
    <w:semiHidden/>
    <w:locked/>
    <w:rPr>
      <w:rFonts w:cs="Times New Roman"/>
      <w:sz w:val="24"/>
      <w:szCs w:val="24"/>
      <w:lang w:val="en-US" w:eastAsia="en-US"/>
    </w:rPr>
  </w:style>
  <w:style w:type="character" w:styleId="Rhutus">
    <w:name w:val="Emphasis"/>
    <w:basedOn w:val="Liguvaikefont"/>
    <w:uiPriority w:val="99"/>
    <w:qFormat/>
    <w:rsid w:val="009E2540"/>
    <w:rPr>
      <w:rFonts w:cs="Times New Roman"/>
      <w:i/>
      <w:iCs/>
    </w:rPr>
  </w:style>
  <w:style w:type="character" w:styleId="Tugev">
    <w:name w:val="Strong"/>
    <w:basedOn w:val="Liguvaikefont"/>
    <w:uiPriority w:val="22"/>
    <w:qFormat/>
    <w:rsid w:val="009E2540"/>
    <w:rPr>
      <w:rFonts w:cs="Times New Roman"/>
      <w:b/>
      <w:bCs/>
    </w:rPr>
  </w:style>
  <w:style w:type="paragraph" w:styleId="Kehatekst2">
    <w:name w:val="Body Text 2"/>
    <w:basedOn w:val="Normaallaad"/>
    <w:link w:val="Kehatekst2Mrk"/>
    <w:uiPriority w:val="99"/>
    <w:rsid w:val="009E2540"/>
    <w:pPr>
      <w:ind w:right="-1"/>
      <w:jc w:val="both"/>
    </w:pPr>
    <w:rPr>
      <w:rFonts w:ascii="Arial" w:hAnsi="Arial" w:cs="Arial"/>
      <w:sz w:val="22"/>
      <w:szCs w:val="22"/>
      <w:lang w:val="et-EE"/>
    </w:rPr>
  </w:style>
  <w:style w:type="character" w:customStyle="1" w:styleId="Kehatekst2Mrk">
    <w:name w:val="Kehatekst 2 Märk"/>
    <w:basedOn w:val="Liguvaikefont"/>
    <w:link w:val="Kehatekst2"/>
    <w:uiPriority w:val="99"/>
    <w:semiHidden/>
    <w:locked/>
    <w:rPr>
      <w:rFonts w:cs="Times New Roman"/>
      <w:sz w:val="24"/>
      <w:szCs w:val="24"/>
      <w:lang w:val="en-US"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rsid w:val="009E2540"/>
    <w:rPr>
      <w:rFonts w:cs="Times New Roman"/>
      <w:vertAlign w:val="superscrip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qFormat/>
    <w:rsid w:val="009E2540"/>
    <w:rPr>
      <w:sz w:val="20"/>
      <w:szCs w:val="20"/>
      <w:lang w:val="en-AU"/>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locked/>
    <w:rPr>
      <w:rFonts w:cs="Times New Roman"/>
      <w:sz w:val="20"/>
      <w:szCs w:val="20"/>
      <w:lang w:val="en-US" w:eastAsia="en-US"/>
    </w:rPr>
  </w:style>
  <w:style w:type="paragraph" w:styleId="Jutumullitekst">
    <w:name w:val="Balloon Text"/>
    <w:basedOn w:val="Normaallaad"/>
    <w:link w:val="JutumullitekstMrk"/>
    <w:uiPriority w:val="99"/>
    <w:semiHidden/>
    <w:rsid w:val="009A75E1"/>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en-US" w:eastAsia="en-US"/>
    </w:rPr>
  </w:style>
  <w:style w:type="character" w:styleId="Kommentaariviide">
    <w:name w:val="annotation reference"/>
    <w:basedOn w:val="Liguvaikefont"/>
    <w:uiPriority w:val="99"/>
    <w:rsid w:val="002D2305"/>
    <w:rPr>
      <w:rFonts w:cs="Times New Roman"/>
      <w:sz w:val="16"/>
      <w:szCs w:val="16"/>
    </w:rPr>
  </w:style>
  <w:style w:type="paragraph" w:styleId="Kehatekst3">
    <w:name w:val="Body Text 3"/>
    <w:basedOn w:val="Normaallaad"/>
    <w:link w:val="Kehatekst3Mrk"/>
    <w:uiPriority w:val="99"/>
    <w:rsid w:val="007028AF"/>
    <w:pPr>
      <w:spacing w:after="120"/>
    </w:pPr>
    <w:rPr>
      <w:sz w:val="16"/>
      <w:szCs w:val="16"/>
    </w:rPr>
  </w:style>
  <w:style w:type="character" w:customStyle="1" w:styleId="Kehatekst3Mrk">
    <w:name w:val="Kehatekst 3 Märk"/>
    <w:basedOn w:val="Liguvaikefont"/>
    <w:link w:val="Kehatekst3"/>
    <w:uiPriority w:val="99"/>
    <w:semiHidden/>
    <w:locked/>
    <w:rPr>
      <w:rFonts w:cs="Times New Roman"/>
      <w:sz w:val="16"/>
      <w:szCs w:val="16"/>
      <w:lang w:val="en-US" w:eastAsia="en-US"/>
    </w:rPr>
  </w:style>
  <w:style w:type="paragraph" w:styleId="Kommentaaritekst">
    <w:name w:val="annotation text"/>
    <w:basedOn w:val="Normaallaad"/>
    <w:link w:val="KommentaaritekstMrk"/>
    <w:uiPriority w:val="99"/>
    <w:rsid w:val="002D2305"/>
    <w:rPr>
      <w:sz w:val="20"/>
      <w:szCs w:val="20"/>
    </w:rPr>
  </w:style>
  <w:style w:type="character" w:customStyle="1" w:styleId="KommentaaritekstMrk">
    <w:name w:val="Kommentaari tekst Märk"/>
    <w:basedOn w:val="Liguvaikefont"/>
    <w:link w:val="Kommentaaritekst"/>
    <w:uiPriority w:val="99"/>
    <w:locked/>
    <w:rPr>
      <w:rFonts w:cs="Times New Roman"/>
      <w:sz w:val="20"/>
      <w:szCs w:val="20"/>
      <w:lang w:val="en-US" w:eastAsia="en-US"/>
    </w:rPr>
  </w:style>
  <w:style w:type="paragraph" w:customStyle="1" w:styleId="MrkMrkMrkMrkMrkMrk3MrkMrkMrkMrk">
    <w:name w:val="Märk Märk Märk Märk Märk Märk3 Märk Märk Märk Märk"/>
    <w:basedOn w:val="Normaallaad"/>
    <w:uiPriority w:val="99"/>
    <w:rsid w:val="00324646"/>
    <w:pPr>
      <w:spacing w:after="160" w:line="240" w:lineRule="exact"/>
    </w:pPr>
    <w:rPr>
      <w:rFonts w:ascii="Tahoma" w:hAnsi="Tahoma" w:cs="Tahoma"/>
      <w:sz w:val="20"/>
      <w:szCs w:val="20"/>
    </w:rPr>
  </w:style>
  <w:style w:type="paragraph" w:styleId="Kommentaariteema">
    <w:name w:val="annotation subject"/>
    <w:basedOn w:val="Kommentaaritekst"/>
    <w:next w:val="Kommentaaritekst"/>
    <w:link w:val="KommentaariteemaMrk"/>
    <w:uiPriority w:val="99"/>
    <w:semiHidden/>
    <w:rsid w:val="002D2305"/>
    <w:rPr>
      <w:b/>
      <w:bCs/>
    </w:rPr>
  </w:style>
  <w:style w:type="character" w:customStyle="1" w:styleId="KommentaariteemaMrk">
    <w:name w:val="Kommentaari teema Märk"/>
    <w:basedOn w:val="KommentaaritekstMrk"/>
    <w:link w:val="Kommentaariteema"/>
    <w:uiPriority w:val="99"/>
    <w:semiHidden/>
    <w:locked/>
    <w:rPr>
      <w:rFonts w:cs="Times New Roman"/>
      <w:b/>
      <w:bCs/>
      <w:sz w:val="20"/>
      <w:szCs w:val="20"/>
      <w:lang w:val="en-US" w:eastAsia="en-US"/>
    </w:rPr>
  </w:style>
  <w:style w:type="paragraph" w:customStyle="1" w:styleId="MrkMrkMrkMrkMrkMrkMrkMrkMrkMrkMrkMrkMrkMrkMrkMrkMrk">
    <w:name w:val="Märk Märk Märk Märk Märk Märk Märk Märk Märk Märk Märk Märk Märk Märk Märk Märk Märk"/>
    <w:basedOn w:val="Normaallaad"/>
    <w:uiPriority w:val="99"/>
    <w:rsid w:val="006300B2"/>
    <w:pPr>
      <w:spacing w:after="160" w:line="240" w:lineRule="exact"/>
    </w:pPr>
    <w:rPr>
      <w:rFonts w:ascii="Tahoma" w:hAnsi="Tahoma" w:cs="Tahoma"/>
      <w:sz w:val="20"/>
      <w:szCs w:val="20"/>
    </w:rPr>
  </w:style>
  <w:style w:type="paragraph" w:customStyle="1" w:styleId="MrkCharCharMrkCharMrkMrkCharMrkMrkMrkMrkMrkCharMrkMrkMrkCharMrkMrkMrkMrkMrkMrkMrkMrkMrkMrkMrkMrkMrkMrkMrkMrkMrkMrkMrkMrk">
    <w:name w:val="Märk Char Char Märk Char Märk Märk Char Märk Märk Märk Märk Märk Char Märk Märk Märk Char Märk Märk Märk Märk Märk Märk Märk Märk Märk Märk Märk Märk Märk Märk Märk Märk Märk Märk Märk Märk"/>
    <w:basedOn w:val="Normaallaad"/>
    <w:uiPriority w:val="99"/>
    <w:rsid w:val="009A34EA"/>
    <w:pPr>
      <w:spacing w:after="160" w:line="240" w:lineRule="exact"/>
    </w:pPr>
    <w:rPr>
      <w:rFonts w:ascii="Tahoma" w:hAnsi="Tahoma" w:cs="Tahoma"/>
      <w:sz w:val="20"/>
      <w:szCs w:val="20"/>
    </w:rPr>
  </w:style>
  <w:style w:type="paragraph" w:customStyle="1" w:styleId="MrkMrkMrkMrkMrkMrk">
    <w:name w:val="Märk Märk Märk Märk Märk Märk"/>
    <w:basedOn w:val="Normaallaad"/>
    <w:uiPriority w:val="99"/>
    <w:rsid w:val="00CF502F"/>
    <w:pPr>
      <w:spacing w:after="160" w:line="240" w:lineRule="exact"/>
    </w:pPr>
    <w:rPr>
      <w:rFonts w:ascii="Tahoma" w:hAnsi="Tahoma" w:cs="Tahoma"/>
      <w:sz w:val="20"/>
      <w:szCs w:val="20"/>
    </w:rPr>
  </w:style>
  <w:style w:type="paragraph" w:customStyle="1" w:styleId="MrkMrkMrkMrkMrkMrk1">
    <w:name w:val="Märk Märk Märk Märk Märk Märk1"/>
    <w:basedOn w:val="Normaallaad"/>
    <w:uiPriority w:val="99"/>
    <w:rsid w:val="00BE4D8A"/>
    <w:pPr>
      <w:spacing w:after="160" w:line="240" w:lineRule="exact"/>
    </w:pPr>
    <w:rPr>
      <w:rFonts w:ascii="Tahoma" w:hAnsi="Tahoma" w:cs="Tahoma"/>
      <w:sz w:val="20"/>
      <w:szCs w:val="20"/>
    </w:rPr>
  </w:style>
  <w:style w:type="paragraph" w:customStyle="1" w:styleId="MrkCharCharMrkCharMrkMrkCharMrkMrkMrkMrkMrkCharMrkMrkMrkCharMrkMrkMrkMrkMrkMrkMrkMrkMrkMrkMrkMrkMrkMrkMrkMrkMrk">
    <w:name w:val="Märk Char Char Märk Char Märk Märk Char Märk Märk Märk Märk Märk Char Märk Märk Märk Char Märk Märk Märk Märk Märk Märk Märk Märk Märk Märk Märk Märk Märk Märk Märk Märk Märk"/>
    <w:basedOn w:val="Normaallaad"/>
    <w:uiPriority w:val="99"/>
    <w:rsid w:val="00776001"/>
    <w:pPr>
      <w:spacing w:after="160" w:line="240" w:lineRule="exact"/>
    </w:pPr>
    <w:rPr>
      <w:rFonts w:ascii="Tahoma" w:hAnsi="Tahoma" w:cs="Tahoma"/>
      <w:sz w:val="20"/>
      <w:szCs w:val="20"/>
    </w:rPr>
  </w:style>
  <w:style w:type="paragraph" w:customStyle="1" w:styleId="MrkMrkMrkMrkMrkMrk1MrkMrkMrk">
    <w:name w:val="Märk Märk Märk Märk Märk Märk1 Märk Märk Märk"/>
    <w:basedOn w:val="Normaallaad"/>
    <w:uiPriority w:val="99"/>
    <w:rsid w:val="00CB54F4"/>
    <w:pPr>
      <w:spacing w:after="160" w:line="240" w:lineRule="exact"/>
    </w:pPr>
    <w:rPr>
      <w:rFonts w:ascii="Tahoma" w:hAnsi="Tahoma" w:cs="Tahoma"/>
      <w:sz w:val="20"/>
      <w:szCs w:val="20"/>
    </w:rPr>
  </w:style>
  <w:style w:type="paragraph" w:customStyle="1" w:styleId="MrkMrkMrkMrkMrkMrk2">
    <w:name w:val="Märk Märk Märk Märk Märk Märk2"/>
    <w:basedOn w:val="Normaallaad"/>
    <w:uiPriority w:val="99"/>
    <w:rsid w:val="00890FF9"/>
    <w:pPr>
      <w:spacing w:after="160" w:line="240" w:lineRule="exact"/>
    </w:pPr>
    <w:rPr>
      <w:rFonts w:ascii="Tahoma" w:hAnsi="Tahoma" w:cs="Tahoma"/>
      <w:sz w:val="20"/>
      <w:szCs w:val="20"/>
    </w:rPr>
  </w:style>
  <w:style w:type="paragraph" w:customStyle="1" w:styleId="MrkMrk">
    <w:name w:val="Märk Märk"/>
    <w:basedOn w:val="Normaallaad"/>
    <w:uiPriority w:val="99"/>
    <w:rsid w:val="002C6B2D"/>
    <w:pPr>
      <w:spacing w:after="160" w:line="240" w:lineRule="exact"/>
    </w:pPr>
    <w:rPr>
      <w:rFonts w:ascii="Tahoma" w:hAnsi="Tahoma" w:cs="Tahoma"/>
      <w:sz w:val="20"/>
      <w:szCs w:val="20"/>
    </w:rPr>
  </w:style>
  <w:style w:type="character" w:customStyle="1" w:styleId="tekst4">
    <w:name w:val="tekst4"/>
    <w:basedOn w:val="Liguvaikefont"/>
    <w:uiPriority w:val="99"/>
    <w:rsid w:val="006310B0"/>
    <w:rPr>
      <w:rFonts w:cs="Times New Roman"/>
    </w:rPr>
  </w:style>
  <w:style w:type="paragraph" w:customStyle="1" w:styleId="MrkCharCharMrkCharMrkMrkCharMrkMrkMrkMrkMrkCharMrkMrkMrkCharMrkMrkMrkMrkMrkMrkMrkMrkMrkMrkMrkMrkMrkMrkMrkMrkMrkMrkCharCharCharMrkMrkMrkMrkMrkMrkMrkMrk">
    <w:name w:val="Märk Char Char Märk Char Märk Märk Char Märk Märk Märk Märk Märk Char Märk Märk Märk Char Märk Märk Märk Märk Märk Märk Märk Märk Märk Märk Märk Märk Märk Märk Märk Märk Märk Märk Char Char Char Märk Märk Märk Märk Märk Märk Märk Märk"/>
    <w:basedOn w:val="Normaallaad"/>
    <w:uiPriority w:val="99"/>
    <w:rsid w:val="0030522E"/>
    <w:pPr>
      <w:spacing w:after="160" w:line="240" w:lineRule="exact"/>
    </w:pPr>
    <w:rPr>
      <w:rFonts w:ascii="Tahoma" w:hAnsi="Tahoma" w:cs="Tahoma"/>
      <w:sz w:val="20"/>
      <w:szCs w:val="20"/>
    </w:rPr>
  </w:style>
  <w:style w:type="paragraph" w:customStyle="1" w:styleId="MrkMrk1Mrk">
    <w:name w:val="Märk Märk1 Märk"/>
    <w:basedOn w:val="Normaallaad"/>
    <w:uiPriority w:val="99"/>
    <w:rsid w:val="00B43DE6"/>
    <w:pPr>
      <w:spacing w:after="160" w:line="240" w:lineRule="exact"/>
    </w:pPr>
    <w:rPr>
      <w:rFonts w:ascii="Tahoma" w:hAnsi="Tahoma" w:cs="Tahoma"/>
      <w:sz w:val="20"/>
      <w:szCs w:val="20"/>
    </w:rPr>
  </w:style>
  <w:style w:type="paragraph" w:customStyle="1" w:styleId="MrkMrkMrkMrkMrkMrk1MrkMrkMrkMrkMrkMrk1Mrk">
    <w:name w:val="Märk Märk Märk Märk Märk Märk1 Märk Märk Märk Märk Märk Märk1 Märk"/>
    <w:basedOn w:val="Normaallaad"/>
    <w:uiPriority w:val="99"/>
    <w:rsid w:val="001B104C"/>
    <w:pPr>
      <w:spacing w:after="160" w:line="240" w:lineRule="exact"/>
    </w:pPr>
    <w:rPr>
      <w:rFonts w:ascii="Tahoma" w:hAnsi="Tahoma" w:cs="Tahoma"/>
      <w:sz w:val="20"/>
      <w:szCs w:val="20"/>
    </w:rPr>
  </w:style>
  <w:style w:type="paragraph" w:customStyle="1" w:styleId="MrkMrkMrkMrkMrkMrk1Mrk1MrkMrkMrk">
    <w:name w:val="Märk Märk Märk Märk Märk Märk1 Märk1 Märk Märk Märk"/>
    <w:basedOn w:val="Normaallaad"/>
    <w:uiPriority w:val="99"/>
    <w:rsid w:val="00521979"/>
    <w:pPr>
      <w:spacing w:after="160" w:line="240" w:lineRule="exact"/>
    </w:pPr>
    <w:rPr>
      <w:rFonts w:ascii="Tahoma" w:hAnsi="Tahoma" w:cs="Tahoma"/>
      <w:sz w:val="20"/>
      <w:szCs w:val="20"/>
    </w:rPr>
  </w:style>
  <w:style w:type="paragraph" w:customStyle="1" w:styleId="CharCharMrkMrkCharCharMrkMrkCharChar">
    <w:name w:val="Char Char Märk Märk Char Char Märk Märk Char Char"/>
    <w:basedOn w:val="Normaallaad"/>
    <w:uiPriority w:val="99"/>
    <w:rsid w:val="006F03CA"/>
    <w:pPr>
      <w:spacing w:after="160" w:line="240" w:lineRule="exact"/>
    </w:pPr>
    <w:rPr>
      <w:rFonts w:ascii="Tahoma" w:hAnsi="Tahoma" w:cs="Tahoma"/>
      <w:sz w:val="20"/>
      <w:szCs w:val="20"/>
    </w:rPr>
  </w:style>
  <w:style w:type="paragraph" w:styleId="Dokumendiplaan">
    <w:name w:val="Document Map"/>
    <w:basedOn w:val="Normaallaad"/>
    <w:link w:val="DokumendiplaanMrk"/>
    <w:uiPriority w:val="99"/>
    <w:semiHidden/>
    <w:rsid w:val="00EA7795"/>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en-US" w:eastAsia="en-US"/>
    </w:rPr>
  </w:style>
  <w:style w:type="table" w:styleId="Kontuurtabel">
    <w:name w:val="Table Grid"/>
    <w:basedOn w:val="Normaaltabel"/>
    <w:uiPriority w:val="59"/>
    <w:rsid w:val="007F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72A"/>
    <w:pPr>
      <w:autoSpaceDE w:val="0"/>
      <w:autoSpaceDN w:val="0"/>
      <w:adjustRightInd w:val="0"/>
      <w:spacing w:after="0" w:line="240" w:lineRule="auto"/>
    </w:pPr>
    <w:rPr>
      <w:rFonts w:ascii="Calibri" w:hAnsi="Calibri" w:cs="Calibri"/>
      <w:color w:val="000000"/>
      <w:sz w:val="24"/>
      <w:szCs w:val="24"/>
    </w:rPr>
  </w:style>
  <w:style w:type="paragraph" w:styleId="Loendilik">
    <w:name w:val="List Paragraph"/>
    <w:aliases w:val="Mummuga loetelu"/>
    <w:basedOn w:val="Normaallaad"/>
    <w:link w:val="LoendilikMrk"/>
    <w:uiPriority w:val="34"/>
    <w:qFormat/>
    <w:rsid w:val="0009479B"/>
    <w:pPr>
      <w:ind w:left="720"/>
      <w:contextualSpacing/>
    </w:pPr>
  </w:style>
  <w:style w:type="character" w:customStyle="1" w:styleId="LoendilikMrk">
    <w:name w:val="Loendi lõik Märk"/>
    <w:aliases w:val="Mummuga loetelu Märk"/>
    <w:link w:val="Loendilik"/>
    <w:uiPriority w:val="34"/>
    <w:locked/>
    <w:rsid w:val="0009479B"/>
    <w:rPr>
      <w:sz w:val="24"/>
      <w:szCs w:val="24"/>
      <w:lang w:val="en-US" w:eastAsia="en-US"/>
    </w:rPr>
  </w:style>
  <w:style w:type="character" w:styleId="Klastatudhperlink">
    <w:name w:val="FollowedHyperlink"/>
    <w:basedOn w:val="Liguvaikefont"/>
    <w:uiPriority w:val="99"/>
    <w:rsid w:val="00421D6A"/>
    <w:rPr>
      <w:color w:val="800080" w:themeColor="followedHyperlink"/>
      <w:u w:val="single"/>
    </w:rPr>
  </w:style>
  <w:style w:type="character" w:customStyle="1" w:styleId="Lahendamatamainimine1">
    <w:name w:val="Lahendamata mainimine1"/>
    <w:basedOn w:val="Liguvaikefont"/>
    <w:uiPriority w:val="99"/>
    <w:semiHidden/>
    <w:unhideWhenUsed/>
    <w:rsid w:val="00085D78"/>
    <w:rPr>
      <w:color w:val="605E5C"/>
      <w:shd w:val="clear" w:color="auto" w:fill="E1DFDD"/>
    </w:rPr>
  </w:style>
  <w:style w:type="paragraph" w:styleId="Redaktsioon">
    <w:name w:val="Revision"/>
    <w:hidden/>
    <w:uiPriority w:val="99"/>
    <w:semiHidden/>
    <w:rsid w:val="00211FD2"/>
    <w:pPr>
      <w:spacing w:after="0" w:line="240" w:lineRule="auto"/>
    </w:pPr>
    <w:rPr>
      <w:sz w:val="24"/>
      <w:szCs w:val="24"/>
      <w:lang w:val="en-US" w:eastAsia="en-US"/>
    </w:rPr>
  </w:style>
  <w:style w:type="paragraph" w:styleId="Pis">
    <w:name w:val="header"/>
    <w:basedOn w:val="Normaallaad"/>
    <w:link w:val="PisMrk"/>
    <w:uiPriority w:val="99"/>
    <w:rsid w:val="00C758AB"/>
    <w:pPr>
      <w:tabs>
        <w:tab w:val="center" w:pos="4536"/>
        <w:tab w:val="right" w:pos="9072"/>
      </w:tabs>
    </w:pPr>
  </w:style>
  <w:style w:type="character" w:customStyle="1" w:styleId="PisMrk">
    <w:name w:val="Päis Märk"/>
    <w:basedOn w:val="Liguvaikefont"/>
    <w:link w:val="Pis"/>
    <w:uiPriority w:val="99"/>
    <w:rsid w:val="00C758AB"/>
    <w:rPr>
      <w:sz w:val="24"/>
      <w:szCs w:val="24"/>
      <w:lang w:val="en-US" w:eastAsia="en-US"/>
    </w:rPr>
  </w:style>
  <w:style w:type="character" w:customStyle="1" w:styleId="Lahendamatamainimine2">
    <w:name w:val="Lahendamata mainimine2"/>
    <w:basedOn w:val="Liguvaikefont"/>
    <w:uiPriority w:val="99"/>
    <w:semiHidden/>
    <w:unhideWhenUsed/>
    <w:rsid w:val="00BA36BD"/>
    <w:rPr>
      <w:color w:val="605E5C"/>
      <w:shd w:val="clear" w:color="auto" w:fill="E1DFDD"/>
    </w:rPr>
  </w:style>
  <w:style w:type="character" w:customStyle="1" w:styleId="Pealkiri2Mrk">
    <w:name w:val="Pealkiri 2 Märk"/>
    <w:basedOn w:val="Liguvaikefont"/>
    <w:link w:val="Pealkiri2"/>
    <w:uiPriority w:val="9"/>
    <w:semiHidden/>
    <w:rsid w:val="00B4295B"/>
    <w:rPr>
      <w:rFonts w:asciiTheme="majorHAnsi" w:eastAsiaTheme="majorEastAsia" w:hAnsiTheme="majorHAnsi" w:cstheme="majorBidi"/>
      <w:color w:val="365F91" w:themeColor="accent1" w:themeShade="BF"/>
      <w:sz w:val="26"/>
      <w:szCs w:val="26"/>
      <w:lang w:val="en-US" w:eastAsia="en-US"/>
    </w:rPr>
  </w:style>
  <w:style w:type="paragraph" w:customStyle="1" w:styleId="VahedetaTimes12">
    <w:name w:val="Vahedeta Times 12"/>
    <w:basedOn w:val="Vahedeta"/>
    <w:rsid w:val="0040630A"/>
    <w:pPr>
      <w:autoSpaceDN w:val="0"/>
    </w:pPr>
    <w:rPr>
      <w:kern w:val="3"/>
      <w:lang w:val="et-EE" w:eastAsia="zh-CN"/>
    </w:rPr>
  </w:style>
  <w:style w:type="paragraph" w:styleId="Vahedeta">
    <w:name w:val="No Spacing"/>
    <w:uiPriority w:val="1"/>
    <w:qFormat/>
    <w:rsid w:val="0040630A"/>
    <w:pPr>
      <w:spacing w:after="0" w:line="240" w:lineRule="auto"/>
    </w:pPr>
    <w:rPr>
      <w:sz w:val="24"/>
      <w:szCs w:val="24"/>
      <w:lang w:val="en-US" w:eastAsia="en-US"/>
    </w:rPr>
  </w:style>
  <w:style w:type="character" w:customStyle="1" w:styleId="Lahendamatamainimine20">
    <w:name w:val="Lahendamata mainimine2"/>
    <w:basedOn w:val="Liguvaikefont"/>
    <w:uiPriority w:val="99"/>
    <w:semiHidden/>
    <w:unhideWhenUsed/>
    <w:rsid w:val="003349CB"/>
    <w:rPr>
      <w:color w:val="605E5C"/>
      <w:shd w:val="clear" w:color="auto" w:fill="E1DFDD"/>
    </w:rPr>
  </w:style>
  <w:style w:type="character" w:customStyle="1" w:styleId="Pealkiri5Mrk">
    <w:name w:val="Pealkiri 5 Märk"/>
    <w:basedOn w:val="Liguvaikefont"/>
    <w:link w:val="Pealkiri5"/>
    <w:uiPriority w:val="9"/>
    <w:rsid w:val="007B5FF0"/>
    <w:rPr>
      <w:rFonts w:asciiTheme="majorHAnsi" w:eastAsiaTheme="majorEastAsia" w:hAnsiTheme="majorHAnsi" w:cstheme="majorBidi"/>
      <w:color w:val="365F91" w:themeColor="accent1" w:themeShade="BF"/>
      <w:sz w:val="24"/>
      <w:szCs w:val="24"/>
      <w:lang w:val="en-US" w:eastAsia="en-US"/>
    </w:rPr>
  </w:style>
  <w:style w:type="character" w:styleId="Lahendamatamainimine">
    <w:name w:val="Unresolved Mention"/>
    <w:basedOn w:val="Liguvaikefont"/>
    <w:uiPriority w:val="99"/>
    <w:semiHidden/>
    <w:unhideWhenUsed/>
    <w:rsid w:val="000119A3"/>
    <w:rPr>
      <w:color w:val="605E5C"/>
      <w:shd w:val="clear" w:color="auto" w:fill="E1DFDD"/>
    </w:rPr>
  </w:style>
  <w:style w:type="character" w:customStyle="1" w:styleId="cf01">
    <w:name w:val="cf01"/>
    <w:basedOn w:val="Liguvaikefont"/>
    <w:rsid w:val="00E4649F"/>
    <w:rPr>
      <w:rFonts w:ascii="Segoe UI" w:hAnsi="Segoe UI" w:cs="Segoe UI" w:hint="default"/>
      <w:sz w:val="18"/>
      <w:szCs w:val="18"/>
    </w:rPr>
  </w:style>
  <w:style w:type="character" w:styleId="Selgeltmrgatavrhutus">
    <w:name w:val="Intense Emphasis"/>
    <w:basedOn w:val="Liguvaikefont"/>
    <w:uiPriority w:val="21"/>
    <w:qFormat/>
    <w:rsid w:val="00EF1EF2"/>
    <w:rPr>
      <w:rFonts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425">
      <w:bodyDiv w:val="1"/>
      <w:marLeft w:val="0"/>
      <w:marRight w:val="0"/>
      <w:marTop w:val="0"/>
      <w:marBottom w:val="0"/>
      <w:divBdr>
        <w:top w:val="none" w:sz="0" w:space="0" w:color="auto"/>
        <w:left w:val="none" w:sz="0" w:space="0" w:color="auto"/>
        <w:bottom w:val="none" w:sz="0" w:space="0" w:color="auto"/>
        <w:right w:val="none" w:sz="0" w:space="0" w:color="auto"/>
      </w:divBdr>
    </w:div>
    <w:div w:id="81490509">
      <w:bodyDiv w:val="1"/>
      <w:marLeft w:val="0"/>
      <w:marRight w:val="0"/>
      <w:marTop w:val="0"/>
      <w:marBottom w:val="0"/>
      <w:divBdr>
        <w:top w:val="none" w:sz="0" w:space="0" w:color="auto"/>
        <w:left w:val="none" w:sz="0" w:space="0" w:color="auto"/>
        <w:bottom w:val="none" w:sz="0" w:space="0" w:color="auto"/>
        <w:right w:val="none" w:sz="0" w:space="0" w:color="auto"/>
      </w:divBdr>
    </w:div>
    <w:div w:id="93521626">
      <w:bodyDiv w:val="1"/>
      <w:marLeft w:val="0"/>
      <w:marRight w:val="0"/>
      <w:marTop w:val="0"/>
      <w:marBottom w:val="0"/>
      <w:divBdr>
        <w:top w:val="none" w:sz="0" w:space="0" w:color="auto"/>
        <w:left w:val="none" w:sz="0" w:space="0" w:color="auto"/>
        <w:bottom w:val="none" w:sz="0" w:space="0" w:color="auto"/>
        <w:right w:val="none" w:sz="0" w:space="0" w:color="auto"/>
      </w:divBdr>
    </w:div>
    <w:div w:id="202326654">
      <w:bodyDiv w:val="1"/>
      <w:marLeft w:val="0"/>
      <w:marRight w:val="0"/>
      <w:marTop w:val="0"/>
      <w:marBottom w:val="0"/>
      <w:divBdr>
        <w:top w:val="none" w:sz="0" w:space="0" w:color="auto"/>
        <w:left w:val="none" w:sz="0" w:space="0" w:color="auto"/>
        <w:bottom w:val="none" w:sz="0" w:space="0" w:color="auto"/>
        <w:right w:val="none" w:sz="0" w:space="0" w:color="auto"/>
      </w:divBdr>
    </w:div>
    <w:div w:id="514269698">
      <w:bodyDiv w:val="1"/>
      <w:marLeft w:val="0"/>
      <w:marRight w:val="0"/>
      <w:marTop w:val="0"/>
      <w:marBottom w:val="0"/>
      <w:divBdr>
        <w:top w:val="none" w:sz="0" w:space="0" w:color="auto"/>
        <w:left w:val="none" w:sz="0" w:space="0" w:color="auto"/>
        <w:bottom w:val="none" w:sz="0" w:space="0" w:color="auto"/>
        <w:right w:val="none" w:sz="0" w:space="0" w:color="auto"/>
      </w:divBdr>
    </w:div>
    <w:div w:id="540821100">
      <w:bodyDiv w:val="1"/>
      <w:marLeft w:val="0"/>
      <w:marRight w:val="0"/>
      <w:marTop w:val="0"/>
      <w:marBottom w:val="0"/>
      <w:divBdr>
        <w:top w:val="none" w:sz="0" w:space="0" w:color="auto"/>
        <w:left w:val="none" w:sz="0" w:space="0" w:color="auto"/>
        <w:bottom w:val="none" w:sz="0" w:space="0" w:color="auto"/>
        <w:right w:val="none" w:sz="0" w:space="0" w:color="auto"/>
      </w:divBdr>
    </w:div>
    <w:div w:id="546187081">
      <w:bodyDiv w:val="1"/>
      <w:marLeft w:val="0"/>
      <w:marRight w:val="0"/>
      <w:marTop w:val="0"/>
      <w:marBottom w:val="0"/>
      <w:divBdr>
        <w:top w:val="none" w:sz="0" w:space="0" w:color="auto"/>
        <w:left w:val="none" w:sz="0" w:space="0" w:color="auto"/>
        <w:bottom w:val="none" w:sz="0" w:space="0" w:color="auto"/>
        <w:right w:val="none" w:sz="0" w:space="0" w:color="auto"/>
      </w:divBdr>
    </w:div>
    <w:div w:id="562907932">
      <w:bodyDiv w:val="1"/>
      <w:marLeft w:val="0"/>
      <w:marRight w:val="0"/>
      <w:marTop w:val="0"/>
      <w:marBottom w:val="0"/>
      <w:divBdr>
        <w:top w:val="none" w:sz="0" w:space="0" w:color="auto"/>
        <w:left w:val="none" w:sz="0" w:space="0" w:color="auto"/>
        <w:bottom w:val="none" w:sz="0" w:space="0" w:color="auto"/>
        <w:right w:val="none" w:sz="0" w:space="0" w:color="auto"/>
      </w:divBdr>
    </w:div>
    <w:div w:id="645664112">
      <w:bodyDiv w:val="1"/>
      <w:marLeft w:val="0"/>
      <w:marRight w:val="0"/>
      <w:marTop w:val="0"/>
      <w:marBottom w:val="0"/>
      <w:divBdr>
        <w:top w:val="none" w:sz="0" w:space="0" w:color="auto"/>
        <w:left w:val="none" w:sz="0" w:space="0" w:color="auto"/>
        <w:bottom w:val="none" w:sz="0" w:space="0" w:color="auto"/>
        <w:right w:val="none" w:sz="0" w:space="0" w:color="auto"/>
      </w:divBdr>
    </w:div>
    <w:div w:id="752243583">
      <w:bodyDiv w:val="1"/>
      <w:marLeft w:val="0"/>
      <w:marRight w:val="0"/>
      <w:marTop w:val="0"/>
      <w:marBottom w:val="0"/>
      <w:divBdr>
        <w:top w:val="none" w:sz="0" w:space="0" w:color="auto"/>
        <w:left w:val="none" w:sz="0" w:space="0" w:color="auto"/>
        <w:bottom w:val="none" w:sz="0" w:space="0" w:color="auto"/>
        <w:right w:val="none" w:sz="0" w:space="0" w:color="auto"/>
      </w:divBdr>
    </w:div>
    <w:div w:id="797647248">
      <w:bodyDiv w:val="1"/>
      <w:marLeft w:val="0"/>
      <w:marRight w:val="0"/>
      <w:marTop w:val="0"/>
      <w:marBottom w:val="0"/>
      <w:divBdr>
        <w:top w:val="none" w:sz="0" w:space="0" w:color="auto"/>
        <w:left w:val="none" w:sz="0" w:space="0" w:color="auto"/>
        <w:bottom w:val="none" w:sz="0" w:space="0" w:color="auto"/>
        <w:right w:val="none" w:sz="0" w:space="0" w:color="auto"/>
      </w:divBdr>
    </w:div>
    <w:div w:id="911738236">
      <w:bodyDiv w:val="1"/>
      <w:marLeft w:val="0"/>
      <w:marRight w:val="0"/>
      <w:marTop w:val="0"/>
      <w:marBottom w:val="0"/>
      <w:divBdr>
        <w:top w:val="none" w:sz="0" w:space="0" w:color="auto"/>
        <w:left w:val="none" w:sz="0" w:space="0" w:color="auto"/>
        <w:bottom w:val="none" w:sz="0" w:space="0" w:color="auto"/>
        <w:right w:val="none" w:sz="0" w:space="0" w:color="auto"/>
      </w:divBdr>
    </w:div>
    <w:div w:id="923994049">
      <w:bodyDiv w:val="1"/>
      <w:marLeft w:val="0"/>
      <w:marRight w:val="0"/>
      <w:marTop w:val="0"/>
      <w:marBottom w:val="0"/>
      <w:divBdr>
        <w:top w:val="none" w:sz="0" w:space="0" w:color="auto"/>
        <w:left w:val="none" w:sz="0" w:space="0" w:color="auto"/>
        <w:bottom w:val="none" w:sz="0" w:space="0" w:color="auto"/>
        <w:right w:val="none" w:sz="0" w:space="0" w:color="auto"/>
      </w:divBdr>
    </w:div>
    <w:div w:id="1124541104">
      <w:bodyDiv w:val="1"/>
      <w:marLeft w:val="0"/>
      <w:marRight w:val="0"/>
      <w:marTop w:val="0"/>
      <w:marBottom w:val="0"/>
      <w:divBdr>
        <w:top w:val="none" w:sz="0" w:space="0" w:color="auto"/>
        <w:left w:val="none" w:sz="0" w:space="0" w:color="auto"/>
        <w:bottom w:val="none" w:sz="0" w:space="0" w:color="auto"/>
        <w:right w:val="none" w:sz="0" w:space="0" w:color="auto"/>
      </w:divBdr>
    </w:div>
    <w:div w:id="1125274912">
      <w:bodyDiv w:val="1"/>
      <w:marLeft w:val="0"/>
      <w:marRight w:val="0"/>
      <w:marTop w:val="0"/>
      <w:marBottom w:val="0"/>
      <w:divBdr>
        <w:top w:val="none" w:sz="0" w:space="0" w:color="auto"/>
        <w:left w:val="none" w:sz="0" w:space="0" w:color="auto"/>
        <w:bottom w:val="none" w:sz="0" w:space="0" w:color="auto"/>
        <w:right w:val="none" w:sz="0" w:space="0" w:color="auto"/>
      </w:divBdr>
    </w:div>
    <w:div w:id="1160922254">
      <w:bodyDiv w:val="1"/>
      <w:marLeft w:val="0"/>
      <w:marRight w:val="0"/>
      <w:marTop w:val="0"/>
      <w:marBottom w:val="0"/>
      <w:divBdr>
        <w:top w:val="none" w:sz="0" w:space="0" w:color="auto"/>
        <w:left w:val="none" w:sz="0" w:space="0" w:color="auto"/>
        <w:bottom w:val="none" w:sz="0" w:space="0" w:color="auto"/>
        <w:right w:val="none" w:sz="0" w:space="0" w:color="auto"/>
      </w:divBdr>
    </w:div>
    <w:div w:id="1180045841">
      <w:bodyDiv w:val="1"/>
      <w:marLeft w:val="0"/>
      <w:marRight w:val="0"/>
      <w:marTop w:val="0"/>
      <w:marBottom w:val="0"/>
      <w:divBdr>
        <w:top w:val="none" w:sz="0" w:space="0" w:color="auto"/>
        <w:left w:val="none" w:sz="0" w:space="0" w:color="auto"/>
        <w:bottom w:val="none" w:sz="0" w:space="0" w:color="auto"/>
        <w:right w:val="none" w:sz="0" w:space="0" w:color="auto"/>
      </w:divBdr>
    </w:div>
    <w:div w:id="1251037661">
      <w:bodyDiv w:val="1"/>
      <w:marLeft w:val="0"/>
      <w:marRight w:val="0"/>
      <w:marTop w:val="0"/>
      <w:marBottom w:val="0"/>
      <w:divBdr>
        <w:top w:val="none" w:sz="0" w:space="0" w:color="auto"/>
        <w:left w:val="none" w:sz="0" w:space="0" w:color="auto"/>
        <w:bottom w:val="none" w:sz="0" w:space="0" w:color="auto"/>
        <w:right w:val="none" w:sz="0" w:space="0" w:color="auto"/>
      </w:divBdr>
    </w:div>
    <w:div w:id="1352295976">
      <w:bodyDiv w:val="1"/>
      <w:marLeft w:val="0"/>
      <w:marRight w:val="0"/>
      <w:marTop w:val="0"/>
      <w:marBottom w:val="0"/>
      <w:divBdr>
        <w:top w:val="none" w:sz="0" w:space="0" w:color="auto"/>
        <w:left w:val="none" w:sz="0" w:space="0" w:color="auto"/>
        <w:bottom w:val="none" w:sz="0" w:space="0" w:color="auto"/>
        <w:right w:val="none" w:sz="0" w:space="0" w:color="auto"/>
      </w:divBdr>
    </w:div>
    <w:div w:id="1362434697">
      <w:bodyDiv w:val="1"/>
      <w:marLeft w:val="0"/>
      <w:marRight w:val="0"/>
      <w:marTop w:val="0"/>
      <w:marBottom w:val="0"/>
      <w:divBdr>
        <w:top w:val="none" w:sz="0" w:space="0" w:color="auto"/>
        <w:left w:val="none" w:sz="0" w:space="0" w:color="auto"/>
        <w:bottom w:val="none" w:sz="0" w:space="0" w:color="auto"/>
        <w:right w:val="none" w:sz="0" w:space="0" w:color="auto"/>
      </w:divBdr>
    </w:div>
    <w:div w:id="1387492537">
      <w:bodyDiv w:val="1"/>
      <w:marLeft w:val="0"/>
      <w:marRight w:val="0"/>
      <w:marTop w:val="0"/>
      <w:marBottom w:val="0"/>
      <w:divBdr>
        <w:top w:val="none" w:sz="0" w:space="0" w:color="auto"/>
        <w:left w:val="none" w:sz="0" w:space="0" w:color="auto"/>
        <w:bottom w:val="none" w:sz="0" w:space="0" w:color="auto"/>
        <w:right w:val="none" w:sz="0" w:space="0" w:color="auto"/>
      </w:divBdr>
    </w:div>
    <w:div w:id="1703241675">
      <w:bodyDiv w:val="1"/>
      <w:marLeft w:val="0"/>
      <w:marRight w:val="0"/>
      <w:marTop w:val="0"/>
      <w:marBottom w:val="0"/>
      <w:divBdr>
        <w:top w:val="none" w:sz="0" w:space="0" w:color="auto"/>
        <w:left w:val="none" w:sz="0" w:space="0" w:color="auto"/>
        <w:bottom w:val="none" w:sz="0" w:space="0" w:color="auto"/>
        <w:right w:val="none" w:sz="0" w:space="0" w:color="auto"/>
      </w:divBdr>
    </w:div>
    <w:div w:id="1745881495">
      <w:bodyDiv w:val="1"/>
      <w:marLeft w:val="0"/>
      <w:marRight w:val="0"/>
      <w:marTop w:val="0"/>
      <w:marBottom w:val="0"/>
      <w:divBdr>
        <w:top w:val="none" w:sz="0" w:space="0" w:color="auto"/>
        <w:left w:val="none" w:sz="0" w:space="0" w:color="auto"/>
        <w:bottom w:val="none" w:sz="0" w:space="0" w:color="auto"/>
        <w:right w:val="none" w:sz="0" w:space="0" w:color="auto"/>
      </w:divBdr>
    </w:div>
    <w:div w:id="1799488868">
      <w:bodyDiv w:val="1"/>
      <w:marLeft w:val="0"/>
      <w:marRight w:val="0"/>
      <w:marTop w:val="0"/>
      <w:marBottom w:val="0"/>
      <w:divBdr>
        <w:top w:val="none" w:sz="0" w:space="0" w:color="auto"/>
        <w:left w:val="none" w:sz="0" w:space="0" w:color="auto"/>
        <w:bottom w:val="none" w:sz="0" w:space="0" w:color="auto"/>
        <w:right w:val="none" w:sz="0" w:space="0" w:color="auto"/>
      </w:divBdr>
    </w:div>
    <w:div w:id="1837106979">
      <w:marLeft w:val="0"/>
      <w:marRight w:val="0"/>
      <w:marTop w:val="0"/>
      <w:marBottom w:val="0"/>
      <w:divBdr>
        <w:top w:val="none" w:sz="0" w:space="0" w:color="auto"/>
        <w:left w:val="none" w:sz="0" w:space="0" w:color="auto"/>
        <w:bottom w:val="none" w:sz="0" w:space="0" w:color="auto"/>
        <w:right w:val="none" w:sz="0" w:space="0" w:color="auto"/>
      </w:divBdr>
    </w:div>
    <w:div w:id="1837106980">
      <w:marLeft w:val="0"/>
      <w:marRight w:val="0"/>
      <w:marTop w:val="0"/>
      <w:marBottom w:val="0"/>
      <w:divBdr>
        <w:top w:val="none" w:sz="0" w:space="0" w:color="auto"/>
        <w:left w:val="none" w:sz="0" w:space="0" w:color="auto"/>
        <w:bottom w:val="none" w:sz="0" w:space="0" w:color="auto"/>
        <w:right w:val="none" w:sz="0" w:space="0" w:color="auto"/>
      </w:divBdr>
    </w:div>
    <w:div w:id="1837106981">
      <w:marLeft w:val="0"/>
      <w:marRight w:val="0"/>
      <w:marTop w:val="0"/>
      <w:marBottom w:val="0"/>
      <w:divBdr>
        <w:top w:val="none" w:sz="0" w:space="0" w:color="auto"/>
        <w:left w:val="none" w:sz="0" w:space="0" w:color="auto"/>
        <w:bottom w:val="none" w:sz="0" w:space="0" w:color="auto"/>
        <w:right w:val="none" w:sz="0" w:space="0" w:color="auto"/>
      </w:divBdr>
    </w:div>
    <w:div w:id="1837106983">
      <w:marLeft w:val="0"/>
      <w:marRight w:val="0"/>
      <w:marTop w:val="0"/>
      <w:marBottom w:val="0"/>
      <w:divBdr>
        <w:top w:val="none" w:sz="0" w:space="0" w:color="auto"/>
        <w:left w:val="none" w:sz="0" w:space="0" w:color="auto"/>
        <w:bottom w:val="none" w:sz="0" w:space="0" w:color="auto"/>
        <w:right w:val="none" w:sz="0" w:space="0" w:color="auto"/>
      </w:divBdr>
    </w:div>
    <w:div w:id="1837106984">
      <w:marLeft w:val="0"/>
      <w:marRight w:val="0"/>
      <w:marTop w:val="0"/>
      <w:marBottom w:val="0"/>
      <w:divBdr>
        <w:top w:val="none" w:sz="0" w:space="0" w:color="auto"/>
        <w:left w:val="none" w:sz="0" w:space="0" w:color="auto"/>
        <w:bottom w:val="none" w:sz="0" w:space="0" w:color="auto"/>
        <w:right w:val="none" w:sz="0" w:space="0" w:color="auto"/>
      </w:divBdr>
      <w:divsChild>
        <w:div w:id="1837106982">
          <w:marLeft w:val="720"/>
          <w:marRight w:val="0"/>
          <w:marTop w:val="100"/>
          <w:marBottom w:val="100"/>
          <w:divBdr>
            <w:top w:val="none" w:sz="0" w:space="0" w:color="auto"/>
            <w:left w:val="none" w:sz="0" w:space="0" w:color="auto"/>
            <w:bottom w:val="none" w:sz="0" w:space="0" w:color="auto"/>
            <w:right w:val="none" w:sz="0" w:space="0" w:color="auto"/>
          </w:divBdr>
          <w:divsChild>
            <w:div w:id="18371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6985">
      <w:marLeft w:val="0"/>
      <w:marRight w:val="0"/>
      <w:marTop w:val="0"/>
      <w:marBottom w:val="0"/>
      <w:divBdr>
        <w:top w:val="none" w:sz="0" w:space="0" w:color="auto"/>
        <w:left w:val="none" w:sz="0" w:space="0" w:color="auto"/>
        <w:bottom w:val="none" w:sz="0" w:space="0" w:color="auto"/>
        <w:right w:val="none" w:sz="0" w:space="0" w:color="auto"/>
      </w:divBdr>
    </w:div>
    <w:div w:id="1837106986">
      <w:marLeft w:val="0"/>
      <w:marRight w:val="0"/>
      <w:marTop w:val="0"/>
      <w:marBottom w:val="0"/>
      <w:divBdr>
        <w:top w:val="none" w:sz="0" w:space="0" w:color="auto"/>
        <w:left w:val="none" w:sz="0" w:space="0" w:color="auto"/>
        <w:bottom w:val="none" w:sz="0" w:space="0" w:color="auto"/>
        <w:right w:val="none" w:sz="0" w:space="0" w:color="auto"/>
      </w:divBdr>
      <w:divsChild>
        <w:div w:id="1837106978">
          <w:marLeft w:val="0"/>
          <w:marRight w:val="0"/>
          <w:marTop w:val="0"/>
          <w:marBottom w:val="0"/>
          <w:divBdr>
            <w:top w:val="none" w:sz="0" w:space="0" w:color="auto"/>
            <w:left w:val="none" w:sz="0" w:space="0" w:color="auto"/>
            <w:bottom w:val="none" w:sz="0" w:space="0" w:color="auto"/>
            <w:right w:val="none" w:sz="0" w:space="0" w:color="auto"/>
          </w:divBdr>
        </w:div>
      </w:divsChild>
    </w:div>
    <w:div w:id="1837106987">
      <w:marLeft w:val="0"/>
      <w:marRight w:val="0"/>
      <w:marTop w:val="0"/>
      <w:marBottom w:val="0"/>
      <w:divBdr>
        <w:top w:val="none" w:sz="0" w:space="0" w:color="auto"/>
        <w:left w:val="none" w:sz="0" w:space="0" w:color="auto"/>
        <w:bottom w:val="none" w:sz="0" w:space="0" w:color="auto"/>
        <w:right w:val="none" w:sz="0" w:space="0" w:color="auto"/>
      </w:divBdr>
    </w:div>
    <w:div w:id="1837106988">
      <w:marLeft w:val="0"/>
      <w:marRight w:val="0"/>
      <w:marTop w:val="0"/>
      <w:marBottom w:val="0"/>
      <w:divBdr>
        <w:top w:val="none" w:sz="0" w:space="0" w:color="auto"/>
        <w:left w:val="none" w:sz="0" w:space="0" w:color="auto"/>
        <w:bottom w:val="none" w:sz="0" w:space="0" w:color="auto"/>
        <w:right w:val="none" w:sz="0" w:space="0" w:color="auto"/>
      </w:divBdr>
    </w:div>
    <w:div w:id="20969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ika.sepp@mkm.ee" TargetMode="External"/><Relationship Id="rId18" Type="http://schemas.openxmlformats.org/officeDocument/2006/relationships/hyperlink" Target="mailto:piret.eelmets@sm.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yri.lossenko@sm.ee" TargetMode="External"/><Relationship Id="rId17" Type="http://schemas.openxmlformats.org/officeDocument/2006/relationships/hyperlink" Target="mailto:ira.songisepp@tootukassa.ee" TargetMode="External"/><Relationship Id="rId2" Type="http://schemas.openxmlformats.org/officeDocument/2006/relationships/customXml" Target="../customXml/item2.xml"/><Relationship Id="rId16" Type="http://schemas.openxmlformats.org/officeDocument/2006/relationships/hyperlink" Target="mailto:brit.rammul@tootukassa.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risti.suur@mkm.ee" TargetMode="External"/><Relationship Id="rId10" Type="http://schemas.openxmlformats.org/officeDocument/2006/relationships/footnotes" Target="footnotes.xml"/><Relationship Id="rId19" Type="http://schemas.openxmlformats.org/officeDocument/2006/relationships/hyperlink" Target="mailto:virge.tammaru@fin.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grid.erm-eks@mkm.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nvir.ee/media/885/download" TargetMode="External"/><Relationship Id="rId1" Type="http://schemas.openxmlformats.org/officeDocument/2006/relationships/hyperlink" Target="https://envir.ee/media/9407/download"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2" ma:contentTypeDescription="Loo uus dokument" ma:contentTypeScope="" ma:versionID="12ab0deec7cfeb1a6194993120018c0a">
  <xsd:schema xmlns:xsd="http://www.w3.org/2001/XMLSchema" xmlns:xs="http://www.w3.org/2001/XMLSchema" xmlns:p="http://schemas.microsoft.com/office/2006/metadata/properties" xmlns:ns2="aff8a95a-bdca-4bd1-9f28-df5ebd643b89" targetNamespace="http://schemas.microsoft.com/office/2006/metadata/properties" ma:root="true" ma:fieldsID="04d8bede78221c15ddfa129f066c6426"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HXU5DPSK444F-947444548-18089</_dlc_DocId>
    <_dlc_DocIdUrl xmlns="aff8a95a-bdca-4bd1-9f28-df5ebd643b89">
      <Url>https://kontor.rik.ee/sm/_layouts/15/DocIdRedir.aspx?ID=HXU5DPSK444F-947444548-18089</Url>
      <Description>HXU5DPSK444F-947444548-18089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FF726F-89DA-4684-86D8-ACF5110B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DFF53-BD6D-4E8B-BD61-750906373745}">
  <ds:schemaRefs>
    <ds:schemaRef ds:uri="http://schemas.openxmlformats.org/officeDocument/2006/bibliography"/>
  </ds:schemaRefs>
</ds:datastoreItem>
</file>

<file path=customXml/itemProps3.xml><?xml version="1.0" encoding="utf-8"?>
<ds:datastoreItem xmlns:ds="http://schemas.openxmlformats.org/officeDocument/2006/customXml" ds:itemID="{83CE0D2E-E3F3-4F4D-8734-22CC780BBC63}">
  <ds:schemaRefs>
    <ds:schemaRef ds:uri="http://schemas.microsoft.com/office/2006/metadata/properties"/>
    <ds:schemaRef ds:uri="http://schemas.microsoft.com/office/infopath/2007/PartnerControls"/>
    <ds:schemaRef ds:uri="aff8a95a-bdca-4bd1-9f28-df5ebd643b89"/>
  </ds:schemaRefs>
</ds:datastoreItem>
</file>

<file path=customXml/itemProps4.xml><?xml version="1.0" encoding="utf-8"?>
<ds:datastoreItem xmlns:ds="http://schemas.openxmlformats.org/officeDocument/2006/customXml" ds:itemID="{F35459D1-2DD5-4328-9B35-586C893243E1}">
  <ds:schemaRefs>
    <ds:schemaRef ds:uri="http://schemas.microsoft.com/sharepoint/v3/contenttype/forms"/>
  </ds:schemaRefs>
</ds:datastoreItem>
</file>

<file path=customXml/itemProps5.xml><?xml version="1.0" encoding="utf-8"?>
<ds:datastoreItem xmlns:ds="http://schemas.openxmlformats.org/officeDocument/2006/customXml" ds:itemID="{802069D6-2FDB-4964-AAEC-8A10CF1E57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5930</Words>
  <Characters>44566</Characters>
  <Application>Microsoft Office Word</Application>
  <DocSecurity>0</DocSecurity>
  <Lines>371</Lines>
  <Paragraphs>100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Sotsiaalministeerium</Company>
  <LinksUpToDate>false</LinksUpToDate>
  <CharactersWithSpaces>50396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kertu saks</dc:creator>
  <cp:keywords/>
  <dc:description/>
  <cp:lastModifiedBy>Kairi-Ly Einborn</cp:lastModifiedBy>
  <cp:revision>2</cp:revision>
  <cp:lastPrinted>2007-08-23T12:06:00Z</cp:lastPrinted>
  <dcterms:created xsi:type="dcterms:W3CDTF">2023-09-07T09:32:00Z</dcterms:created>
  <dcterms:modified xsi:type="dcterms:W3CDTF">2023-09-07T09:32:00Z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0x01010079F7799B0CFE894F884EAB1620C1FEAE</vt:lpwstr>
  </property>
  <property fmtid="{D5CDD505-2E9C-101B-9397-08002B2CF9AE}" pid="4" name="_dlc_DocIdItemGuid">
    <vt:lpwstr>fecd893a-3baa-42e5-a1b7-09fed657d0d5</vt:lpwstr>
  </property>
</Properties>
</file>