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01F94" w14:textId="77777777" w:rsidR="006D0B45" w:rsidRPr="006D0B45" w:rsidRDefault="006D0B45" w:rsidP="006D0B45">
      <w:pPr>
        <w:rPr>
          <w:b/>
          <w:bCs/>
        </w:rPr>
      </w:pPr>
      <w:r w:rsidRPr="006D0B45">
        <w:rPr>
          <w:b/>
          <w:bCs/>
        </w:rPr>
        <w:t>SELGITUSTAOTLUS</w:t>
      </w:r>
    </w:p>
    <w:p w14:paraId="12C83793" w14:textId="77777777" w:rsidR="006D0B45" w:rsidRPr="006D0B45" w:rsidRDefault="006D0B45" w:rsidP="006D0B45">
      <w:r w:rsidRPr="006D0B45">
        <w:rPr>
          <w:i/>
          <w:iCs/>
        </w:rPr>
        <w:t>(täpsustatud ja seisukohta nõudev)</w:t>
      </w:r>
      <w:r w:rsidRPr="006D0B45">
        <w:br/>
      </w:r>
      <w:r w:rsidRPr="006D0B45">
        <w:rPr>
          <w:b/>
          <w:bCs/>
        </w:rPr>
        <w:t>Tulekahjusignalisatsioonisüsteemide projekteerimisnõuete rakendamise kohta</w:t>
      </w:r>
    </w:p>
    <w:p w14:paraId="2608CED5" w14:textId="77777777" w:rsidR="006D0B45" w:rsidRPr="006D0B45" w:rsidRDefault="006D0B45" w:rsidP="006D0B45">
      <w:r w:rsidRPr="006D0B45">
        <w:t>Austatud Päästeamet</w:t>
      </w:r>
    </w:p>
    <w:p w14:paraId="3AF37F58" w14:textId="77777777" w:rsidR="006D0B45" w:rsidRPr="006D0B45" w:rsidRDefault="006D0B45" w:rsidP="006D0B45">
      <w:r w:rsidRPr="006D0B45">
        <w:t>Pöördume Teie poole seoses tulekahjusignalisatsioonisüsteemide (ATS) projektide kooskõlastamisel esinenud korduvate praktikatega, kus esitatakse nõudeid, millel ei ole meie hinnangul selget viidet kehtivale õigusaktile või standardile.</w:t>
      </w:r>
    </w:p>
    <w:p w14:paraId="2A693520" w14:textId="77777777" w:rsidR="006D0B45" w:rsidRPr="006D0B45" w:rsidRDefault="006D0B45" w:rsidP="006D0B45">
      <w:r w:rsidRPr="006D0B45">
        <w:t>Praktikas on esinenud olukordi, kus:</w:t>
      </w:r>
    </w:p>
    <w:p w14:paraId="12767845" w14:textId="39281B6F" w:rsidR="006D0B45" w:rsidRPr="006D0B45" w:rsidRDefault="00E70AE7" w:rsidP="00E70AE7">
      <w:pPr>
        <w:numPr>
          <w:ilvl w:val="0"/>
          <w:numId w:val="1"/>
        </w:numPr>
      </w:pPr>
      <w:r w:rsidRPr="00E70AE7">
        <w:t>piiratakse ühe täielikult varundatud (full redundant</w:t>
      </w:r>
      <w:r>
        <w:t>*</w:t>
      </w:r>
      <w:r w:rsidRPr="00E70AE7">
        <w:t>) ATS keskseadmega ühendatavate häireseadmete arvu (nt ligikaudu 1000 seadme tasemel),</w:t>
      </w:r>
      <w:r>
        <w:t xml:space="preserve"> </w:t>
      </w:r>
      <w:r w:rsidR="006D0B45" w:rsidRPr="006D0B45">
        <w:t xml:space="preserve">ei aktsepteerita tootja poolt ette nähtud täielikult </w:t>
      </w:r>
      <w:r w:rsidR="009551E9">
        <w:t xml:space="preserve">täielikult varundatud </w:t>
      </w:r>
      <w:r w:rsidR="00BA78AE">
        <w:t xml:space="preserve">keskseadmega </w:t>
      </w:r>
      <w:r w:rsidR="006D0B45" w:rsidRPr="006D0B45">
        <w:t xml:space="preserve">süsteemilahendusi, </w:t>
      </w:r>
    </w:p>
    <w:p w14:paraId="65F09A26" w14:textId="77777777" w:rsidR="006D0B45" w:rsidRPr="006D0B45" w:rsidRDefault="006D0B45" w:rsidP="006D0B45">
      <w:pPr>
        <w:numPr>
          <w:ilvl w:val="0"/>
          <w:numId w:val="1"/>
        </w:numPr>
      </w:pPr>
      <w:r w:rsidRPr="006D0B45">
        <w:t xml:space="preserve">nimetatud seisukohtade juurde ei ole esitatud viidet konkreetsele normatiivsele alusele. </w:t>
      </w:r>
    </w:p>
    <w:p w14:paraId="5A568EA7" w14:textId="77777777" w:rsidR="006D0B45" w:rsidRPr="006D0B45" w:rsidRDefault="006D0B45" w:rsidP="006D0B45">
      <w:r w:rsidRPr="006D0B45">
        <w:t>Juhime tähelepanu, et kirjeldatud piiranguid on rakendatud objektidel:</w:t>
      </w:r>
    </w:p>
    <w:p w14:paraId="45AB7742" w14:textId="77777777" w:rsidR="006D0B45" w:rsidRPr="006D0B45" w:rsidRDefault="006D0B45" w:rsidP="006D0B45">
      <w:pPr>
        <w:numPr>
          <w:ilvl w:val="0"/>
          <w:numId w:val="2"/>
        </w:numPr>
      </w:pPr>
      <w:r w:rsidRPr="006D0B45">
        <w:t xml:space="preserve">millele ei kohaldu EVS 812-8:2018/AC:2019, </w:t>
      </w:r>
    </w:p>
    <w:p w14:paraId="5E0AE99B" w14:textId="77777777" w:rsidR="006D0B45" w:rsidRPr="006D0B45" w:rsidRDefault="006D0B45" w:rsidP="006D0B45">
      <w:pPr>
        <w:numPr>
          <w:ilvl w:val="0"/>
          <w:numId w:val="2"/>
        </w:numPr>
      </w:pPr>
      <w:r w:rsidRPr="006D0B45">
        <w:t xml:space="preserve">kus häireseadmete arv ületab 1024 seadet, </w:t>
      </w:r>
    </w:p>
    <w:p w14:paraId="63B0B5D9" w14:textId="35E46279" w:rsidR="006D0B45" w:rsidRPr="006D0B45" w:rsidRDefault="006D0B45" w:rsidP="006D0B45">
      <w:pPr>
        <w:numPr>
          <w:ilvl w:val="0"/>
          <w:numId w:val="2"/>
        </w:numPr>
      </w:pPr>
      <w:r w:rsidRPr="006D0B45">
        <w:t xml:space="preserve">ning kus on kavandatud tootja poolt sertifitseeritud täielikult </w:t>
      </w:r>
      <w:r w:rsidR="00BA78AE">
        <w:t>varundatud</w:t>
      </w:r>
      <w:r w:rsidRPr="006D0B45">
        <w:t xml:space="preserve"> süsteem, mille puhul: </w:t>
      </w:r>
    </w:p>
    <w:p w14:paraId="0D3D3E2C" w14:textId="77777777" w:rsidR="006D0B45" w:rsidRPr="006D0B45" w:rsidRDefault="006D0B45" w:rsidP="006D0B45">
      <w:pPr>
        <w:numPr>
          <w:ilvl w:val="1"/>
          <w:numId w:val="2"/>
        </w:numPr>
      </w:pPr>
      <w:r w:rsidRPr="006D0B45">
        <w:t xml:space="preserve">puudub üksik rikke punkt (no single point of failure), </w:t>
      </w:r>
    </w:p>
    <w:p w14:paraId="0186C686" w14:textId="7C212F9F" w:rsidR="006D0B45" w:rsidRPr="006D0B45" w:rsidRDefault="006D0B45" w:rsidP="00E90323">
      <w:pPr>
        <w:numPr>
          <w:ilvl w:val="1"/>
          <w:numId w:val="2"/>
        </w:numPr>
      </w:pPr>
      <w:r w:rsidRPr="006D0B45">
        <w:t>süsteemi töö jätkub ka keskseadme rikke korral</w:t>
      </w:r>
      <w:r w:rsidR="00E90323">
        <w:t xml:space="preserve"> </w:t>
      </w:r>
      <w:r w:rsidR="00E90323" w:rsidRPr="00E90323">
        <w:t>ja rikke korral ei ole mõjutatud mitte ükski seade</w:t>
      </w:r>
      <w:r w:rsidR="00E90323">
        <w:t>.</w:t>
      </w:r>
    </w:p>
    <w:p w14:paraId="2A7AC06C" w14:textId="7F8352DE" w:rsidR="006D0B45" w:rsidRPr="006D0B45" w:rsidRDefault="006D0B45" w:rsidP="006D0B45">
      <w:pPr>
        <w:numPr>
          <w:ilvl w:val="1"/>
          <w:numId w:val="2"/>
        </w:numPr>
      </w:pPr>
      <w:r w:rsidRPr="006D0B45">
        <w:t>tootja poolt lubatud süsteemi maht</w:t>
      </w:r>
      <w:r w:rsidR="00BA78AE">
        <w:t xml:space="preserve"> sellise lahenduse puhul</w:t>
      </w:r>
      <w:r w:rsidRPr="006D0B45">
        <w:t xml:space="preserve"> ületab 4000 häireseadet. </w:t>
      </w:r>
    </w:p>
    <w:p w14:paraId="4234BC7D" w14:textId="77777777" w:rsidR="006D0B45" w:rsidRPr="006D0B45" w:rsidRDefault="006D0B45" w:rsidP="006D0B45">
      <w:r w:rsidRPr="006D0B45">
        <w:t>Palume Päästeametilt selget ja üheselt mõistetavat seisukohta järgmistes küsimustes:</w:t>
      </w:r>
    </w:p>
    <w:p w14:paraId="7C2FD0CD" w14:textId="77777777" w:rsidR="006D0B45" w:rsidRPr="006D0B45" w:rsidRDefault="006D0B45" w:rsidP="006D0B45">
      <w:pPr>
        <w:numPr>
          <w:ilvl w:val="0"/>
          <w:numId w:val="3"/>
        </w:numPr>
      </w:pPr>
      <w:r w:rsidRPr="006D0B45">
        <w:t xml:space="preserve">Milline õigusakt või standard (sh EN 54-2:1999+A1:2006, EVS-EN 54-14 või muu) sätestab maksimaalse lubatud häireseadmete arvu ühe ATS keskseadme või süsteemi kohta? </w:t>
      </w:r>
    </w:p>
    <w:p w14:paraId="516A3245" w14:textId="77777777" w:rsidR="006D0B45" w:rsidRPr="006D0B45" w:rsidRDefault="006D0B45" w:rsidP="006D0B45">
      <w:pPr>
        <w:numPr>
          <w:ilvl w:val="0"/>
          <w:numId w:val="3"/>
        </w:numPr>
      </w:pPr>
      <w:r w:rsidRPr="006D0B45">
        <w:t>Kas praktikas rakendatav seadmete arvu piirang (ligikaudu 1000 seadet) on:</w:t>
      </w:r>
      <w:r w:rsidRPr="006D0B45">
        <w:br/>
        <w:t>a) siduv nõue, millel on selge õiguslik alus,</w:t>
      </w:r>
      <w:r w:rsidRPr="006D0B45">
        <w:br/>
        <w:t>või</w:t>
      </w:r>
      <w:r w:rsidRPr="006D0B45">
        <w:br/>
        <w:t xml:space="preserve">b) tõlgenduslik praktika, mis võib erineda sõltuvalt konkreetsest ametnikust? </w:t>
      </w:r>
    </w:p>
    <w:p w14:paraId="72176D2F" w14:textId="5B36C971" w:rsidR="006D0B45" w:rsidRPr="006D0B45" w:rsidRDefault="006D0B45" w:rsidP="006D0B45">
      <w:pPr>
        <w:numPr>
          <w:ilvl w:val="0"/>
          <w:numId w:val="3"/>
        </w:numPr>
      </w:pPr>
      <w:r w:rsidRPr="006D0B45">
        <w:t xml:space="preserve">Millisel õiguslikul või tehnilisel alusel ei aktsepteerita </w:t>
      </w:r>
      <w:r w:rsidR="00BA78AE">
        <w:t>täielikult varundatud keskseadmega</w:t>
      </w:r>
      <w:r w:rsidRPr="006D0B45">
        <w:t xml:space="preserve"> ATS lahendusi olukorras, kus: </w:t>
      </w:r>
    </w:p>
    <w:p w14:paraId="07C4A867" w14:textId="77777777" w:rsidR="006D0B45" w:rsidRPr="006D0B45" w:rsidRDefault="006D0B45" w:rsidP="006D0B45">
      <w:pPr>
        <w:numPr>
          <w:ilvl w:val="1"/>
          <w:numId w:val="3"/>
        </w:numPr>
      </w:pPr>
      <w:r w:rsidRPr="006D0B45">
        <w:t xml:space="preserve">süsteem vastab tootja spetsifikatsioonile, </w:t>
      </w:r>
    </w:p>
    <w:p w14:paraId="1E7D2281" w14:textId="77777777" w:rsidR="006D0B45" w:rsidRPr="006D0B45" w:rsidRDefault="006D0B45" w:rsidP="006D0B45">
      <w:pPr>
        <w:numPr>
          <w:ilvl w:val="1"/>
          <w:numId w:val="3"/>
        </w:numPr>
      </w:pPr>
      <w:r w:rsidRPr="006D0B45">
        <w:t xml:space="preserve">puudub üksik rikke punkt, </w:t>
      </w:r>
    </w:p>
    <w:p w14:paraId="41A17359" w14:textId="33BDB044" w:rsidR="006D0B45" w:rsidRPr="006D0B45" w:rsidRDefault="006D0B45" w:rsidP="006D0B45">
      <w:pPr>
        <w:numPr>
          <w:ilvl w:val="1"/>
          <w:numId w:val="3"/>
        </w:numPr>
      </w:pPr>
      <w:r w:rsidRPr="006D0B45">
        <w:t>süsteemi töökindlus on kõrgem</w:t>
      </w:r>
      <w:r w:rsidR="00857718">
        <w:t xml:space="preserve"> (täielikult dubleeritud varukeskseadme abil)</w:t>
      </w:r>
      <w:r w:rsidRPr="006D0B45">
        <w:t xml:space="preserve"> kui mitteredundantsetel lahendustel? </w:t>
      </w:r>
    </w:p>
    <w:p w14:paraId="69D2F7EB" w14:textId="77777777" w:rsidR="006D0B45" w:rsidRPr="006D0B45" w:rsidRDefault="006D0B45" w:rsidP="006D0B45">
      <w:pPr>
        <w:numPr>
          <w:ilvl w:val="0"/>
          <w:numId w:val="3"/>
        </w:numPr>
      </w:pPr>
      <w:r w:rsidRPr="006D0B45">
        <w:lastRenderedPageBreak/>
        <w:t xml:space="preserve">Kas Päästeameti seisukoht ATS süsteemide projekteerimisel lähtub eelkõige: </w:t>
      </w:r>
    </w:p>
    <w:p w14:paraId="5D7DE35D" w14:textId="77777777" w:rsidR="006D0B45" w:rsidRPr="006D0B45" w:rsidRDefault="006D0B45" w:rsidP="006D0B45">
      <w:pPr>
        <w:numPr>
          <w:ilvl w:val="1"/>
          <w:numId w:val="3"/>
        </w:numPr>
      </w:pPr>
      <w:r w:rsidRPr="006D0B45">
        <w:t>seadmete arvu piiramisest,</w:t>
      </w:r>
      <w:r w:rsidRPr="006D0B45">
        <w:br/>
        <w:t xml:space="preserve">või </w:t>
      </w:r>
    </w:p>
    <w:p w14:paraId="41883D54" w14:textId="77777777" w:rsidR="006D0B45" w:rsidRPr="006D0B45" w:rsidRDefault="006D0B45" w:rsidP="006D0B45">
      <w:pPr>
        <w:numPr>
          <w:ilvl w:val="1"/>
          <w:numId w:val="3"/>
        </w:numPr>
      </w:pPr>
      <w:r w:rsidRPr="006D0B45">
        <w:t xml:space="preserve">rikke mõju piiramise põhimõttest, nagu on käsitletud standardites EN 54-2:1999+A1:2006 ja EVS-EN 54-14? </w:t>
      </w:r>
    </w:p>
    <w:p w14:paraId="2F63249F" w14:textId="77777777" w:rsidR="00BA78AE" w:rsidRPr="006D0B45" w:rsidRDefault="00BA78AE" w:rsidP="006D0B45"/>
    <w:p w14:paraId="42EAE9F2" w14:textId="77777777" w:rsidR="006D0B45" w:rsidRPr="006D0B45" w:rsidRDefault="00000000" w:rsidP="006D0B45">
      <w:r>
        <w:pict w14:anchorId="2AD74EE4">
          <v:rect id="_x0000_i1025" style="width:0;height:1.5pt" o:hralign="center" o:hrstd="t" o:hr="t" fillcolor="#a0a0a0" stroked="f"/>
        </w:pict>
      </w:r>
    </w:p>
    <w:p w14:paraId="491DBDE2" w14:textId="77777777" w:rsidR="006D0B45" w:rsidRPr="006D0B45" w:rsidRDefault="006D0B45" w:rsidP="006D0B45">
      <w:pPr>
        <w:rPr>
          <w:b/>
          <w:bCs/>
        </w:rPr>
      </w:pPr>
      <w:r w:rsidRPr="006D0B45">
        <w:rPr>
          <w:b/>
          <w:bCs/>
        </w:rPr>
        <w:t>Lisa 1 – tehniline selgitus</w:t>
      </w:r>
    </w:p>
    <w:p w14:paraId="150A6032" w14:textId="77777777" w:rsidR="006D0B45" w:rsidRPr="006D0B45" w:rsidRDefault="006D0B45" w:rsidP="006D0B45">
      <w:pPr>
        <w:rPr>
          <w:b/>
          <w:bCs/>
        </w:rPr>
      </w:pPr>
      <w:r w:rsidRPr="006D0B45">
        <w:rPr>
          <w:b/>
          <w:bCs/>
        </w:rPr>
        <w:t>1. Süsteemi tüüp</w:t>
      </w:r>
    </w:p>
    <w:p w14:paraId="4A191084" w14:textId="2A788434" w:rsidR="006D0B45" w:rsidRPr="006D0B45" w:rsidRDefault="006D0B45" w:rsidP="006D0B45">
      <w:r w:rsidRPr="006D0B45">
        <w:t xml:space="preserve">Kavandatud süsteem on täielikult </w:t>
      </w:r>
      <w:r w:rsidR="009551E9">
        <w:t>varundatud</w:t>
      </w:r>
      <w:r w:rsidRPr="006D0B45">
        <w:t xml:space="preserve"> (full redundant) ATS lahendus, mille puhul:</w:t>
      </w:r>
    </w:p>
    <w:p w14:paraId="3E9B7431" w14:textId="2F8C28B4" w:rsidR="006D0B45" w:rsidRPr="006D0B45" w:rsidRDefault="006D0B45" w:rsidP="006D0B45">
      <w:pPr>
        <w:numPr>
          <w:ilvl w:val="0"/>
          <w:numId w:val="4"/>
        </w:numPr>
      </w:pPr>
      <w:r w:rsidRPr="006D0B45">
        <w:t xml:space="preserve">kasutatakse kahte </w:t>
      </w:r>
      <w:r w:rsidR="00972B00">
        <w:t>samaväärset</w:t>
      </w:r>
      <w:r w:rsidRPr="006D0B45">
        <w:t xml:space="preserve"> keskseadet </w:t>
      </w:r>
      <w:r w:rsidR="00972B00">
        <w:t>(peakeskus ja varukeskus)</w:t>
      </w:r>
    </w:p>
    <w:p w14:paraId="6CC54647" w14:textId="77777777" w:rsidR="006D0B45" w:rsidRPr="006D0B45" w:rsidRDefault="006D0B45" w:rsidP="006D0B45">
      <w:pPr>
        <w:numPr>
          <w:ilvl w:val="0"/>
          <w:numId w:val="4"/>
        </w:numPr>
      </w:pPr>
      <w:r w:rsidRPr="006D0B45">
        <w:t xml:space="preserve">kõik kriitilised komponendid on dubleeritud, </w:t>
      </w:r>
    </w:p>
    <w:p w14:paraId="672600C2" w14:textId="77777777" w:rsidR="006D0B45" w:rsidRPr="006D0B45" w:rsidRDefault="006D0B45" w:rsidP="006D0B45">
      <w:pPr>
        <w:numPr>
          <w:ilvl w:val="0"/>
          <w:numId w:val="4"/>
        </w:numPr>
      </w:pPr>
      <w:r w:rsidRPr="006D0B45">
        <w:t xml:space="preserve">puudub üksik rikke punkt (no single point of failure). </w:t>
      </w:r>
    </w:p>
    <w:p w14:paraId="37F81321" w14:textId="77777777" w:rsidR="006D0B45" w:rsidRPr="006D0B45" w:rsidRDefault="00000000" w:rsidP="006D0B45">
      <w:r>
        <w:pict w14:anchorId="20FA39A0">
          <v:rect id="_x0000_i1026" style="width:0;height:1.5pt" o:hralign="center" o:hrstd="t" o:hr="t" fillcolor="#a0a0a0" stroked="f"/>
        </w:pict>
      </w:r>
    </w:p>
    <w:p w14:paraId="4302AE1B" w14:textId="77777777" w:rsidR="006D0B45" w:rsidRPr="006D0B45" w:rsidRDefault="006D0B45" w:rsidP="006D0B45">
      <w:pPr>
        <w:rPr>
          <w:b/>
          <w:bCs/>
        </w:rPr>
      </w:pPr>
      <w:r w:rsidRPr="006D0B45">
        <w:rPr>
          <w:b/>
          <w:bCs/>
        </w:rPr>
        <w:t>2. Rikke mõju analüüs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3202"/>
        <w:gridCol w:w="3141"/>
      </w:tblGrid>
      <w:tr w:rsidR="006D0B45" w:rsidRPr="006D0B45" w14:paraId="6E669987" w14:textId="77777777" w:rsidTr="00972B00">
        <w:trPr>
          <w:tblHeader/>
          <w:tblCellSpacing w:w="15" w:type="dxa"/>
        </w:trPr>
        <w:tc>
          <w:tcPr>
            <w:tcW w:w="1651" w:type="dxa"/>
            <w:vAlign w:val="center"/>
            <w:hideMark/>
          </w:tcPr>
          <w:p w14:paraId="58DE28D5" w14:textId="77777777" w:rsidR="006D0B45" w:rsidRPr="006D0B45" w:rsidRDefault="006D0B45" w:rsidP="006D0B45">
            <w:pPr>
              <w:rPr>
                <w:b/>
                <w:bCs/>
              </w:rPr>
            </w:pPr>
            <w:r w:rsidRPr="006D0B45">
              <w:rPr>
                <w:b/>
                <w:bCs/>
              </w:rPr>
              <w:t>Rikke tüüp</w:t>
            </w:r>
          </w:p>
        </w:tc>
        <w:tc>
          <w:tcPr>
            <w:tcW w:w="3172" w:type="dxa"/>
            <w:vAlign w:val="center"/>
            <w:hideMark/>
          </w:tcPr>
          <w:p w14:paraId="5DD16A37" w14:textId="6310C3C6" w:rsidR="006D0B45" w:rsidRPr="006D0B45" w:rsidRDefault="00BA78AE" w:rsidP="006D0B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6D0B45" w:rsidRPr="006D0B45">
              <w:rPr>
                <w:b/>
                <w:bCs/>
              </w:rPr>
              <w:t>Mõju mitte</w:t>
            </w:r>
            <w:r w:rsidR="00972B00">
              <w:rPr>
                <w:b/>
                <w:bCs/>
              </w:rPr>
              <w:t>varundatud</w:t>
            </w:r>
            <w:r w:rsidR="006D0B45" w:rsidRPr="006D0B45">
              <w:rPr>
                <w:b/>
                <w:bCs/>
              </w:rPr>
              <w:t xml:space="preserve"> süsteemis</w:t>
            </w:r>
          </w:p>
        </w:tc>
        <w:tc>
          <w:tcPr>
            <w:tcW w:w="0" w:type="auto"/>
            <w:vAlign w:val="center"/>
            <w:hideMark/>
          </w:tcPr>
          <w:p w14:paraId="45E49CF7" w14:textId="148DAB59" w:rsidR="006D0B45" w:rsidRPr="006D0B45" w:rsidRDefault="006D0B45" w:rsidP="006D0B45">
            <w:pPr>
              <w:rPr>
                <w:b/>
                <w:bCs/>
              </w:rPr>
            </w:pPr>
            <w:r w:rsidRPr="006D0B45">
              <w:rPr>
                <w:b/>
                <w:bCs/>
              </w:rPr>
              <w:t xml:space="preserve">Mõju </w:t>
            </w:r>
            <w:r w:rsidR="00972B00">
              <w:rPr>
                <w:b/>
                <w:bCs/>
              </w:rPr>
              <w:t>varundatud</w:t>
            </w:r>
            <w:r w:rsidRPr="006D0B45">
              <w:rPr>
                <w:b/>
                <w:bCs/>
              </w:rPr>
              <w:t xml:space="preserve"> süsteemi korral</w:t>
            </w:r>
          </w:p>
        </w:tc>
      </w:tr>
      <w:tr w:rsidR="006D0B45" w:rsidRPr="006D0B45" w14:paraId="20C0D854" w14:textId="77777777" w:rsidTr="00972B00">
        <w:trPr>
          <w:tblCellSpacing w:w="15" w:type="dxa"/>
        </w:trPr>
        <w:tc>
          <w:tcPr>
            <w:tcW w:w="1651" w:type="dxa"/>
            <w:vAlign w:val="center"/>
            <w:hideMark/>
          </w:tcPr>
          <w:p w14:paraId="711CBC29" w14:textId="77777777" w:rsidR="006D0B45" w:rsidRPr="006D0B45" w:rsidRDefault="006D0B45" w:rsidP="006D0B45">
            <w:r w:rsidRPr="006D0B45">
              <w:t>Keskseadme rike</w:t>
            </w:r>
          </w:p>
        </w:tc>
        <w:tc>
          <w:tcPr>
            <w:tcW w:w="3172" w:type="dxa"/>
            <w:vAlign w:val="center"/>
            <w:hideMark/>
          </w:tcPr>
          <w:p w14:paraId="766B754A" w14:textId="22764202" w:rsidR="006D0B45" w:rsidRPr="006D0B45" w:rsidRDefault="00BA78AE" w:rsidP="006D0B45">
            <w:r>
              <w:t xml:space="preserve"> </w:t>
            </w:r>
            <w:r w:rsidR="006D0B45" w:rsidRPr="006D0B45">
              <w:t>Kogu süsteem rivist väljas</w:t>
            </w:r>
          </w:p>
        </w:tc>
        <w:tc>
          <w:tcPr>
            <w:tcW w:w="0" w:type="auto"/>
            <w:vAlign w:val="center"/>
            <w:hideMark/>
          </w:tcPr>
          <w:p w14:paraId="137F9697" w14:textId="77777777" w:rsidR="006D0B45" w:rsidRPr="006D0B45" w:rsidRDefault="006D0B45" w:rsidP="006D0B45">
            <w:r w:rsidRPr="006D0B45">
              <w:t>Süsteem töötab edasi</w:t>
            </w:r>
          </w:p>
        </w:tc>
      </w:tr>
      <w:tr w:rsidR="006D0B45" w:rsidRPr="006D0B45" w14:paraId="71C3869C" w14:textId="77777777" w:rsidTr="00972B00">
        <w:trPr>
          <w:tblCellSpacing w:w="15" w:type="dxa"/>
        </w:trPr>
        <w:tc>
          <w:tcPr>
            <w:tcW w:w="1651" w:type="dxa"/>
            <w:vAlign w:val="center"/>
            <w:hideMark/>
          </w:tcPr>
          <w:p w14:paraId="2137CE35" w14:textId="77777777" w:rsidR="006D0B45" w:rsidRPr="006D0B45" w:rsidRDefault="006D0B45" w:rsidP="006D0B45">
            <w:r w:rsidRPr="006D0B45">
              <w:t>Protsessori rike</w:t>
            </w:r>
          </w:p>
        </w:tc>
        <w:tc>
          <w:tcPr>
            <w:tcW w:w="3172" w:type="dxa"/>
            <w:vAlign w:val="center"/>
            <w:hideMark/>
          </w:tcPr>
          <w:p w14:paraId="74EE89DD" w14:textId="78D18984" w:rsidR="006D0B45" w:rsidRPr="006D0B45" w:rsidRDefault="00BA78AE" w:rsidP="006D0B45">
            <w:r>
              <w:t xml:space="preserve"> </w:t>
            </w:r>
            <w:r w:rsidR="006D0B45" w:rsidRPr="006D0B45">
              <w:t>Süsteem mittetoimiv</w:t>
            </w:r>
          </w:p>
        </w:tc>
        <w:tc>
          <w:tcPr>
            <w:tcW w:w="0" w:type="auto"/>
            <w:vAlign w:val="center"/>
            <w:hideMark/>
          </w:tcPr>
          <w:p w14:paraId="7E2BCF7A" w14:textId="325595B4" w:rsidR="006D0B45" w:rsidRPr="006D0B45" w:rsidRDefault="006D0B45" w:rsidP="006D0B45">
            <w:r w:rsidRPr="006D0B45">
              <w:t>Varu</w:t>
            </w:r>
            <w:r w:rsidR="00972B00">
              <w:t>keskus</w:t>
            </w:r>
            <w:r w:rsidRPr="006D0B45">
              <w:t xml:space="preserve"> võtab üle</w:t>
            </w:r>
          </w:p>
        </w:tc>
      </w:tr>
      <w:tr w:rsidR="006D0B45" w:rsidRPr="006D0B45" w14:paraId="31F12DAD" w14:textId="77777777" w:rsidTr="00972B00">
        <w:trPr>
          <w:tblCellSpacing w:w="15" w:type="dxa"/>
        </w:trPr>
        <w:tc>
          <w:tcPr>
            <w:tcW w:w="1651" w:type="dxa"/>
            <w:vAlign w:val="center"/>
            <w:hideMark/>
          </w:tcPr>
          <w:p w14:paraId="75100249" w14:textId="77777777" w:rsidR="006D0B45" w:rsidRPr="006D0B45" w:rsidRDefault="006D0B45" w:rsidP="006D0B45">
            <w:r w:rsidRPr="006D0B45">
              <w:t>Side rike</w:t>
            </w:r>
          </w:p>
        </w:tc>
        <w:tc>
          <w:tcPr>
            <w:tcW w:w="3172" w:type="dxa"/>
            <w:vAlign w:val="center"/>
            <w:hideMark/>
          </w:tcPr>
          <w:p w14:paraId="02348EDA" w14:textId="3FDBDB13" w:rsidR="006D0B45" w:rsidRPr="006D0B45" w:rsidRDefault="00972B00" w:rsidP="006D0B45">
            <w:r>
              <w:t xml:space="preserve"> </w:t>
            </w:r>
            <w:r w:rsidR="006D0B45" w:rsidRPr="006D0B45">
              <w:t>Võib mõjutada suurt osa süsteemist</w:t>
            </w:r>
          </w:p>
        </w:tc>
        <w:tc>
          <w:tcPr>
            <w:tcW w:w="0" w:type="auto"/>
            <w:vAlign w:val="center"/>
            <w:hideMark/>
          </w:tcPr>
          <w:p w14:paraId="3558FD10" w14:textId="4507EAA6" w:rsidR="006D0B45" w:rsidRPr="006D0B45" w:rsidRDefault="00972B00" w:rsidP="006D0B45">
            <w:r>
              <w:t>Varukeskuse</w:t>
            </w:r>
          </w:p>
        </w:tc>
      </w:tr>
      <w:tr w:rsidR="006D0B45" w:rsidRPr="006D0B45" w14:paraId="2E8E3C03" w14:textId="77777777" w:rsidTr="00972B00">
        <w:trPr>
          <w:tblCellSpacing w:w="15" w:type="dxa"/>
        </w:trPr>
        <w:tc>
          <w:tcPr>
            <w:tcW w:w="1651" w:type="dxa"/>
            <w:vAlign w:val="center"/>
            <w:hideMark/>
          </w:tcPr>
          <w:p w14:paraId="0C720EAE" w14:textId="77777777" w:rsidR="006D0B45" w:rsidRPr="006D0B45" w:rsidRDefault="006D0B45" w:rsidP="006D0B45">
            <w:r w:rsidRPr="006D0B45">
              <w:t>Silmuse rike</w:t>
            </w:r>
          </w:p>
        </w:tc>
        <w:tc>
          <w:tcPr>
            <w:tcW w:w="3172" w:type="dxa"/>
            <w:vAlign w:val="center"/>
            <w:hideMark/>
          </w:tcPr>
          <w:p w14:paraId="0EA9F1F8" w14:textId="6E64C293" w:rsidR="006D0B45" w:rsidRPr="006D0B45" w:rsidRDefault="006D0B45" w:rsidP="006D0B45">
            <w:r w:rsidRPr="006D0B45">
              <w:t xml:space="preserve">Mõjutab ühte </w:t>
            </w:r>
            <w:r w:rsidR="0011207D">
              <w:t>silmust</w:t>
            </w:r>
          </w:p>
        </w:tc>
        <w:tc>
          <w:tcPr>
            <w:tcW w:w="0" w:type="auto"/>
            <w:vAlign w:val="center"/>
            <w:hideMark/>
          </w:tcPr>
          <w:p w14:paraId="28B478E2" w14:textId="310673E9" w:rsidR="006D0B45" w:rsidRPr="006D0B45" w:rsidRDefault="006D0B45" w:rsidP="006D0B45">
            <w:r w:rsidRPr="006D0B45">
              <w:t xml:space="preserve">Mõjutab ühte </w:t>
            </w:r>
            <w:r w:rsidR="0011207D">
              <w:t>silmust</w:t>
            </w:r>
          </w:p>
        </w:tc>
      </w:tr>
    </w:tbl>
    <w:p w14:paraId="21A104A0" w14:textId="78950094" w:rsidR="006D0B45" w:rsidRPr="006D0B45" w:rsidRDefault="006D0B45" w:rsidP="006D0B45">
      <w:r w:rsidRPr="006D0B45">
        <w:rPr>
          <w:b/>
          <w:bCs/>
        </w:rPr>
        <w:t>Järeldus:</w:t>
      </w:r>
      <w:r w:rsidRPr="006D0B45">
        <w:br/>
      </w:r>
      <w:r w:rsidR="00BA78AE">
        <w:t>Varundatud keskseadmega</w:t>
      </w:r>
      <w:r w:rsidRPr="006D0B45">
        <w:t xml:space="preserve"> süsteem vähendab rikke mõju ulatust võrreldes tavalahendusega.</w:t>
      </w:r>
    </w:p>
    <w:p w14:paraId="393B372E" w14:textId="77777777" w:rsidR="006D0B45" w:rsidRPr="006D0B45" w:rsidRDefault="00000000" w:rsidP="006D0B45">
      <w:r>
        <w:pict w14:anchorId="3A817CD4">
          <v:rect id="_x0000_i1027" style="width:0;height:1.5pt" o:hralign="center" o:hrstd="t" o:hr="t" fillcolor="#a0a0a0" stroked="f"/>
        </w:pict>
      </w:r>
    </w:p>
    <w:p w14:paraId="2FC0BD5F" w14:textId="77777777" w:rsidR="006D0B45" w:rsidRPr="006D0B45" w:rsidRDefault="006D0B45" w:rsidP="006D0B45">
      <w:pPr>
        <w:rPr>
          <w:b/>
          <w:bCs/>
        </w:rPr>
      </w:pPr>
      <w:r w:rsidRPr="006D0B45">
        <w:rPr>
          <w:b/>
          <w:bCs/>
        </w:rPr>
        <w:t>3. Vastavus standardite põhimõtetele</w:t>
      </w:r>
    </w:p>
    <w:p w14:paraId="102DC14D" w14:textId="77777777" w:rsidR="006D0B45" w:rsidRPr="006D0B45" w:rsidRDefault="006D0B45" w:rsidP="006D0B45">
      <w:r w:rsidRPr="006D0B45">
        <w:t>Süsteem vastab järgmiste standardite põhimõtetele:</w:t>
      </w:r>
    </w:p>
    <w:p w14:paraId="465D6E01" w14:textId="58D2D88E" w:rsidR="006D0B45" w:rsidRPr="006D0B45" w:rsidRDefault="006D0B45" w:rsidP="006D0B45">
      <w:pPr>
        <w:numPr>
          <w:ilvl w:val="0"/>
          <w:numId w:val="5"/>
        </w:numPr>
      </w:pPr>
      <w:r w:rsidRPr="006D0B45">
        <w:rPr>
          <w:b/>
          <w:bCs/>
        </w:rPr>
        <w:t>EN 54-2:1999+A1:2006</w:t>
      </w:r>
      <w:r w:rsidRPr="006D0B45">
        <w:br/>
        <w:t xml:space="preserve">rike on tuvastatav, näidatav ja selle mõju on piiratud </w:t>
      </w:r>
    </w:p>
    <w:p w14:paraId="0951FDB3" w14:textId="1835C7B6" w:rsidR="006D0B45" w:rsidRPr="006D0B45" w:rsidRDefault="006D0B45" w:rsidP="006D0B45">
      <w:pPr>
        <w:numPr>
          <w:ilvl w:val="0"/>
          <w:numId w:val="5"/>
        </w:numPr>
      </w:pPr>
      <w:r w:rsidRPr="006D0B45">
        <w:rPr>
          <w:b/>
          <w:bCs/>
        </w:rPr>
        <w:t>EVS-EN 54-14</w:t>
      </w:r>
      <w:r w:rsidRPr="006D0B45">
        <w:br/>
        <w:t xml:space="preserve">süsteem on jaotatud funktsionaalseteks osadeks (silmused, tsoonid) </w:t>
      </w:r>
    </w:p>
    <w:p w14:paraId="297E6DA2" w14:textId="77777777" w:rsidR="006D0B45" w:rsidRPr="006D0B45" w:rsidRDefault="00000000" w:rsidP="006D0B45">
      <w:r>
        <w:lastRenderedPageBreak/>
        <w:pict w14:anchorId="149E925B">
          <v:rect id="_x0000_i1028" style="width:0;height:1.5pt" o:hralign="center" o:hrstd="t" o:hr="t" fillcolor="#a0a0a0" stroked="f"/>
        </w:pict>
      </w:r>
    </w:p>
    <w:p w14:paraId="72409CC4" w14:textId="77777777" w:rsidR="006D0B45" w:rsidRPr="006D0B45" w:rsidRDefault="006D0B45" w:rsidP="006D0B45">
      <w:pPr>
        <w:rPr>
          <w:b/>
          <w:bCs/>
        </w:rPr>
      </w:pPr>
      <w:r w:rsidRPr="006D0B45">
        <w:rPr>
          <w:b/>
          <w:bCs/>
        </w:rPr>
        <w:t>4. Süsteemi maht</w:t>
      </w:r>
    </w:p>
    <w:p w14:paraId="33CAFEE5" w14:textId="77777777" w:rsidR="006D0B45" w:rsidRPr="006D0B45" w:rsidRDefault="006D0B45" w:rsidP="006D0B45">
      <w:pPr>
        <w:numPr>
          <w:ilvl w:val="0"/>
          <w:numId w:val="6"/>
        </w:numPr>
      </w:pPr>
      <w:r w:rsidRPr="006D0B45">
        <w:t xml:space="preserve">Tootja poolt lubatud: üle 4000 häireseadme </w:t>
      </w:r>
    </w:p>
    <w:p w14:paraId="0DA15C0E" w14:textId="77777777" w:rsidR="006D0B45" w:rsidRPr="006D0B45" w:rsidRDefault="006D0B45" w:rsidP="006D0B45">
      <w:pPr>
        <w:numPr>
          <w:ilvl w:val="0"/>
          <w:numId w:val="6"/>
        </w:numPr>
      </w:pPr>
      <w:r w:rsidRPr="006D0B45">
        <w:t xml:space="preserve">Süsteemi jaotus: </w:t>
      </w:r>
    </w:p>
    <w:p w14:paraId="025535CB" w14:textId="77777777" w:rsidR="006D0B45" w:rsidRPr="006D0B45" w:rsidRDefault="006D0B45" w:rsidP="006D0B45">
      <w:pPr>
        <w:numPr>
          <w:ilvl w:val="1"/>
          <w:numId w:val="6"/>
        </w:numPr>
      </w:pPr>
      <w:r w:rsidRPr="006D0B45">
        <w:t xml:space="preserve">silmused ja tsoonid on eraldatud, </w:t>
      </w:r>
    </w:p>
    <w:p w14:paraId="19FD62C6" w14:textId="77777777" w:rsidR="006D0B45" w:rsidRPr="006D0B45" w:rsidRDefault="006D0B45" w:rsidP="006D0B45">
      <w:pPr>
        <w:numPr>
          <w:ilvl w:val="1"/>
          <w:numId w:val="6"/>
        </w:numPr>
      </w:pPr>
      <w:r w:rsidRPr="006D0B45">
        <w:t xml:space="preserve">rikke mõju jääb lokaalseks (silmus/tsoon) </w:t>
      </w:r>
    </w:p>
    <w:p w14:paraId="28C2F7FC" w14:textId="77777777" w:rsidR="006D0B45" w:rsidRPr="006D0B45" w:rsidRDefault="006D0B45" w:rsidP="006D0B45">
      <w:r w:rsidRPr="006D0B45">
        <w:t>Süsteemi kogumaht ei mõjuta rikke mõju ulatust, kui arhitektuur on projekteeritud korrektselt.</w:t>
      </w:r>
    </w:p>
    <w:p w14:paraId="5AB055E9" w14:textId="77777777" w:rsidR="006D0B45" w:rsidRPr="006D0B45" w:rsidRDefault="00000000" w:rsidP="006D0B45">
      <w:r>
        <w:pict w14:anchorId="22616F86">
          <v:rect id="_x0000_i1029" style="width:0;height:1.5pt" o:hralign="center" o:hrstd="t" o:hr="t" fillcolor="#a0a0a0" stroked="f"/>
        </w:pict>
      </w:r>
    </w:p>
    <w:p w14:paraId="39DCC3E8" w14:textId="77777777" w:rsidR="006D0B45" w:rsidRPr="006D0B45" w:rsidRDefault="006D0B45" w:rsidP="006D0B45">
      <w:pPr>
        <w:rPr>
          <w:b/>
          <w:bCs/>
        </w:rPr>
      </w:pPr>
      <w:r w:rsidRPr="006D0B45">
        <w:rPr>
          <w:b/>
          <w:bCs/>
        </w:rPr>
        <w:t>5. Järeldus</w:t>
      </w:r>
    </w:p>
    <w:p w14:paraId="65546336" w14:textId="77777777" w:rsidR="006D0B45" w:rsidRPr="006D0B45" w:rsidRDefault="006D0B45" w:rsidP="006D0B45">
      <w:pPr>
        <w:numPr>
          <w:ilvl w:val="0"/>
          <w:numId w:val="7"/>
        </w:numPr>
      </w:pPr>
      <w:r w:rsidRPr="006D0B45">
        <w:t xml:space="preserve">Süsteemi töökindlus ei sõltu otseselt seadmete koguarvust </w:t>
      </w:r>
    </w:p>
    <w:p w14:paraId="716EF6D7" w14:textId="77777777" w:rsidR="006D0B45" w:rsidRPr="006D0B45" w:rsidRDefault="006D0B45" w:rsidP="006D0B45">
      <w:pPr>
        <w:numPr>
          <w:ilvl w:val="0"/>
          <w:numId w:val="7"/>
        </w:numPr>
      </w:pPr>
      <w:r w:rsidRPr="006D0B45">
        <w:t xml:space="preserve">Määravaks on: </w:t>
      </w:r>
    </w:p>
    <w:p w14:paraId="49008958" w14:textId="77777777" w:rsidR="006D0B45" w:rsidRPr="006D0B45" w:rsidRDefault="006D0B45" w:rsidP="006D0B45">
      <w:pPr>
        <w:numPr>
          <w:ilvl w:val="1"/>
          <w:numId w:val="7"/>
        </w:numPr>
      </w:pPr>
      <w:r w:rsidRPr="006D0B45">
        <w:t xml:space="preserve">arhitektuur </w:t>
      </w:r>
    </w:p>
    <w:p w14:paraId="34A1DCE5" w14:textId="77777777" w:rsidR="006D0B45" w:rsidRPr="006D0B45" w:rsidRDefault="006D0B45" w:rsidP="006D0B45">
      <w:pPr>
        <w:numPr>
          <w:ilvl w:val="1"/>
          <w:numId w:val="7"/>
        </w:numPr>
      </w:pPr>
      <w:r w:rsidRPr="006D0B45">
        <w:t xml:space="preserve">süsteemi jaotus </w:t>
      </w:r>
    </w:p>
    <w:p w14:paraId="40A4148F" w14:textId="15C0070C" w:rsidR="006D0B45" w:rsidRPr="006D0B45" w:rsidRDefault="0011207D" w:rsidP="006D0B45">
      <w:pPr>
        <w:numPr>
          <w:ilvl w:val="1"/>
          <w:numId w:val="7"/>
        </w:numPr>
      </w:pPr>
      <w:r>
        <w:t>varundatus</w:t>
      </w:r>
      <w:r w:rsidR="006D0B45" w:rsidRPr="006D0B45">
        <w:t xml:space="preserve"> </w:t>
      </w:r>
    </w:p>
    <w:p w14:paraId="71B583D8" w14:textId="1F5F8BBA" w:rsidR="006D0B45" w:rsidRPr="006D0B45" w:rsidRDefault="006D0B45" w:rsidP="006D0B45">
      <w:r w:rsidRPr="006D0B45">
        <w:t xml:space="preserve">Täielikult </w:t>
      </w:r>
      <w:r w:rsidR="009551E9">
        <w:t>varundatud</w:t>
      </w:r>
      <w:r w:rsidRPr="006D0B45">
        <w:t xml:space="preserve"> süsteem tagab kõrgema töökindluse kui mitteredundantne väiksemahuline süsteem.</w:t>
      </w:r>
    </w:p>
    <w:p w14:paraId="67009F69" w14:textId="77777777" w:rsidR="005A1457" w:rsidRDefault="005A1457"/>
    <w:p w14:paraId="39299DF5" w14:textId="0D51C5FC" w:rsidR="0039357A" w:rsidRDefault="009831AC">
      <w:pPr>
        <w:rPr>
          <w:b/>
          <w:bCs/>
        </w:rPr>
      </w:pPr>
      <w:r w:rsidRPr="009831AC">
        <w:rPr>
          <w:b/>
          <w:bCs/>
        </w:rPr>
        <w:t xml:space="preserve">6. </w:t>
      </w:r>
      <w:r>
        <w:rPr>
          <w:b/>
          <w:bCs/>
        </w:rPr>
        <w:t>Kuvatõmmis</w:t>
      </w:r>
      <w:r w:rsidR="006517CA">
        <w:rPr>
          <w:b/>
          <w:bCs/>
        </w:rPr>
        <w:t>ed</w:t>
      </w:r>
      <w:r>
        <w:rPr>
          <w:b/>
          <w:bCs/>
        </w:rPr>
        <w:t xml:space="preserve"> tootja</w:t>
      </w:r>
      <w:r w:rsidR="006517CA">
        <w:rPr>
          <w:b/>
          <w:bCs/>
        </w:rPr>
        <w:t>te juhenditest</w:t>
      </w:r>
    </w:p>
    <w:p w14:paraId="49F3915E" w14:textId="534F5749" w:rsidR="006517CA" w:rsidRDefault="006517CA">
      <w:pPr>
        <w:rPr>
          <w:b/>
          <w:bCs/>
        </w:rPr>
      </w:pPr>
      <w:r>
        <w:rPr>
          <w:noProof/>
        </w:rPr>
        <w:drawing>
          <wp:inline distT="0" distB="0" distL="0" distR="0" wp14:anchorId="25D4698E" wp14:editId="60E244DA">
            <wp:extent cx="4847619" cy="2714286"/>
            <wp:effectExtent l="0" t="0" r="0" b="0"/>
            <wp:docPr id="1292694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6946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7619" cy="27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8711E" w14:textId="21FF7A01" w:rsidR="009831AC" w:rsidRPr="009831AC" w:rsidRDefault="009831AC">
      <w:pPr>
        <w:rPr>
          <w:b/>
          <w:bCs/>
        </w:rPr>
      </w:pPr>
      <w:r w:rsidRPr="009831AC">
        <w:rPr>
          <w:b/>
          <w:bCs/>
        </w:rPr>
        <w:lastRenderedPageBreak/>
        <w:drawing>
          <wp:inline distT="0" distB="0" distL="0" distR="0" wp14:anchorId="60F83042" wp14:editId="2C604126">
            <wp:extent cx="5258256" cy="3589331"/>
            <wp:effectExtent l="0" t="0" r="0" b="0"/>
            <wp:docPr id="14562214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22140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8256" cy="358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B7C8D" w14:textId="57792590" w:rsidR="0039357A" w:rsidRDefault="00B536F8">
      <w:r w:rsidRPr="00B536F8">
        <w:drawing>
          <wp:inline distT="0" distB="0" distL="0" distR="0" wp14:anchorId="5DA2D76F" wp14:editId="1B65249F">
            <wp:extent cx="5972810" cy="3353435"/>
            <wp:effectExtent l="0" t="0" r="8890" b="0"/>
            <wp:docPr id="1630045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04567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35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5481E" w14:textId="77777777" w:rsidR="0039357A" w:rsidRDefault="0039357A"/>
    <w:p w14:paraId="6DA741BA" w14:textId="77777777" w:rsidR="00B536F8" w:rsidRDefault="00B536F8" w:rsidP="0039357A"/>
    <w:p w14:paraId="190870BC" w14:textId="77777777" w:rsidR="00B536F8" w:rsidRDefault="00B536F8" w:rsidP="0039357A"/>
    <w:p w14:paraId="7FF1281E" w14:textId="77777777" w:rsidR="00B536F8" w:rsidRDefault="00B536F8" w:rsidP="0039357A"/>
    <w:p w14:paraId="775D9596" w14:textId="73D9A739" w:rsidR="0039357A" w:rsidRPr="0039357A" w:rsidRDefault="0039357A" w:rsidP="0039357A">
      <w:r>
        <w:lastRenderedPageBreak/>
        <w:t>*</w:t>
      </w:r>
      <w:r w:rsidR="00BA78AE">
        <w:t xml:space="preserve">Full redundant ehk </w:t>
      </w:r>
      <w:r w:rsidRPr="0039357A">
        <w:rPr>
          <w:b/>
          <w:bCs/>
        </w:rPr>
        <w:t>täielikult dubleeritud</w:t>
      </w:r>
      <w:r w:rsidRPr="0039357A">
        <w:t xml:space="preserve"> või </w:t>
      </w:r>
      <w:r w:rsidRPr="0039357A">
        <w:rPr>
          <w:b/>
          <w:bCs/>
        </w:rPr>
        <w:t>täieliku varusüsteemi</w:t>
      </w:r>
      <w:r w:rsidR="00BA78AE">
        <w:rPr>
          <w:b/>
          <w:bCs/>
        </w:rPr>
        <w:t>ga</w:t>
      </w:r>
    </w:p>
    <w:p w14:paraId="6BE8E7EC" w14:textId="77777777" w:rsidR="00DB7470" w:rsidRPr="00DB7470" w:rsidRDefault="00DB7470" w:rsidP="00DB7470">
      <w:r w:rsidRPr="00DB7470">
        <w:t>Sisuliselt tähendab see, et kõik kriitilised komponendid (nt kontrollerid, toiteallikad ja sideühendused) on dubleeritud. Rikke korral võtab varukomponent automaatselt töö üle ning süsteem jätkab katkestuseta, samal ajal kuvatakse põhipaneeli rike.</w:t>
      </w:r>
    </w:p>
    <w:p w14:paraId="61163D79" w14:textId="77777777" w:rsidR="00DB7470" w:rsidRPr="00DB7470" w:rsidRDefault="00DB7470" w:rsidP="00DB7470">
      <w:r w:rsidRPr="00DB7470">
        <w:t>Teisisõnu: tegemist on täielikult varundatud lahendusega, kus ühegi komponendi rike ei peata süsteemi tööd.</w:t>
      </w:r>
    </w:p>
    <w:p w14:paraId="00C0B3E9" w14:textId="74112127" w:rsidR="0039357A" w:rsidRDefault="0039357A"/>
    <w:p w14:paraId="7742310A" w14:textId="77777777" w:rsidR="0039357A" w:rsidRDefault="0039357A"/>
    <w:sectPr w:rsidR="0039357A" w:rsidSect="00BA49A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602A"/>
    <w:multiLevelType w:val="multilevel"/>
    <w:tmpl w:val="0BDE8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E0C9B"/>
    <w:multiLevelType w:val="multilevel"/>
    <w:tmpl w:val="7FCE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43A56"/>
    <w:multiLevelType w:val="multilevel"/>
    <w:tmpl w:val="82FC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815DE"/>
    <w:multiLevelType w:val="multilevel"/>
    <w:tmpl w:val="2496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51C3B"/>
    <w:multiLevelType w:val="multilevel"/>
    <w:tmpl w:val="6FC4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27B85"/>
    <w:multiLevelType w:val="multilevel"/>
    <w:tmpl w:val="E380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3C04F3"/>
    <w:multiLevelType w:val="multilevel"/>
    <w:tmpl w:val="1954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5498980">
    <w:abstractNumId w:val="4"/>
  </w:num>
  <w:num w:numId="2" w16cid:durableId="396587856">
    <w:abstractNumId w:val="1"/>
  </w:num>
  <w:num w:numId="3" w16cid:durableId="596451703">
    <w:abstractNumId w:val="0"/>
  </w:num>
  <w:num w:numId="4" w16cid:durableId="1103526167">
    <w:abstractNumId w:val="2"/>
  </w:num>
  <w:num w:numId="5" w16cid:durableId="1247808984">
    <w:abstractNumId w:val="3"/>
  </w:num>
  <w:num w:numId="6" w16cid:durableId="223220311">
    <w:abstractNumId w:val="5"/>
  </w:num>
  <w:num w:numId="7" w16cid:durableId="16876378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45"/>
    <w:rsid w:val="00034567"/>
    <w:rsid w:val="0011207D"/>
    <w:rsid w:val="001B2C2D"/>
    <w:rsid w:val="002F570D"/>
    <w:rsid w:val="0039357A"/>
    <w:rsid w:val="00587E05"/>
    <w:rsid w:val="005A1457"/>
    <w:rsid w:val="006517CA"/>
    <w:rsid w:val="006D0B45"/>
    <w:rsid w:val="00857718"/>
    <w:rsid w:val="009551E9"/>
    <w:rsid w:val="00972B00"/>
    <w:rsid w:val="009831AC"/>
    <w:rsid w:val="00A56B0D"/>
    <w:rsid w:val="00AA029B"/>
    <w:rsid w:val="00B536F8"/>
    <w:rsid w:val="00B738AC"/>
    <w:rsid w:val="00BA49AC"/>
    <w:rsid w:val="00BA78AE"/>
    <w:rsid w:val="00D76D87"/>
    <w:rsid w:val="00D978B7"/>
    <w:rsid w:val="00DB7470"/>
    <w:rsid w:val="00E70AE7"/>
    <w:rsid w:val="00E90323"/>
    <w:rsid w:val="00EE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C40E"/>
  <w15:chartTrackingRefBased/>
  <w15:docId w15:val="{3A1D773E-7153-4468-BA82-38E30F34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B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B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B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B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B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B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B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B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B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B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B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B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B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B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B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B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B4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9357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A78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5</Pages>
  <Words>615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 Salumets</dc:creator>
  <cp:keywords/>
  <dc:description/>
  <cp:lastModifiedBy>Ravo Salumets</cp:lastModifiedBy>
  <cp:revision>5</cp:revision>
  <dcterms:created xsi:type="dcterms:W3CDTF">2026-04-22T08:38:00Z</dcterms:created>
  <dcterms:modified xsi:type="dcterms:W3CDTF">2026-04-22T12:23:00Z</dcterms:modified>
</cp:coreProperties>
</file>