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9500" w14:textId="4E2B84D7" w:rsidR="00492165" w:rsidRPr="006B6C84" w:rsidRDefault="00492165" w:rsidP="00CD4203">
      <w:pPr>
        <w:ind w:right="50"/>
        <w:jc w:val="center"/>
        <w:rPr>
          <w:b/>
          <w:bCs/>
          <w:sz w:val="24"/>
          <w:szCs w:val="24"/>
        </w:rPr>
      </w:pPr>
      <w:r w:rsidRPr="006B6C84">
        <w:rPr>
          <w:b/>
          <w:bCs/>
          <w:sz w:val="24"/>
          <w:szCs w:val="24"/>
        </w:rPr>
        <w:t>Vabariigi Valitsuse korralduse „Raha eraldamine “ eelnõu seletuskiri</w:t>
      </w:r>
    </w:p>
    <w:p w14:paraId="239FE27D" w14:textId="77777777" w:rsidR="006769CA" w:rsidRPr="006B6C84" w:rsidRDefault="006769CA" w:rsidP="00CD4203">
      <w:pPr>
        <w:keepNext/>
        <w:jc w:val="both"/>
        <w:outlineLvl w:val="0"/>
        <w:rPr>
          <w:b/>
          <w:bCs/>
          <w:kern w:val="36"/>
          <w:sz w:val="24"/>
          <w:szCs w:val="24"/>
        </w:rPr>
      </w:pPr>
    </w:p>
    <w:p w14:paraId="47C0A5CF" w14:textId="77777777" w:rsidR="00CD4203" w:rsidRPr="009E4A72" w:rsidRDefault="00CD4203" w:rsidP="00CD4203">
      <w:pPr>
        <w:pStyle w:val="PlainText"/>
        <w:ind w:left="720"/>
        <w:jc w:val="both"/>
        <w:rPr>
          <w:rFonts w:ascii="Times New Roman" w:hAnsi="Times New Roman"/>
          <w:b/>
          <w:sz w:val="24"/>
          <w:szCs w:val="24"/>
        </w:rPr>
      </w:pPr>
    </w:p>
    <w:p w14:paraId="44A5CC38" w14:textId="77777777" w:rsidR="00757789" w:rsidRPr="009E4A72" w:rsidRDefault="00757789" w:rsidP="00757789">
      <w:pPr>
        <w:pStyle w:val="PlainText"/>
        <w:jc w:val="both"/>
        <w:rPr>
          <w:rFonts w:ascii="Times New Roman" w:hAnsi="Times New Roman"/>
          <w:b/>
          <w:sz w:val="24"/>
          <w:szCs w:val="24"/>
        </w:rPr>
      </w:pPr>
      <w:r w:rsidRPr="009E4A72">
        <w:rPr>
          <w:rFonts w:ascii="Times New Roman" w:hAnsi="Times New Roman"/>
          <w:b/>
          <w:sz w:val="24"/>
          <w:szCs w:val="24"/>
        </w:rPr>
        <w:t>1. Sissejuhatus</w:t>
      </w:r>
    </w:p>
    <w:p w14:paraId="279847E7" w14:textId="77777777" w:rsidR="00757789" w:rsidRPr="009E4A72" w:rsidRDefault="00757789" w:rsidP="00757789">
      <w:pPr>
        <w:pStyle w:val="PlainText"/>
        <w:ind w:left="720"/>
        <w:jc w:val="both"/>
        <w:rPr>
          <w:rFonts w:ascii="Times New Roman" w:hAnsi="Times New Roman"/>
          <w:b/>
          <w:sz w:val="24"/>
          <w:szCs w:val="24"/>
        </w:rPr>
      </w:pPr>
    </w:p>
    <w:p w14:paraId="180B2E4E" w14:textId="77777777" w:rsidR="00757789" w:rsidRPr="00BA67D7" w:rsidRDefault="00757789" w:rsidP="00757789">
      <w:pPr>
        <w:pStyle w:val="PlainText"/>
        <w:jc w:val="both"/>
        <w:rPr>
          <w:rFonts w:ascii="Times New Roman" w:hAnsi="Times New Roman"/>
          <w:sz w:val="24"/>
          <w:szCs w:val="24"/>
          <w:u w:val="single"/>
        </w:rPr>
      </w:pPr>
      <w:r w:rsidRPr="009E4A72">
        <w:rPr>
          <w:rFonts w:ascii="Times New Roman" w:hAnsi="Times New Roman"/>
          <w:sz w:val="24"/>
          <w:szCs w:val="24"/>
          <w:u w:val="single"/>
        </w:rPr>
        <w:t>1.</w:t>
      </w:r>
      <w:r w:rsidRPr="00BA67D7">
        <w:rPr>
          <w:rFonts w:ascii="Times New Roman" w:hAnsi="Times New Roman"/>
          <w:sz w:val="24"/>
          <w:szCs w:val="24"/>
          <w:u w:val="single"/>
        </w:rPr>
        <w:t>1 Sisukokkuvõte</w:t>
      </w:r>
    </w:p>
    <w:p w14:paraId="7FFC2173" w14:textId="0D76D1F6" w:rsidR="006735CA" w:rsidRPr="00595657" w:rsidRDefault="00492165" w:rsidP="002D571A">
      <w:pPr>
        <w:jc w:val="both"/>
        <w:rPr>
          <w:sz w:val="24"/>
          <w:szCs w:val="24"/>
        </w:rPr>
      </w:pPr>
      <w:r w:rsidRPr="00595657">
        <w:rPr>
          <w:sz w:val="24"/>
          <w:szCs w:val="24"/>
        </w:rPr>
        <w:t>Välisministeerium on ette valmistanud Vabariigi Valitsuse korralduse eelnõu Vabariigi Valitsuse reservist Välisministeeriumile vahendite eraldamiseks</w:t>
      </w:r>
      <w:r w:rsidR="002D723A" w:rsidRPr="00595657">
        <w:rPr>
          <w:sz w:val="24"/>
          <w:szCs w:val="24"/>
        </w:rPr>
        <w:t xml:space="preserve"> </w:t>
      </w:r>
      <w:r w:rsidR="00343E58" w:rsidRPr="00595657">
        <w:rPr>
          <w:sz w:val="24"/>
          <w:szCs w:val="24"/>
        </w:rPr>
        <w:t xml:space="preserve">summas </w:t>
      </w:r>
      <w:r w:rsidR="00D42554" w:rsidRPr="00C020AC">
        <w:rPr>
          <w:sz w:val="24"/>
          <w:szCs w:val="24"/>
        </w:rPr>
        <w:t>7</w:t>
      </w:r>
      <w:r w:rsidR="006E4A44" w:rsidRPr="00C020AC">
        <w:rPr>
          <w:sz w:val="24"/>
          <w:szCs w:val="24"/>
        </w:rPr>
        <w:t>60</w:t>
      </w:r>
      <w:r w:rsidR="00D42554" w:rsidRPr="00C020AC">
        <w:rPr>
          <w:bCs/>
          <w:kern w:val="36"/>
          <w:sz w:val="24"/>
          <w:szCs w:val="24"/>
        </w:rPr>
        <w:t> </w:t>
      </w:r>
      <w:r w:rsidR="006E4A44" w:rsidRPr="00C020AC">
        <w:rPr>
          <w:sz w:val="24"/>
          <w:szCs w:val="24"/>
        </w:rPr>
        <w:t>03</w:t>
      </w:r>
      <w:r w:rsidR="00D42554" w:rsidRPr="00C020AC">
        <w:rPr>
          <w:sz w:val="24"/>
          <w:szCs w:val="24"/>
        </w:rPr>
        <w:t>5</w:t>
      </w:r>
      <w:r w:rsidR="007E139C" w:rsidRPr="00C020AC">
        <w:rPr>
          <w:sz w:val="24"/>
          <w:szCs w:val="24"/>
        </w:rPr>
        <w:t>,27</w:t>
      </w:r>
      <w:r w:rsidR="002D723A" w:rsidRPr="00C020AC">
        <w:rPr>
          <w:sz w:val="24"/>
          <w:szCs w:val="24"/>
        </w:rPr>
        <w:t xml:space="preserve"> eurot</w:t>
      </w:r>
      <w:r w:rsidR="00EB3DF8" w:rsidRPr="00C020AC">
        <w:rPr>
          <w:sz w:val="24"/>
          <w:szCs w:val="24"/>
        </w:rPr>
        <w:t xml:space="preserve"> </w:t>
      </w:r>
      <w:r w:rsidR="008F4596" w:rsidRPr="00C020AC">
        <w:rPr>
          <w:sz w:val="24"/>
          <w:szCs w:val="24"/>
        </w:rPr>
        <w:t xml:space="preserve">seoses </w:t>
      </w:r>
      <w:r w:rsidR="00EB3DF8" w:rsidRPr="00C020AC">
        <w:rPr>
          <w:sz w:val="24"/>
          <w:szCs w:val="24"/>
        </w:rPr>
        <w:t xml:space="preserve">6. 7. ja 8. märtsil 2026. aastal </w:t>
      </w:r>
      <w:r w:rsidR="008F4596" w:rsidRPr="00C020AC">
        <w:rPr>
          <w:sz w:val="24"/>
          <w:szCs w:val="24"/>
        </w:rPr>
        <w:t xml:space="preserve">Lähis-Ida </w:t>
      </w:r>
      <w:r w:rsidR="00EB3DF8" w:rsidRPr="00C020AC">
        <w:rPr>
          <w:sz w:val="24"/>
          <w:szCs w:val="24"/>
        </w:rPr>
        <w:t xml:space="preserve">piirkonnas </w:t>
      </w:r>
      <w:r w:rsidR="008F4596" w:rsidRPr="00C020AC">
        <w:rPr>
          <w:sz w:val="24"/>
          <w:szCs w:val="24"/>
        </w:rPr>
        <w:t xml:space="preserve">olevate </w:t>
      </w:r>
      <w:r w:rsidR="000175C4" w:rsidRPr="00C020AC">
        <w:rPr>
          <w:sz w:val="24"/>
          <w:szCs w:val="24"/>
        </w:rPr>
        <w:t>Eesti kodanik</w:t>
      </w:r>
      <w:r w:rsidR="00EB3DF8" w:rsidRPr="00C020AC">
        <w:rPr>
          <w:sz w:val="24"/>
          <w:szCs w:val="24"/>
        </w:rPr>
        <w:t xml:space="preserve">e Eestisse </w:t>
      </w:r>
      <w:r w:rsidR="008F4596" w:rsidRPr="00C020AC">
        <w:rPr>
          <w:sz w:val="24"/>
          <w:szCs w:val="24"/>
        </w:rPr>
        <w:t>tagasi</w:t>
      </w:r>
      <w:r w:rsidR="008F4596" w:rsidRPr="008F4596">
        <w:rPr>
          <w:sz w:val="24"/>
          <w:szCs w:val="24"/>
        </w:rPr>
        <w:t xml:space="preserve"> toimetamise korraldamise</w:t>
      </w:r>
      <w:r w:rsidR="00EB3DF8">
        <w:rPr>
          <w:sz w:val="24"/>
          <w:szCs w:val="24"/>
        </w:rPr>
        <w:t xml:space="preserve"> kulude</w:t>
      </w:r>
      <w:r w:rsidR="008F4596">
        <w:rPr>
          <w:sz w:val="24"/>
          <w:szCs w:val="24"/>
        </w:rPr>
        <w:t>ga</w:t>
      </w:r>
      <w:r w:rsidR="000175C4" w:rsidRPr="00595657">
        <w:rPr>
          <w:sz w:val="24"/>
          <w:szCs w:val="24"/>
        </w:rPr>
        <w:t>.</w:t>
      </w:r>
    </w:p>
    <w:p w14:paraId="069C450C" w14:textId="77777777" w:rsidR="000175C4" w:rsidRPr="00595657" w:rsidRDefault="000175C4" w:rsidP="002D571A">
      <w:pPr>
        <w:jc w:val="both"/>
        <w:rPr>
          <w:sz w:val="24"/>
          <w:szCs w:val="24"/>
        </w:rPr>
      </w:pPr>
    </w:p>
    <w:p w14:paraId="34119209" w14:textId="77777777" w:rsidR="00757789" w:rsidRPr="00BA67D7" w:rsidRDefault="00757789" w:rsidP="00757789">
      <w:pPr>
        <w:pStyle w:val="PlainText"/>
        <w:jc w:val="both"/>
        <w:rPr>
          <w:rFonts w:ascii="Times New Roman" w:hAnsi="Times New Roman"/>
          <w:sz w:val="24"/>
          <w:szCs w:val="24"/>
        </w:rPr>
      </w:pPr>
      <w:r w:rsidRPr="00BA67D7">
        <w:rPr>
          <w:rFonts w:ascii="Times New Roman" w:hAnsi="Times New Roman"/>
          <w:sz w:val="24"/>
          <w:szCs w:val="24"/>
          <w:u w:val="single"/>
        </w:rPr>
        <w:t>1.2 Eelnõu ettevalmistaja</w:t>
      </w:r>
      <w:r w:rsidRPr="00BA67D7">
        <w:rPr>
          <w:rFonts w:ascii="Times New Roman" w:hAnsi="Times New Roman"/>
          <w:sz w:val="24"/>
          <w:szCs w:val="24"/>
        </w:rPr>
        <w:t xml:space="preserve"> </w:t>
      </w:r>
    </w:p>
    <w:p w14:paraId="211C3159" w14:textId="77777777" w:rsidR="00757789" w:rsidRDefault="00757789" w:rsidP="002D571A">
      <w:pPr>
        <w:jc w:val="both"/>
        <w:rPr>
          <w:sz w:val="24"/>
          <w:szCs w:val="24"/>
        </w:rPr>
      </w:pPr>
    </w:p>
    <w:p w14:paraId="6775A74A" w14:textId="22617561" w:rsidR="00C67847" w:rsidRPr="00595657" w:rsidRDefault="002D571A" w:rsidP="00C67847">
      <w:pPr>
        <w:jc w:val="both"/>
        <w:rPr>
          <w:sz w:val="24"/>
          <w:szCs w:val="24"/>
        </w:rPr>
      </w:pPr>
      <w:r w:rsidRPr="00595657">
        <w:rPr>
          <w:sz w:val="24"/>
          <w:szCs w:val="24"/>
        </w:rPr>
        <w:t xml:space="preserve">Korralduse eelnõu ning seletuskirja on koostanud Välisministeeriumi </w:t>
      </w:r>
      <w:r w:rsidR="001B6357">
        <w:rPr>
          <w:sz w:val="24"/>
          <w:szCs w:val="24"/>
        </w:rPr>
        <w:t>k</w:t>
      </w:r>
      <w:r w:rsidR="000175C4" w:rsidRPr="00595657">
        <w:rPr>
          <w:sz w:val="24"/>
          <w:szCs w:val="24"/>
        </w:rPr>
        <w:t xml:space="preserve">onsulaarosakonna </w:t>
      </w:r>
      <w:r w:rsidR="00EB3DF8">
        <w:rPr>
          <w:sz w:val="24"/>
          <w:szCs w:val="24"/>
        </w:rPr>
        <w:t xml:space="preserve">konsulaarabi büroo </w:t>
      </w:r>
      <w:r w:rsidR="000175C4" w:rsidRPr="00595657">
        <w:rPr>
          <w:sz w:val="24"/>
          <w:szCs w:val="24"/>
        </w:rPr>
        <w:t>direktor</w:t>
      </w:r>
      <w:r w:rsidRPr="00595657">
        <w:rPr>
          <w:sz w:val="24"/>
          <w:szCs w:val="24"/>
        </w:rPr>
        <w:t xml:space="preserve"> </w:t>
      </w:r>
      <w:r w:rsidR="00EB3DF8">
        <w:rPr>
          <w:sz w:val="24"/>
          <w:szCs w:val="24"/>
        </w:rPr>
        <w:t>Margus Särglepp</w:t>
      </w:r>
      <w:r w:rsidRPr="00595657">
        <w:rPr>
          <w:sz w:val="24"/>
          <w:szCs w:val="24"/>
        </w:rPr>
        <w:t xml:space="preserve"> (637 7</w:t>
      </w:r>
      <w:r w:rsidR="00A31F3F" w:rsidRPr="00595657">
        <w:rPr>
          <w:sz w:val="24"/>
          <w:szCs w:val="24"/>
        </w:rPr>
        <w:t>440</w:t>
      </w:r>
      <w:r w:rsidRPr="00595657">
        <w:rPr>
          <w:sz w:val="24"/>
          <w:szCs w:val="24"/>
        </w:rPr>
        <w:t xml:space="preserve">; </w:t>
      </w:r>
      <w:r w:rsidR="00EB3DF8">
        <w:rPr>
          <w:sz w:val="24"/>
          <w:szCs w:val="24"/>
        </w:rPr>
        <w:t>margus</w:t>
      </w:r>
      <w:r w:rsidR="000175C4" w:rsidRPr="00595657">
        <w:rPr>
          <w:sz w:val="24"/>
          <w:szCs w:val="24"/>
        </w:rPr>
        <w:t>.</w:t>
      </w:r>
      <w:r w:rsidR="00EB3DF8">
        <w:rPr>
          <w:sz w:val="24"/>
          <w:szCs w:val="24"/>
        </w:rPr>
        <w:t>sarglepp</w:t>
      </w:r>
      <w:r w:rsidR="000175C4" w:rsidRPr="00595657">
        <w:rPr>
          <w:sz w:val="24"/>
          <w:szCs w:val="24"/>
        </w:rPr>
        <w:t>@mfa.ee)</w:t>
      </w:r>
      <w:r w:rsidRPr="00595657">
        <w:rPr>
          <w:sz w:val="24"/>
          <w:szCs w:val="24"/>
        </w:rPr>
        <w:t xml:space="preserve"> ja </w:t>
      </w:r>
      <w:r w:rsidR="002D723A" w:rsidRPr="00595657">
        <w:rPr>
          <w:sz w:val="24"/>
          <w:szCs w:val="24"/>
        </w:rPr>
        <w:t>Raha</w:t>
      </w:r>
      <w:r w:rsidR="00343E58" w:rsidRPr="00595657">
        <w:rPr>
          <w:sz w:val="24"/>
          <w:szCs w:val="24"/>
        </w:rPr>
        <w:t>n</w:t>
      </w:r>
      <w:r w:rsidR="002D723A" w:rsidRPr="00595657">
        <w:rPr>
          <w:sz w:val="24"/>
          <w:szCs w:val="24"/>
        </w:rPr>
        <w:t xml:space="preserve">dusosakonna nõunik Kristiina Kull (637 7353; </w:t>
      </w:r>
      <w:hyperlink r:id="rId7" w:history="1">
        <w:r w:rsidR="002D723A" w:rsidRPr="00595657">
          <w:rPr>
            <w:rStyle w:val="Hyperlink"/>
            <w:sz w:val="24"/>
            <w:szCs w:val="24"/>
          </w:rPr>
          <w:t>kristiina.kull@mfa.ee</w:t>
        </w:r>
      </w:hyperlink>
      <w:r w:rsidR="002D723A" w:rsidRPr="007E53A0">
        <w:rPr>
          <w:sz w:val="24"/>
          <w:szCs w:val="24"/>
        </w:rPr>
        <w:t>)</w:t>
      </w:r>
      <w:r w:rsidR="007E53A0" w:rsidRPr="007E53A0">
        <w:rPr>
          <w:sz w:val="24"/>
          <w:szCs w:val="24"/>
        </w:rPr>
        <w:t xml:space="preserve">.  </w:t>
      </w:r>
      <w:r w:rsidR="00C67847" w:rsidRPr="007E53A0">
        <w:rPr>
          <w:sz w:val="24"/>
          <w:szCs w:val="24"/>
        </w:rPr>
        <w:t xml:space="preserve">Eelnõu juriidilist korrektsust on kontrollinud juriidilise osakonna </w:t>
      </w:r>
      <w:r w:rsidR="00C67847">
        <w:rPr>
          <w:sz w:val="24"/>
          <w:szCs w:val="24"/>
        </w:rPr>
        <w:t>3</w:t>
      </w:r>
      <w:r w:rsidR="00C67847" w:rsidRPr="007E53A0">
        <w:rPr>
          <w:sz w:val="24"/>
          <w:szCs w:val="24"/>
        </w:rPr>
        <w:t xml:space="preserve">. büroo </w:t>
      </w:r>
      <w:r w:rsidR="00C67847">
        <w:rPr>
          <w:sz w:val="24"/>
          <w:szCs w:val="24"/>
        </w:rPr>
        <w:t xml:space="preserve">jurist Perit Soininen </w:t>
      </w:r>
      <w:r w:rsidR="00C67847" w:rsidRPr="007E53A0">
        <w:rPr>
          <w:sz w:val="24"/>
          <w:szCs w:val="24"/>
        </w:rPr>
        <w:t xml:space="preserve"> (637 74</w:t>
      </w:r>
      <w:r w:rsidR="00C67847">
        <w:rPr>
          <w:sz w:val="24"/>
          <w:szCs w:val="24"/>
        </w:rPr>
        <w:t>2</w:t>
      </w:r>
      <w:r w:rsidR="00C67847" w:rsidRPr="007E53A0">
        <w:rPr>
          <w:sz w:val="24"/>
          <w:szCs w:val="24"/>
        </w:rPr>
        <w:t xml:space="preserve">1; </w:t>
      </w:r>
      <w:r w:rsidR="00C67847">
        <w:rPr>
          <w:sz w:val="24"/>
          <w:szCs w:val="24"/>
        </w:rPr>
        <w:t>perit.soininen</w:t>
      </w:r>
      <w:r w:rsidR="00C67847" w:rsidRPr="007E53A0">
        <w:rPr>
          <w:sz w:val="24"/>
          <w:szCs w:val="24"/>
        </w:rPr>
        <w:t>@mfa.ee).</w:t>
      </w:r>
      <w:r w:rsidR="00C67847" w:rsidRPr="00595657">
        <w:rPr>
          <w:sz w:val="24"/>
          <w:szCs w:val="24"/>
        </w:rPr>
        <w:t xml:space="preserve"> </w:t>
      </w:r>
    </w:p>
    <w:p w14:paraId="30D34306" w14:textId="77777777" w:rsidR="00EE3623" w:rsidRPr="00595657" w:rsidRDefault="00EE3623" w:rsidP="00C67847">
      <w:pPr>
        <w:jc w:val="both"/>
        <w:rPr>
          <w:bCs/>
          <w:kern w:val="36"/>
          <w:sz w:val="24"/>
          <w:szCs w:val="24"/>
        </w:rPr>
      </w:pPr>
    </w:p>
    <w:p w14:paraId="33BF1D50" w14:textId="77777777" w:rsidR="00757789" w:rsidRPr="00BA67D7" w:rsidRDefault="00757789" w:rsidP="00757789">
      <w:pPr>
        <w:jc w:val="both"/>
        <w:rPr>
          <w:rFonts w:eastAsia="Calibri"/>
          <w:sz w:val="24"/>
          <w:szCs w:val="24"/>
        </w:rPr>
      </w:pPr>
      <w:r w:rsidRPr="00BA67D7">
        <w:rPr>
          <w:b/>
          <w:sz w:val="24"/>
          <w:szCs w:val="24"/>
        </w:rPr>
        <w:t>2. Eelnõu sisu</w:t>
      </w:r>
    </w:p>
    <w:p w14:paraId="5D604B29" w14:textId="2C1BC07D" w:rsidR="007E139C" w:rsidRDefault="00EB3DF8" w:rsidP="00CD4203">
      <w:pPr>
        <w:keepNext/>
        <w:jc w:val="both"/>
        <w:outlineLvl w:val="0"/>
        <w:rPr>
          <w:sz w:val="24"/>
          <w:szCs w:val="24"/>
        </w:rPr>
      </w:pPr>
      <w:r>
        <w:rPr>
          <w:sz w:val="24"/>
          <w:szCs w:val="24"/>
        </w:rPr>
        <w:t>28. veebruaril 2026. aastal alanud sõjategevuse tõttu Iraanis ja Iraaniga piirnevates Pärsia lahe riikides</w:t>
      </w:r>
      <w:r w:rsidR="00E35622">
        <w:rPr>
          <w:sz w:val="24"/>
          <w:szCs w:val="24"/>
        </w:rPr>
        <w:t xml:space="preserve"> kehtestati Araabia Ühendemiraatide, Bahreini, Katari, Kuveidi ja Saudi Araabia õhuruumides lennukeelutsoon, mille tagajärjel valdav enamus liinilendudest tühistati. 28.</w:t>
      </w:r>
      <w:r w:rsidR="009077DA">
        <w:rPr>
          <w:bCs/>
          <w:kern w:val="36"/>
          <w:sz w:val="24"/>
          <w:szCs w:val="24"/>
        </w:rPr>
        <w:t> </w:t>
      </w:r>
      <w:r w:rsidR="00E35622">
        <w:rPr>
          <w:sz w:val="24"/>
          <w:szCs w:val="24"/>
        </w:rPr>
        <w:t>veebruari seisuga viibis piirkonnas üle 1</w:t>
      </w:r>
      <w:r w:rsidR="009077DA">
        <w:rPr>
          <w:bCs/>
          <w:kern w:val="36"/>
          <w:sz w:val="24"/>
          <w:szCs w:val="24"/>
        </w:rPr>
        <w:t> </w:t>
      </w:r>
      <w:r w:rsidR="00E35622">
        <w:rPr>
          <w:sz w:val="24"/>
          <w:szCs w:val="24"/>
        </w:rPr>
        <w:t xml:space="preserve">500 </w:t>
      </w:r>
      <w:r w:rsidR="00603CDB" w:rsidRPr="00595657">
        <w:rPr>
          <w:sz w:val="24"/>
          <w:szCs w:val="24"/>
        </w:rPr>
        <w:t>Eesti koda</w:t>
      </w:r>
      <w:r w:rsidR="00603CDB" w:rsidRPr="00BD69B1">
        <w:rPr>
          <w:sz w:val="24"/>
          <w:szCs w:val="24"/>
        </w:rPr>
        <w:t>nik</w:t>
      </w:r>
      <w:r w:rsidR="00E35622">
        <w:rPr>
          <w:sz w:val="24"/>
          <w:szCs w:val="24"/>
        </w:rPr>
        <w:t xml:space="preserve">u, sh mitmed lastega perekonnad. </w:t>
      </w:r>
    </w:p>
    <w:p w14:paraId="23E796FE" w14:textId="77777777" w:rsidR="007E139C" w:rsidRDefault="007E139C" w:rsidP="00CD4203">
      <w:pPr>
        <w:keepNext/>
        <w:jc w:val="both"/>
        <w:outlineLvl w:val="0"/>
        <w:rPr>
          <w:sz w:val="24"/>
          <w:szCs w:val="24"/>
        </w:rPr>
      </w:pPr>
    </w:p>
    <w:p w14:paraId="45D461A0" w14:textId="7AFF3832" w:rsidR="00A266D2" w:rsidRPr="007E139C" w:rsidRDefault="00E35622" w:rsidP="00CD4203">
      <w:pPr>
        <w:keepNext/>
        <w:jc w:val="both"/>
        <w:outlineLvl w:val="0"/>
        <w:rPr>
          <w:sz w:val="24"/>
          <w:szCs w:val="24"/>
        </w:rPr>
      </w:pPr>
      <w:r>
        <w:rPr>
          <w:sz w:val="24"/>
          <w:szCs w:val="24"/>
        </w:rPr>
        <w:t xml:space="preserve">Välisministeeriumi analüüs näitas, et liinilendude keeld võib jääda kehtima pikemaks ajaks, mistõttu </w:t>
      </w:r>
      <w:r w:rsidR="0097182E">
        <w:rPr>
          <w:sz w:val="24"/>
          <w:szCs w:val="24"/>
        </w:rPr>
        <w:t>andis</w:t>
      </w:r>
      <w:r w:rsidR="008F4596">
        <w:rPr>
          <w:sz w:val="24"/>
          <w:szCs w:val="24"/>
        </w:rPr>
        <w:t xml:space="preserve"> Vabariigi Valitsus </w:t>
      </w:r>
      <w:r w:rsidR="0097182E">
        <w:rPr>
          <w:sz w:val="24"/>
          <w:szCs w:val="24"/>
        </w:rPr>
        <w:t xml:space="preserve">2. märtsil välisministeeriumile ülesande </w:t>
      </w:r>
      <w:r w:rsidR="0097182E" w:rsidRPr="0097182E">
        <w:rPr>
          <w:sz w:val="24"/>
          <w:szCs w:val="24"/>
        </w:rPr>
        <w:t>teha ettevalmistusi Lähis-Ida piirkonnas olevate Eesti kodanike Eestisse tagasi toimetamise korraldamiseks koostöös reisifirmadega</w:t>
      </w:r>
      <w:r w:rsidR="00E34BC2" w:rsidRPr="00BD69B1">
        <w:rPr>
          <w:sz w:val="24"/>
          <w:szCs w:val="24"/>
        </w:rPr>
        <w:t>.</w:t>
      </w:r>
    </w:p>
    <w:p w14:paraId="73257714" w14:textId="77777777" w:rsidR="007E139C" w:rsidRPr="007E139C" w:rsidRDefault="007E139C" w:rsidP="00CD4203">
      <w:pPr>
        <w:keepNext/>
        <w:jc w:val="both"/>
        <w:outlineLvl w:val="0"/>
        <w:rPr>
          <w:sz w:val="24"/>
          <w:szCs w:val="24"/>
        </w:rPr>
      </w:pPr>
    </w:p>
    <w:p w14:paraId="035C6F0E" w14:textId="77777777" w:rsidR="003276C4" w:rsidRDefault="007E139C" w:rsidP="00CD4203">
      <w:pPr>
        <w:keepNext/>
        <w:jc w:val="both"/>
        <w:outlineLvl w:val="0"/>
        <w:rPr>
          <w:sz w:val="24"/>
          <w:szCs w:val="24"/>
        </w:rPr>
      </w:pPr>
      <w:r>
        <w:rPr>
          <w:sz w:val="24"/>
          <w:szCs w:val="24"/>
        </w:rPr>
        <w:t>Sellega seoses tagas Välisministeerium seitsme erilennu ning ühe bussireisi korraldamise. Lende viisid läbi lennuettevõtted Heston Airlines, airBaltic ja flyDubai, vastavalt Maskatist Tallinna (üks lend), Dubaist Tallinna (kolm lendu) ning Dubaist Riiga (kolm lendu). Nende lendudega toimetati Eestisse tagasi kokku 1 068 isikut. Bussiga toimetati Dohast Ar-Riyadi 23 isikut.</w:t>
      </w:r>
      <w:r w:rsidR="003276C4">
        <w:rPr>
          <w:sz w:val="24"/>
          <w:szCs w:val="24"/>
        </w:rPr>
        <w:t xml:space="preserve"> </w:t>
      </w:r>
    </w:p>
    <w:p w14:paraId="53FD4CBC" w14:textId="77777777" w:rsidR="003276C4" w:rsidRDefault="003276C4" w:rsidP="00EB6D57">
      <w:pPr>
        <w:jc w:val="both"/>
        <w:outlineLvl w:val="0"/>
        <w:rPr>
          <w:sz w:val="24"/>
          <w:szCs w:val="24"/>
        </w:rPr>
      </w:pPr>
    </w:p>
    <w:p w14:paraId="267048FC" w14:textId="5872E84C" w:rsidR="007E139C" w:rsidRDefault="003276C4" w:rsidP="00CD4203">
      <w:pPr>
        <w:keepNext/>
        <w:jc w:val="both"/>
        <w:outlineLvl w:val="0"/>
        <w:rPr>
          <w:sz w:val="24"/>
          <w:szCs w:val="24"/>
        </w:rPr>
      </w:pPr>
      <w:r>
        <w:rPr>
          <w:sz w:val="24"/>
          <w:szCs w:val="24"/>
        </w:rPr>
        <w:t>Lendudele registreerimise ja omaosaluse kogumiseks sõlmis Välisministeerium vahenduslepingud turismifirma Novatoursi (Heston Airlines’i lennud) ning Estraveliga (flyDubai lennud).</w:t>
      </w:r>
      <w:r w:rsidR="00DE375E">
        <w:rPr>
          <w:sz w:val="24"/>
          <w:szCs w:val="24"/>
        </w:rPr>
        <w:t xml:space="preserve"> Lendude korraldamise kulu oli kokku </w:t>
      </w:r>
      <w:r w:rsidR="00DE375E" w:rsidRPr="00DE375E">
        <w:rPr>
          <w:sz w:val="24"/>
          <w:szCs w:val="24"/>
        </w:rPr>
        <w:t>1</w:t>
      </w:r>
      <w:r w:rsidR="009077DA">
        <w:rPr>
          <w:sz w:val="24"/>
          <w:szCs w:val="24"/>
        </w:rPr>
        <w:t> </w:t>
      </w:r>
      <w:r w:rsidR="00DE375E" w:rsidRPr="00DE375E">
        <w:rPr>
          <w:sz w:val="24"/>
          <w:szCs w:val="24"/>
        </w:rPr>
        <w:t>475</w:t>
      </w:r>
      <w:r w:rsidR="009077DA">
        <w:rPr>
          <w:bCs/>
          <w:kern w:val="36"/>
          <w:sz w:val="24"/>
          <w:szCs w:val="24"/>
        </w:rPr>
        <w:t> </w:t>
      </w:r>
      <w:r w:rsidR="00DE375E" w:rsidRPr="00DE375E">
        <w:rPr>
          <w:sz w:val="24"/>
          <w:szCs w:val="24"/>
        </w:rPr>
        <w:t>941,06</w:t>
      </w:r>
      <w:r w:rsidR="00DE375E">
        <w:rPr>
          <w:sz w:val="24"/>
          <w:szCs w:val="24"/>
        </w:rPr>
        <w:t xml:space="preserve"> eurot</w:t>
      </w:r>
      <w:r w:rsidR="00D42554">
        <w:rPr>
          <w:sz w:val="24"/>
          <w:szCs w:val="24"/>
        </w:rPr>
        <w:t>.</w:t>
      </w:r>
      <w:r w:rsidR="00DE375E">
        <w:rPr>
          <w:sz w:val="24"/>
          <w:szCs w:val="24"/>
        </w:rPr>
        <w:t xml:space="preserve"> </w:t>
      </w:r>
    </w:p>
    <w:p w14:paraId="152358BE" w14:textId="77777777" w:rsidR="007E139C" w:rsidRDefault="007E139C" w:rsidP="00EB6D57">
      <w:pPr>
        <w:jc w:val="both"/>
        <w:outlineLvl w:val="0"/>
        <w:rPr>
          <w:sz w:val="24"/>
          <w:szCs w:val="24"/>
        </w:rPr>
      </w:pPr>
    </w:p>
    <w:p w14:paraId="1E5F825B" w14:textId="6AE4E52C" w:rsidR="00070658" w:rsidRPr="007E139C" w:rsidRDefault="00D42554" w:rsidP="00070658">
      <w:pPr>
        <w:keepNext/>
        <w:jc w:val="both"/>
        <w:outlineLvl w:val="0"/>
        <w:rPr>
          <w:sz w:val="24"/>
          <w:szCs w:val="24"/>
        </w:rPr>
      </w:pPr>
      <w:r>
        <w:rPr>
          <w:sz w:val="24"/>
          <w:szCs w:val="24"/>
        </w:rPr>
        <w:t xml:space="preserve">Lepingujärgne kulu vahendustegevuse eest kokku </w:t>
      </w:r>
      <w:r w:rsidRPr="00DE375E">
        <w:rPr>
          <w:sz w:val="24"/>
          <w:szCs w:val="24"/>
        </w:rPr>
        <w:t>51</w:t>
      </w:r>
      <w:r>
        <w:rPr>
          <w:sz w:val="24"/>
          <w:szCs w:val="24"/>
        </w:rPr>
        <w:t> </w:t>
      </w:r>
      <w:r w:rsidRPr="00DE375E">
        <w:rPr>
          <w:sz w:val="24"/>
          <w:szCs w:val="24"/>
        </w:rPr>
        <w:t>380</w:t>
      </w:r>
      <w:r>
        <w:rPr>
          <w:sz w:val="24"/>
          <w:szCs w:val="24"/>
        </w:rPr>
        <w:t xml:space="preserve">,00 eurot. </w:t>
      </w:r>
      <w:r w:rsidR="00070658">
        <w:rPr>
          <w:sz w:val="24"/>
          <w:szCs w:val="24"/>
        </w:rPr>
        <w:t>Lendudel osalemise omaosalus</w:t>
      </w:r>
      <w:r w:rsidR="00EB6D57">
        <w:rPr>
          <w:sz w:val="24"/>
          <w:szCs w:val="24"/>
        </w:rPr>
        <w:t xml:space="preserve">e summa oli </w:t>
      </w:r>
      <w:r w:rsidR="00EB6D57" w:rsidRPr="00EB6D57">
        <w:rPr>
          <w:sz w:val="24"/>
          <w:szCs w:val="24"/>
        </w:rPr>
        <w:t>433</w:t>
      </w:r>
      <w:r w:rsidR="00EB6D57">
        <w:rPr>
          <w:sz w:val="24"/>
          <w:szCs w:val="24"/>
        </w:rPr>
        <w:t> </w:t>
      </w:r>
      <w:r w:rsidR="00EB6D57" w:rsidRPr="00EB6D57">
        <w:rPr>
          <w:sz w:val="24"/>
          <w:szCs w:val="24"/>
        </w:rPr>
        <w:t>100</w:t>
      </w:r>
      <w:r w:rsidR="00EB6D57">
        <w:rPr>
          <w:sz w:val="24"/>
          <w:szCs w:val="24"/>
        </w:rPr>
        <w:t xml:space="preserve">,00. Vahendustegevuse kulu tasaarveldati. Selle järel on tekkinud kuludest kokku kaetud </w:t>
      </w:r>
      <w:r w:rsidR="00070658" w:rsidRPr="00070658">
        <w:rPr>
          <w:sz w:val="24"/>
          <w:szCs w:val="24"/>
        </w:rPr>
        <w:t>381</w:t>
      </w:r>
      <w:r w:rsidR="009077DA">
        <w:rPr>
          <w:bCs/>
          <w:kern w:val="36"/>
          <w:sz w:val="24"/>
          <w:szCs w:val="24"/>
        </w:rPr>
        <w:t> </w:t>
      </w:r>
      <w:r w:rsidR="00070658" w:rsidRPr="00070658">
        <w:rPr>
          <w:sz w:val="24"/>
          <w:szCs w:val="24"/>
        </w:rPr>
        <w:t xml:space="preserve">720,00 </w:t>
      </w:r>
      <w:r w:rsidR="00070658">
        <w:rPr>
          <w:sz w:val="24"/>
          <w:szCs w:val="24"/>
        </w:rPr>
        <w:t>eurot.</w:t>
      </w:r>
    </w:p>
    <w:p w14:paraId="51189508" w14:textId="77777777" w:rsidR="00070658" w:rsidRPr="007E139C" w:rsidRDefault="00070658" w:rsidP="00EB6D57">
      <w:pPr>
        <w:jc w:val="both"/>
        <w:outlineLvl w:val="0"/>
        <w:rPr>
          <w:sz w:val="24"/>
          <w:szCs w:val="24"/>
        </w:rPr>
      </w:pPr>
    </w:p>
    <w:p w14:paraId="6D412096" w14:textId="4BCFA744" w:rsidR="007E139C" w:rsidRDefault="007E139C" w:rsidP="00CD4203">
      <w:pPr>
        <w:keepNext/>
        <w:jc w:val="both"/>
        <w:outlineLvl w:val="0"/>
        <w:rPr>
          <w:sz w:val="24"/>
          <w:szCs w:val="24"/>
        </w:rPr>
      </w:pPr>
      <w:r>
        <w:rPr>
          <w:sz w:val="24"/>
          <w:szCs w:val="24"/>
        </w:rPr>
        <w:t xml:space="preserve">Et </w:t>
      </w:r>
      <w:r w:rsidR="006E4A44">
        <w:rPr>
          <w:sz w:val="24"/>
          <w:szCs w:val="24"/>
        </w:rPr>
        <w:t xml:space="preserve">osadel </w:t>
      </w:r>
      <w:r>
        <w:rPr>
          <w:sz w:val="24"/>
          <w:szCs w:val="24"/>
        </w:rPr>
        <w:t>lendudel ja bussis oli ka teiste Euroopa Liidu liikmesriikide kodanikke, avanes võimalus taotleda Euroopa Liidu kaasrahastust transpordikulude katteks</w:t>
      </w:r>
      <w:r w:rsidR="00DE375E">
        <w:rPr>
          <w:sz w:val="24"/>
          <w:szCs w:val="24"/>
        </w:rPr>
        <w:t xml:space="preserve"> liidu tsiviilkaitsemehhanismi </w:t>
      </w:r>
      <w:r w:rsidR="00DE375E">
        <w:rPr>
          <w:sz w:val="24"/>
          <w:szCs w:val="24"/>
        </w:rPr>
        <w:lastRenderedPageBreak/>
        <w:t>kaudu</w:t>
      </w:r>
      <w:r>
        <w:rPr>
          <w:sz w:val="24"/>
          <w:szCs w:val="24"/>
        </w:rPr>
        <w:t xml:space="preserve">. Kaasrahastuse määr ja abikõlbulikkus olenes ära igal reisil osalenud </w:t>
      </w:r>
      <w:r w:rsidR="003276C4">
        <w:rPr>
          <w:sz w:val="24"/>
          <w:szCs w:val="24"/>
        </w:rPr>
        <w:t>Euroopa Liidu liikmesriikide kodanike suhtarvust, olles maksimaalselt 75% lennukuludest (bussireisi kulust)</w:t>
      </w:r>
      <w:r w:rsidR="00C25AFA">
        <w:rPr>
          <w:sz w:val="24"/>
          <w:szCs w:val="24"/>
        </w:rPr>
        <w:t>, millest arvestatakse maha võimalikud muud rahastamisallikad</w:t>
      </w:r>
      <w:r w:rsidR="003276C4">
        <w:rPr>
          <w:sz w:val="24"/>
          <w:szCs w:val="24"/>
        </w:rPr>
        <w:t>.</w:t>
      </w:r>
      <w:r w:rsidR="00DE375E">
        <w:rPr>
          <w:sz w:val="24"/>
          <w:szCs w:val="24"/>
        </w:rPr>
        <w:t xml:space="preserve"> Välisministeeriumi esitas </w:t>
      </w:r>
      <w:r w:rsidR="00070658">
        <w:rPr>
          <w:sz w:val="24"/>
          <w:szCs w:val="24"/>
        </w:rPr>
        <w:t>kõikide reisikulude kohta kaasrahastus</w:t>
      </w:r>
      <w:r w:rsidR="00DE375E">
        <w:rPr>
          <w:sz w:val="24"/>
          <w:szCs w:val="24"/>
        </w:rPr>
        <w:t xml:space="preserve">taotluse </w:t>
      </w:r>
      <w:r w:rsidR="00070658">
        <w:rPr>
          <w:sz w:val="24"/>
          <w:szCs w:val="24"/>
        </w:rPr>
        <w:t xml:space="preserve">summas </w:t>
      </w:r>
      <w:r w:rsidR="00070658" w:rsidRPr="00070658">
        <w:rPr>
          <w:sz w:val="24"/>
          <w:szCs w:val="24"/>
        </w:rPr>
        <w:t>884</w:t>
      </w:r>
      <w:r w:rsidR="009077DA">
        <w:rPr>
          <w:bCs/>
          <w:kern w:val="36"/>
          <w:sz w:val="24"/>
          <w:szCs w:val="24"/>
        </w:rPr>
        <w:t> </w:t>
      </w:r>
      <w:r w:rsidR="00070658" w:rsidRPr="00070658">
        <w:rPr>
          <w:sz w:val="24"/>
          <w:szCs w:val="24"/>
        </w:rPr>
        <w:t>835,80</w:t>
      </w:r>
      <w:r w:rsidR="00070658">
        <w:rPr>
          <w:sz w:val="24"/>
          <w:szCs w:val="24"/>
        </w:rPr>
        <w:t xml:space="preserve"> eurot, millest tunnistati abikõlbulikuks</w:t>
      </w:r>
      <w:r w:rsidR="00C25AFA">
        <w:rPr>
          <w:sz w:val="24"/>
          <w:szCs w:val="24"/>
        </w:rPr>
        <w:t xml:space="preserve"> pärast seni saadud tulude maha arvamist</w:t>
      </w:r>
      <w:r w:rsidR="00070658">
        <w:rPr>
          <w:sz w:val="24"/>
          <w:szCs w:val="24"/>
        </w:rPr>
        <w:t xml:space="preserve"> </w:t>
      </w:r>
      <w:r w:rsidR="006E4A44" w:rsidRPr="00C020AC">
        <w:rPr>
          <w:sz w:val="24"/>
          <w:szCs w:val="24"/>
        </w:rPr>
        <w:t>334</w:t>
      </w:r>
      <w:r w:rsidR="006E4A44" w:rsidRPr="00C020AC">
        <w:rPr>
          <w:bCs/>
          <w:kern w:val="36"/>
          <w:sz w:val="24"/>
          <w:szCs w:val="24"/>
        </w:rPr>
        <w:t> </w:t>
      </w:r>
      <w:r w:rsidR="006E4A44" w:rsidRPr="00C020AC">
        <w:rPr>
          <w:sz w:val="24"/>
          <w:szCs w:val="24"/>
        </w:rPr>
        <w:t>185</w:t>
      </w:r>
      <w:r w:rsidR="009077DA" w:rsidRPr="00C020AC">
        <w:rPr>
          <w:sz w:val="24"/>
          <w:szCs w:val="24"/>
        </w:rPr>
        <w:t>,80 eurot.</w:t>
      </w:r>
    </w:p>
    <w:p w14:paraId="341A2A70" w14:textId="77777777" w:rsidR="009077DA" w:rsidRDefault="009077DA" w:rsidP="00CD4203">
      <w:pPr>
        <w:keepNext/>
        <w:jc w:val="both"/>
        <w:outlineLvl w:val="0"/>
        <w:rPr>
          <w:sz w:val="24"/>
          <w:szCs w:val="24"/>
        </w:rPr>
      </w:pPr>
    </w:p>
    <w:p w14:paraId="6A7B00D8" w14:textId="4AF6D10B" w:rsidR="009077DA" w:rsidRDefault="009077DA" w:rsidP="00CD4203">
      <w:pPr>
        <w:keepNext/>
        <w:jc w:val="both"/>
        <w:outlineLvl w:val="0"/>
        <w:rPr>
          <w:sz w:val="24"/>
          <w:szCs w:val="24"/>
        </w:rPr>
      </w:pPr>
      <w:r>
        <w:rPr>
          <w:sz w:val="24"/>
          <w:szCs w:val="24"/>
        </w:rPr>
        <w:t xml:space="preserve">Kokku on seega tuludega kaetud </w:t>
      </w:r>
      <w:r w:rsidR="0040631C" w:rsidRPr="00C020AC">
        <w:rPr>
          <w:sz w:val="24"/>
          <w:szCs w:val="24"/>
        </w:rPr>
        <w:t>715</w:t>
      </w:r>
      <w:r w:rsidR="0040631C" w:rsidRPr="00C020AC">
        <w:rPr>
          <w:bCs/>
          <w:kern w:val="36"/>
          <w:sz w:val="24"/>
          <w:szCs w:val="24"/>
        </w:rPr>
        <w:t> </w:t>
      </w:r>
      <w:r w:rsidR="0040631C" w:rsidRPr="00C020AC">
        <w:rPr>
          <w:sz w:val="24"/>
          <w:szCs w:val="24"/>
        </w:rPr>
        <w:t>905</w:t>
      </w:r>
      <w:r w:rsidRPr="00C020AC">
        <w:rPr>
          <w:sz w:val="24"/>
          <w:szCs w:val="24"/>
        </w:rPr>
        <w:t>,80</w:t>
      </w:r>
      <w:r>
        <w:rPr>
          <w:sz w:val="24"/>
          <w:szCs w:val="24"/>
        </w:rPr>
        <w:t xml:space="preserve"> eurot ehk </w:t>
      </w:r>
      <w:r w:rsidR="0040631C">
        <w:rPr>
          <w:sz w:val="24"/>
          <w:szCs w:val="24"/>
        </w:rPr>
        <w:t>48</w:t>
      </w:r>
      <w:r>
        <w:rPr>
          <w:sz w:val="24"/>
          <w:szCs w:val="24"/>
        </w:rPr>
        <w:t>,</w:t>
      </w:r>
      <w:r w:rsidR="0040631C">
        <w:rPr>
          <w:sz w:val="24"/>
          <w:szCs w:val="24"/>
        </w:rPr>
        <w:t>5</w:t>
      </w:r>
      <w:r>
        <w:rPr>
          <w:sz w:val="24"/>
          <w:szCs w:val="24"/>
        </w:rPr>
        <w:t>% kuludest.</w:t>
      </w:r>
    </w:p>
    <w:p w14:paraId="0AA3A5C2" w14:textId="77777777" w:rsidR="00F236A3" w:rsidRDefault="00F236A3" w:rsidP="00CD4203">
      <w:pPr>
        <w:keepNext/>
        <w:jc w:val="both"/>
        <w:outlineLvl w:val="0"/>
        <w:rPr>
          <w:sz w:val="24"/>
          <w:szCs w:val="24"/>
        </w:rPr>
      </w:pPr>
    </w:p>
    <w:p w14:paraId="74C0EB1A" w14:textId="6C9D242D" w:rsidR="00F236A3" w:rsidRDefault="00F236A3" w:rsidP="00CD4203">
      <w:pPr>
        <w:keepNext/>
        <w:jc w:val="both"/>
        <w:outlineLvl w:val="0"/>
        <w:rPr>
          <w:sz w:val="24"/>
          <w:szCs w:val="24"/>
        </w:rPr>
      </w:pPr>
      <w:r>
        <w:rPr>
          <w:sz w:val="24"/>
          <w:szCs w:val="24"/>
        </w:rPr>
        <w:t>Täpsem kulude-tulude tabel on toodud ära lisas 1.</w:t>
      </w:r>
    </w:p>
    <w:p w14:paraId="133898EC" w14:textId="77777777" w:rsidR="003276C4" w:rsidRDefault="003276C4" w:rsidP="00CD4203">
      <w:pPr>
        <w:keepNext/>
        <w:jc w:val="both"/>
        <w:outlineLvl w:val="0"/>
        <w:rPr>
          <w:sz w:val="24"/>
          <w:szCs w:val="24"/>
        </w:rPr>
      </w:pPr>
    </w:p>
    <w:p w14:paraId="65D37F8F" w14:textId="28E2E51F" w:rsidR="00C67847" w:rsidRDefault="000C726C" w:rsidP="00A266D2">
      <w:pPr>
        <w:keepNext/>
        <w:jc w:val="both"/>
        <w:outlineLvl w:val="0"/>
        <w:rPr>
          <w:bCs/>
          <w:kern w:val="36"/>
          <w:sz w:val="24"/>
          <w:szCs w:val="24"/>
        </w:rPr>
      </w:pPr>
      <w:r w:rsidRPr="00BD69B1">
        <w:rPr>
          <w:bCs/>
          <w:kern w:val="36"/>
          <w:sz w:val="24"/>
          <w:szCs w:val="24"/>
        </w:rPr>
        <w:t>L</w:t>
      </w:r>
      <w:r w:rsidR="00913452" w:rsidRPr="00BD69B1">
        <w:rPr>
          <w:bCs/>
          <w:kern w:val="36"/>
          <w:sz w:val="24"/>
          <w:szCs w:val="24"/>
        </w:rPr>
        <w:t xml:space="preserve">ähtudes Vabariigi Valitsuse </w:t>
      </w:r>
      <w:r w:rsidR="00F236A3">
        <w:rPr>
          <w:bCs/>
          <w:kern w:val="36"/>
          <w:sz w:val="24"/>
          <w:szCs w:val="24"/>
        </w:rPr>
        <w:t>02</w:t>
      </w:r>
      <w:r w:rsidR="00913452" w:rsidRPr="00BD69B1">
        <w:rPr>
          <w:bCs/>
          <w:kern w:val="36"/>
          <w:sz w:val="24"/>
          <w:szCs w:val="24"/>
        </w:rPr>
        <w:t>.0</w:t>
      </w:r>
      <w:r w:rsidR="00F236A3">
        <w:rPr>
          <w:bCs/>
          <w:kern w:val="36"/>
          <w:sz w:val="24"/>
          <w:szCs w:val="24"/>
        </w:rPr>
        <w:t>3</w:t>
      </w:r>
      <w:r w:rsidR="00913452" w:rsidRPr="00BD69B1">
        <w:rPr>
          <w:bCs/>
          <w:kern w:val="36"/>
          <w:sz w:val="24"/>
          <w:szCs w:val="24"/>
        </w:rPr>
        <w:t>.202</w:t>
      </w:r>
      <w:r w:rsidR="00F236A3">
        <w:rPr>
          <w:bCs/>
          <w:kern w:val="36"/>
          <w:sz w:val="24"/>
          <w:szCs w:val="24"/>
        </w:rPr>
        <w:t>6</w:t>
      </w:r>
      <w:r w:rsidR="00913452" w:rsidRPr="00BD69B1">
        <w:rPr>
          <w:bCs/>
          <w:kern w:val="36"/>
          <w:sz w:val="24"/>
          <w:szCs w:val="24"/>
        </w:rPr>
        <w:t xml:space="preserve"> </w:t>
      </w:r>
      <w:r w:rsidR="000C76EC">
        <w:rPr>
          <w:bCs/>
          <w:kern w:val="36"/>
          <w:sz w:val="24"/>
          <w:szCs w:val="24"/>
        </w:rPr>
        <w:t>suunisest Välisministeeriumile korraldada</w:t>
      </w:r>
      <w:r w:rsidR="000C76EC" w:rsidRPr="00BD69B1">
        <w:rPr>
          <w:bCs/>
          <w:kern w:val="36"/>
          <w:sz w:val="24"/>
          <w:szCs w:val="24"/>
        </w:rPr>
        <w:t xml:space="preserve"> </w:t>
      </w:r>
      <w:r w:rsidR="00F236A3" w:rsidRPr="0097182E">
        <w:rPr>
          <w:sz w:val="24"/>
          <w:szCs w:val="24"/>
        </w:rPr>
        <w:t xml:space="preserve">Lähis-Ida piirkonnas olevate Eesti kodanike Eestisse tagasi </w:t>
      </w:r>
      <w:r w:rsidR="000C76EC" w:rsidRPr="0097182E">
        <w:rPr>
          <w:sz w:val="24"/>
          <w:szCs w:val="24"/>
        </w:rPr>
        <w:t>toimetami</w:t>
      </w:r>
      <w:r w:rsidR="000C76EC">
        <w:rPr>
          <w:sz w:val="24"/>
          <w:szCs w:val="24"/>
        </w:rPr>
        <w:t>n</w:t>
      </w:r>
      <w:r w:rsidR="000C76EC" w:rsidRPr="0097182E">
        <w:rPr>
          <w:sz w:val="24"/>
          <w:szCs w:val="24"/>
        </w:rPr>
        <w:t>e</w:t>
      </w:r>
      <w:r w:rsidRPr="00BD69B1">
        <w:rPr>
          <w:bCs/>
          <w:kern w:val="36"/>
          <w:sz w:val="24"/>
          <w:szCs w:val="24"/>
        </w:rPr>
        <w:t>,</w:t>
      </w:r>
      <w:r w:rsidR="00A266D2" w:rsidRPr="00BD69B1">
        <w:rPr>
          <w:bCs/>
          <w:kern w:val="36"/>
          <w:sz w:val="24"/>
          <w:szCs w:val="24"/>
        </w:rPr>
        <w:t xml:space="preserve"> </w:t>
      </w:r>
      <w:r w:rsidR="002D571A" w:rsidRPr="00BD69B1">
        <w:rPr>
          <w:bCs/>
          <w:kern w:val="36"/>
          <w:sz w:val="24"/>
          <w:szCs w:val="24"/>
        </w:rPr>
        <w:t>teeb</w:t>
      </w:r>
      <w:r w:rsidRPr="00BD69B1">
        <w:rPr>
          <w:bCs/>
          <w:kern w:val="36"/>
          <w:sz w:val="24"/>
          <w:szCs w:val="24"/>
        </w:rPr>
        <w:t xml:space="preserve"> Välisministeerium</w:t>
      </w:r>
      <w:r w:rsidR="002D571A" w:rsidRPr="00BD69B1">
        <w:rPr>
          <w:bCs/>
          <w:kern w:val="36"/>
          <w:sz w:val="24"/>
          <w:szCs w:val="24"/>
        </w:rPr>
        <w:t xml:space="preserve"> ettepaneku</w:t>
      </w:r>
      <w:r w:rsidR="006B6C84" w:rsidRPr="00BD69B1">
        <w:rPr>
          <w:bCs/>
          <w:kern w:val="36"/>
          <w:sz w:val="24"/>
          <w:szCs w:val="24"/>
        </w:rPr>
        <w:t xml:space="preserve"> </w:t>
      </w:r>
      <w:r w:rsidR="006C752A" w:rsidRPr="00BD69B1">
        <w:rPr>
          <w:bCs/>
          <w:kern w:val="36"/>
          <w:sz w:val="24"/>
          <w:szCs w:val="24"/>
        </w:rPr>
        <w:t xml:space="preserve">eraldada </w:t>
      </w:r>
      <w:r w:rsidR="000C76EC" w:rsidRPr="00BD69B1">
        <w:rPr>
          <w:bCs/>
          <w:kern w:val="36"/>
          <w:sz w:val="24"/>
          <w:szCs w:val="24"/>
        </w:rPr>
        <w:t xml:space="preserve">Vabariigi Valitsuse reservist </w:t>
      </w:r>
      <w:r w:rsidR="00913452" w:rsidRPr="00BD69B1">
        <w:rPr>
          <w:bCs/>
          <w:kern w:val="36"/>
          <w:sz w:val="24"/>
          <w:szCs w:val="24"/>
        </w:rPr>
        <w:t>selle</w:t>
      </w:r>
      <w:r w:rsidR="00F236A3">
        <w:rPr>
          <w:bCs/>
          <w:kern w:val="36"/>
          <w:sz w:val="24"/>
          <w:szCs w:val="24"/>
        </w:rPr>
        <w:t xml:space="preserve"> tegevusega</w:t>
      </w:r>
      <w:r w:rsidR="00913452" w:rsidRPr="00BD69B1">
        <w:rPr>
          <w:bCs/>
          <w:kern w:val="36"/>
          <w:sz w:val="24"/>
          <w:szCs w:val="24"/>
        </w:rPr>
        <w:t xml:space="preserve"> </w:t>
      </w:r>
      <w:r w:rsidR="00F236A3">
        <w:rPr>
          <w:bCs/>
          <w:kern w:val="36"/>
          <w:sz w:val="24"/>
          <w:szCs w:val="24"/>
        </w:rPr>
        <w:t>tekkinud kulud</w:t>
      </w:r>
      <w:r w:rsidR="000C76EC">
        <w:rPr>
          <w:bCs/>
          <w:kern w:val="36"/>
          <w:sz w:val="24"/>
          <w:szCs w:val="24"/>
        </w:rPr>
        <w:t>e katteks</w:t>
      </w:r>
      <w:r w:rsidR="00913452" w:rsidRPr="00BD69B1">
        <w:rPr>
          <w:bCs/>
          <w:kern w:val="36"/>
          <w:sz w:val="24"/>
          <w:szCs w:val="24"/>
        </w:rPr>
        <w:t xml:space="preserve"> </w:t>
      </w:r>
      <w:r w:rsidR="00EB6D57" w:rsidRPr="00196EEF">
        <w:rPr>
          <w:b/>
          <w:kern w:val="36"/>
          <w:sz w:val="24"/>
          <w:szCs w:val="24"/>
        </w:rPr>
        <w:t>7</w:t>
      </w:r>
      <w:r w:rsidR="0040631C" w:rsidRPr="00196EEF">
        <w:rPr>
          <w:b/>
          <w:kern w:val="36"/>
          <w:sz w:val="24"/>
          <w:szCs w:val="24"/>
        </w:rPr>
        <w:t>60</w:t>
      </w:r>
      <w:r w:rsidR="00EB6D57" w:rsidRPr="00196EEF">
        <w:rPr>
          <w:b/>
          <w:kern w:val="36"/>
          <w:sz w:val="24"/>
          <w:szCs w:val="24"/>
        </w:rPr>
        <w:t> </w:t>
      </w:r>
      <w:r w:rsidR="0040631C" w:rsidRPr="00196EEF">
        <w:rPr>
          <w:b/>
          <w:kern w:val="36"/>
          <w:sz w:val="24"/>
          <w:szCs w:val="24"/>
        </w:rPr>
        <w:t>03</w:t>
      </w:r>
      <w:r w:rsidR="00EB6D57" w:rsidRPr="00196EEF">
        <w:rPr>
          <w:b/>
          <w:kern w:val="36"/>
          <w:sz w:val="24"/>
          <w:szCs w:val="24"/>
        </w:rPr>
        <w:t>5</w:t>
      </w:r>
      <w:r w:rsidR="00F236A3" w:rsidRPr="00196EEF">
        <w:rPr>
          <w:b/>
          <w:kern w:val="36"/>
          <w:sz w:val="24"/>
          <w:szCs w:val="24"/>
        </w:rPr>
        <w:t xml:space="preserve">,27 </w:t>
      </w:r>
      <w:r w:rsidR="00343E58" w:rsidRPr="00BD69B1">
        <w:rPr>
          <w:bCs/>
          <w:kern w:val="36"/>
          <w:sz w:val="24"/>
          <w:szCs w:val="24"/>
        </w:rPr>
        <w:t>eurot</w:t>
      </w:r>
      <w:r w:rsidR="005F72DE" w:rsidRPr="00BD69B1">
        <w:rPr>
          <w:bCs/>
          <w:kern w:val="36"/>
          <w:sz w:val="24"/>
          <w:szCs w:val="24"/>
        </w:rPr>
        <w:t xml:space="preserve">. </w:t>
      </w:r>
    </w:p>
    <w:p w14:paraId="66A7114B" w14:textId="324F5911" w:rsidR="00C67847" w:rsidRDefault="00C67847" w:rsidP="00A266D2">
      <w:pPr>
        <w:keepNext/>
        <w:jc w:val="both"/>
        <w:outlineLvl w:val="0"/>
        <w:rPr>
          <w:bCs/>
          <w:kern w:val="36"/>
          <w:sz w:val="24"/>
          <w:szCs w:val="24"/>
        </w:rPr>
      </w:pPr>
    </w:p>
    <w:tbl>
      <w:tblPr>
        <w:tblW w:w="9360" w:type="dxa"/>
        <w:tblInd w:w="-9" w:type="dxa"/>
        <w:tblLayout w:type="fixed"/>
        <w:tblCellMar>
          <w:left w:w="70" w:type="dxa"/>
          <w:right w:w="70" w:type="dxa"/>
        </w:tblCellMar>
        <w:tblLook w:val="04A0" w:firstRow="1" w:lastRow="0" w:firstColumn="1" w:lastColumn="0" w:noHBand="0" w:noVBand="1"/>
      </w:tblPr>
      <w:tblGrid>
        <w:gridCol w:w="1615"/>
        <w:gridCol w:w="1782"/>
        <w:gridCol w:w="1427"/>
        <w:gridCol w:w="1276"/>
        <w:gridCol w:w="1417"/>
        <w:gridCol w:w="1843"/>
      </w:tblGrid>
      <w:tr w:rsidR="00C67847" w:rsidRPr="00C020AC" w14:paraId="008478CF" w14:textId="77777777" w:rsidTr="00231526">
        <w:trPr>
          <w:trHeight w:val="394"/>
        </w:trPr>
        <w:tc>
          <w:tcPr>
            <w:tcW w:w="9360" w:type="dxa"/>
            <w:gridSpan w:val="6"/>
          </w:tcPr>
          <w:p w14:paraId="203CD1AC" w14:textId="77777777" w:rsidR="00C67847" w:rsidRPr="00C020AC" w:rsidRDefault="00C67847" w:rsidP="00231526">
            <w:pPr>
              <w:rPr>
                <w:b/>
                <w:bCs/>
                <w:color w:val="000000"/>
                <w:sz w:val="22"/>
                <w:szCs w:val="22"/>
                <w:u w:val="single"/>
                <w:lang w:eastAsia="et-EE"/>
              </w:rPr>
            </w:pPr>
          </w:p>
          <w:p w14:paraId="533D1C64" w14:textId="77777777" w:rsidR="00C67847" w:rsidRPr="00C020AC" w:rsidRDefault="00C67847" w:rsidP="00231526">
            <w:pPr>
              <w:rPr>
                <w:b/>
                <w:bCs/>
                <w:color w:val="000000"/>
                <w:sz w:val="22"/>
                <w:szCs w:val="22"/>
                <w:u w:val="single"/>
                <w:lang w:eastAsia="et-EE"/>
              </w:rPr>
            </w:pPr>
          </w:p>
          <w:p w14:paraId="7532FF6A" w14:textId="77777777" w:rsidR="00C67847" w:rsidRPr="00C020AC" w:rsidRDefault="00C67847" w:rsidP="00231526">
            <w:pPr>
              <w:rPr>
                <w:b/>
                <w:bCs/>
                <w:color w:val="000000"/>
                <w:sz w:val="22"/>
                <w:szCs w:val="22"/>
                <w:u w:val="single"/>
                <w:lang w:eastAsia="et-EE"/>
              </w:rPr>
            </w:pPr>
          </w:p>
          <w:p w14:paraId="2B7F3D48" w14:textId="77777777" w:rsidR="00C67847" w:rsidRPr="00C020AC" w:rsidRDefault="00C67847" w:rsidP="00231526">
            <w:pPr>
              <w:rPr>
                <w:b/>
                <w:bCs/>
                <w:color w:val="000000"/>
                <w:sz w:val="22"/>
                <w:szCs w:val="22"/>
                <w:u w:val="single"/>
                <w:lang w:eastAsia="et-EE"/>
              </w:rPr>
            </w:pPr>
          </w:p>
          <w:p w14:paraId="0BA0EA34" w14:textId="77777777" w:rsidR="00C67847" w:rsidRPr="00C020AC" w:rsidRDefault="00C67847" w:rsidP="00231526">
            <w:pPr>
              <w:rPr>
                <w:b/>
                <w:bCs/>
                <w:color w:val="000000"/>
                <w:sz w:val="22"/>
                <w:szCs w:val="22"/>
                <w:u w:val="single"/>
                <w:lang w:eastAsia="et-EE"/>
              </w:rPr>
            </w:pPr>
          </w:p>
          <w:p w14:paraId="32C31189" w14:textId="4B5EB70A" w:rsidR="00C67847" w:rsidRPr="00C020AC" w:rsidRDefault="00C67847" w:rsidP="00231526">
            <w:pPr>
              <w:rPr>
                <w:b/>
                <w:bCs/>
                <w:color w:val="000000"/>
                <w:sz w:val="22"/>
                <w:szCs w:val="22"/>
                <w:u w:val="single"/>
                <w:lang w:eastAsia="et-EE"/>
              </w:rPr>
            </w:pPr>
            <w:r w:rsidRPr="00C020AC">
              <w:rPr>
                <w:b/>
                <w:bCs/>
                <w:color w:val="000000"/>
                <w:sz w:val="22"/>
                <w:szCs w:val="22"/>
                <w:u w:val="single"/>
                <w:lang w:eastAsia="et-EE"/>
              </w:rPr>
              <w:t>Lisa 1. Välisministeeriumi korraldatud erilendude ja bussi kulud</w:t>
            </w:r>
          </w:p>
        </w:tc>
      </w:tr>
      <w:tr w:rsidR="00C67847" w:rsidRPr="00C020AC" w14:paraId="338B532D" w14:textId="77777777" w:rsidTr="00231526">
        <w:trPr>
          <w:trHeight w:val="300"/>
        </w:trPr>
        <w:tc>
          <w:tcPr>
            <w:tcW w:w="9360" w:type="dxa"/>
            <w:gridSpan w:val="6"/>
          </w:tcPr>
          <w:p w14:paraId="751B4DFA" w14:textId="77777777" w:rsidR="00C67847" w:rsidRPr="00C020AC" w:rsidRDefault="00C67847" w:rsidP="00231526">
            <w:pPr>
              <w:rPr>
                <w:sz w:val="22"/>
                <w:szCs w:val="22"/>
                <w:lang w:eastAsia="et-EE"/>
              </w:rPr>
            </w:pPr>
          </w:p>
        </w:tc>
      </w:tr>
      <w:tr w:rsidR="00C67847" w:rsidRPr="00C020AC" w14:paraId="315EEE8A" w14:textId="77777777" w:rsidTr="00231526">
        <w:trPr>
          <w:trHeight w:val="300"/>
        </w:trPr>
        <w:tc>
          <w:tcPr>
            <w:tcW w:w="1615" w:type="dxa"/>
            <w:shd w:val="clear" w:color="auto" w:fill="auto"/>
            <w:noWrap/>
            <w:vAlign w:val="center"/>
            <w:hideMark/>
          </w:tcPr>
          <w:p w14:paraId="0302C52F" w14:textId="77777777" w:rsidR="00C67847" w:rsidRPr="00C020AC" w:rsidRDefault="00C67847" w:rsidP="00231526">
            <w:pPr>
              <w:jc w:val="center"/>
              <w:rPr>
                <w:b/>
                <w:bCs/>
                <w:color w:val="000000"/>
                <w:sz w:val="22"/>
                <w:szCs w:val="22"/>
                <w:lang w:eastAsia="et-EE"/>
              </w:rPr>
            </w:pPr>
            <w:bookmarkStart w:id="0" w:name="_Hlk231561641"/>
            <w:r w:rsidRPr="00C020AC">
              <w:rPr>
                <w:b/>
                <w:bCs/>
                <w:color w:val="000000"/>
                <w:sz w:val="22"/>
                <w:szCs w:val="22"/>
                <w:lang w:eastAsia="et-EE"/>
              </w:rPr>
              <w:t>reisi kuupäev</w:t>
            </w:r>
          </w:p>
        </w:tc>
        <w:tc>
          <w:tcPr>
            <w:tcW w:w="1782" w:type="dxa"/>
            <w:vAlign w:val="center"/>
          </w:tcPr>
          <w:p w14:paraId="1C535BC4" w14:textId="77777777" w:rsidR="00C67847" w:rsidRPr="00C020AC" w:rsidRDefault="00C67847" w:rsidP="00231526">
            <w:pPr>
              <w:jc w:val="center"/>
              <w:rPr>
                <w:b/>
                <w:bCs/>
                <w:color w:val="000000"/>
                <w:sz w:val="22"/>
                <w:szCs w:val="22"/>
                <w:lang w:eastAsia="et-EE"/>
              </w:rPr>
            </w:pPr>
            <w:r w:rsidRPr="00C020AC">
              <w:rPr>
                <w:b/>
                <w:bCs/>
                <w:color w:val="000000"/>
                <w:sz w:val="22"/>
                <w:szCs w:val="22"/>
                <w:lang w:eastAsia="et-EE"/>
              </w:rPr>
              <w:t>Marsruut</w:t>
            </w:r>
          </w:p>
        </w:tc>
        <w:tc>
          <w:tcPr>
            <w:tcW w:w="1427" w:type="dxa"/>
            <w:shd w:val="clear" w:color="auto" w:fill="auto"/>
            <w:noWrap/>
            <w:vAlign w:val="center"/>
            <w:hideMark/>
          </w:tcPr>
          <w:p w14:paraId="44F430D1" w14:textId="77777777" w:rsidR="00C67847" w:rsidRPr="00C020AC" w:rsidRDefault="00C67847" w:rsidP="00231526">
            <w:pPr>
              <w:jc w:val="center"/>
              <w:rPr>
                <w:b/>
                <w:bCs/>
                <w:color w:val="000000"/>
                <w:sz w:val="22"/>
                <w:szCs w:val="22"/>
                <w:lang w:eastAsia="et-EE"/>
              </w:rPr>
            </w:pPr>
            <w:r w:rsidRPr="00C020AC">
              <w:rPr>
                <w:b/>
                <w:bCs/>
                <w:color w:val="000000"/>
                <w:sz w:val="22"/>
                <w:szCs w:val="22"/>
                <w:lang w:eastAsia="et-EE"/>
              </w:rPr>
              <w:t>kulu</w:t>
            </w:r>
          </w:p>
        </w:tc>
        <w:tc>
          <w:tcPr>
            <w:tcW w:w="1276" w:type="dxa"/>
            <w:vAlign w:val="center"/>
          </w:tcPr>
          <w:p w14:paraId="67019EC3" w14:textId="77777777" w:rsidR="00C67847" w:rsidRPr="00C020AC" w:rsidRDefault="00C67847" w:rsidP="00231526">
            <w:pPr>
              <w:jc w:val="center"/>
              <w:rPr>
                <w:b/>
                <w:bCs/>
                <w:color w:val="000000"/>
                <w:sz w:val="22"/>
                <w:szCs w:val="22"/>
                <w:lang w:eastAsia="et-EE"/>
              </w:rPr>
            </w:pPr>
            <w:r w:rsidRPr="00C020AC">
              <w:rPr>
                <w:b/>
                <w:bCs/>
                <w:color w:val="000000"/>
                <w:sz w:val="22"/>
                <w:szCs w:val="22"/>
                <w:lang w:eastAsia="et-EE"/>
              </w:rPr>
              <w:t>tulu</w:t>
            </w:r>
          </w:p>
        </w:tc>
        <w:tc>
          <w:tcPr>
            <w:tcW w:w="1417" w:type="dxa"/>
            <w:vAlign w:val="center"/>
          </w:tcPr>
          <w:p w14:paraId="44347AB4" w14:textId="77777777" w:rsidR="00C67847" w:rsidRPr="00C020AC" w:rsidRDefault="00C67847" w:rsidP="00231526">
            <w:pPr>
              <w:jc w:val="center"/>
              <w:rPr>
                <w:b/>
                <w:bCs/>
                <w:color w:val="000000"/>
                <w:sz w:val="22"/>
                <w:szCs w:val="22"/>
                <w:lang w:eastAsia="et-EE"/>
              </w:rPr>
            </w:pPr>
            <w:r w:rsidRPr="00C020AC">
              <w:rPr>
                <w:b/>
                <w:bCs/>
                <w:color w:val="000000"/>
                <w:sz w:val="22"/>
                <w:szCs w:val="22"/>
                <w:lang w:eastAsia="et-EE"/>
              </w:rPr>
              <w:t>EL-i kaasrahastus</w:t>
            </w:r>
          </w:p>
        </w:tc>
        <w:tc>
          <w:tcPr>
            <w:tcW w:w="1843" w:type="dxa"/>
            <w:vAlign w:val="center"/>
          </w:tcPr>
          <w:p w14:paraId="2C541964" w14:textId="77777777" w:rsidR="00C67847" w:rsidRPr="00C020AC" w:rsidRDefault="00C67847" w:rsidP="00231526">
            <w:pPr>
              <w:jc w:val="center"/>
              <w:rPr>
                <w:b/>
                <w:bCs/>
                <w:color w:val="000000"/>
                <w:sz w:val="22"/>
                <w:szCs w:val="22"/>
                <w:lang w:eastAsia="et-EE"/>
              </w:rPr>
            </w:pPr>
            <w:r w:rsidRPr="00C020AC">
              <w:rPr>
                <w:b/>
                <w:bCs/>
                <w:color w:val="000000"/>
                <w:sz w:val="22"/>
                <w:szCs w:val="22"/>
                <w:lang w:eastAsia="et-EE"/>
              </w:rPr>
              <w:t>Kulu jääk pärast EL-i kaasrahastust</w:t>
            </w:r>
          </w:p>
        </w:tc>
      </w:tr>
      <w:tr w:rsidR="00C67847" w:rsidRPr="00C020AC" w14:paraId="5B8D2279" w14:textId="77777777" w:rsidTr="00231526">
        <w:trPr>
          <w:trHeight w:val="300"/>
        </w:trPr>
        <w:tc>
          <w:tcPr>
            <w:tcW w:w="1615" w:type="dxa"/>
            <w:shd w:val="clear" w:color="auto" w:fill="auto"/>
            <w:noWrap/>
            <w:vAlign w:val="bottom"/>
            <w:hideMark/>
          </w:tcPr>
          <w:p w14:paraId="21F1FC7A" w14:textId="77777777" w:rsidR="00C67847" w:rsidRPr="00C020AC" w:rsidRDefault="00C67847" w:rsidP="00231526">
            <w:pPr>
              <w:rPr>
                <w:color w:val="000000"/>
                <w:sz w:val="22"/>
                <w:szCs w:val="22"/>
                <w:lang w:eastAsia="et-EE"/>
              </w:rPr>
            </w:pPr>
          </w:p>
        </w:tc>
        <w:tc>
          <w:tcPr>
            <w:tcW w:w="1782" w:type="dxa"/>
          </w:tcPr>
          <w:p w14:paraId="5B6F8DB7" w14:textId="77777777" w:rsidR="00C67847" w:rsidRPr="00C020AC" w:rsidRDefault="00C67847" w:rsidP="00231526">
            <w:pPr>
              <w:jc w:val="right"/>
              <w:rPr>
                <w:color w:val="000000"/>
                <w:sz w:val="22"/>
                <w:szCs w:val="22"/>
                <w:lang w:eastAsia="et-EE"/>
              </w:rPr>
            </w:pPr>
          </w:p>
        </w:tc>
        <w:tc>
          <w:tcPr>
            <w:tcW w:w="1427" w:type="dxa"/>
            <w:shd w:val="clear" w:color="auto" w:fill="auto"/>
            <w:noWrap/>
            <w:vAlign w:val="bottom"/>
          </w:tcPr>
          <w:p w14:paraId="619C8490" w14:textId="77777777" w:rsidR="00C67847" w:rsidRPr="00C020AC" w:rsidRDefault="00C67847" w:rsidP="00231526">
            <w:pPr>
              <w:jc w:val="right"/>
              <w:rPr>
                <w:color w:val="000000"/>
                <w:sz w:val="22"/>
                <w:szCs w:val="22"/>
                <w:lang w:eastAsia="et-EE"/>
              </w:rPr>
            </w:pPr>
          </w:p>
        </w:tc>
        <w:tc>
          <w:tcPr>
            <w:tcW w:w="1276" w:type="dxa"/>
          </w:tcPr>
          <w:p w14:paraId="4C967568" w14:textId="77777777" w:rsidR="00C67847" w:rsidRPr="00C020AC" w:rsidRDefault="00C67847" w:rsidP="00231526">
            <w:pPr>
              <w:jc w:val="right"/>
              <w:rPr>
                <w:color w:val="000000"/>
                <w:sz w:val="22"/>
                <w:szCs w:val="22"/>
                <w:lang w:eastAsia="et-EE"/>
              </w:rPr>
            </w:pPr>
          </w:p>
        </w:tc>
        <w:tc>
          <w:tcPr>
            <w:tcW w:w="1417" w:type="dxa"/>
          </w:tcPr>
          <w:p w14:paraId="4323029A" w14:textId="77777777" w:rsidR="00C67847" w:rsidRPr="00C020AC" w:rsidRDefault="00C67847" w:rsidP="00231526">
            <w:pPr>
              <w:jc w:val="right"/>
              <w:rPr>
                <w:color w:val="000000"/>
                <w:sz w:val="22"/>
                <w:szCs w:val="22"/>
                <w:lang w:eastAsia="et-EE"/>
              </w:rPr>
            </w:pPr>
          </w:p>
        </w:tc>
        <w:tc>
          <w:tcPr>
            <w:tcW w:w="1843" w:type="dxa"/>
          </w:tcPr>
          <w:p w14:paraId="3127B666" w14:textId="77777777" w:rsidR="00C67847" w:rsidRPr="00C020AC" w:rsidRDefault="00C67847" w:rsidP="00231526">
            <w:pPr>
              <w:jc w:val="right"/>
              <w:rPr>
                <w:color w:val="000000"/>
                <w:sz w:val="22"/>
                <w:szCs w:val="22"/>
                <w:lang w:eastAsia="et-EE"/>
              </w:rPr>
            </w:pPr>
          </w:p>
        </w:tc>
      </w:tr>
      <w:tr w:rsidR="00C67847" w:rsidRPr="00C020AC" w14:paraId="4CD30977" w14:textId="77777777" w:rsidTr="00231526">
        <w:trPr>
          <w:trHeight w:val="300"/>
        </w:trPr>
        <w:tc>
          <w:tcPr>
            <w:tcW w:w="1615" w:type="dxa"/>
            <w:shd w:val="clear" w:color="auto" w:fill="auto"/>
            <w:noWrap/>
            <w:vAlign w:val="center"/>
          </w:tcPr>
          <w:p w14:paraId="5070575E" w14:textId="77777777" w:rsidR="00C67847" w:rsidRPr="00C020AC" w:rsidRDefault="00C67847" w:rsidP="00231526">
            <w:pPr>
              <w:jc w:val="center"/>
              <w:rPr>
                <w:color w:val="000000"/>
                <w:sz w:val="22"/>
                <w:szCs w:val="22"/>
                <w:lang w:eastAsia="et-EE"/>
              </w:rPr>
            </w:pPr>
            <w:r w:rsidRPr="00C020AC">
              <w:rPr>
                <w:color w:val="000000"/>
                <w:sz w:val="22"/>
                <w:szCs w:val="22"/>
                <w:lang w:eastAsia="et-EE"/>
              </w:rPr>
              <w:t>06.03.2026</w:t>
            </w:r>
          </w:p>
        </w:tc>
        <w:tc>
          <w:tcPr>
            <w:tcW w:w="1782" w:type="dxa"/>
            <w:vAlign w:val="center"/>
          </w:tcPr>
          <w:p w14:paraId="00D4A212" w14:textId="77777777" w:rsidR="00C67847" w:rsidRPr="00C020AC" w:rsidRDefault="00C67847" w:rsidP="00231526">
            <w:pPr>
              <w:rPr>
                <w:color w:val="000000"/>
                <w:sz w:val="22"/>
                <w:szCs w:val="22"/>
                <w:lang w:eastAsia="et-EE"/>
              </w:rPr>
            </w:pPr>
            <w:r w:rsidRPr="00C020AC">
              <w:rPr>
                <w:color w:val="000000"/>
                <w:sz w:val="22"/>
                <w:szCs w:val="22"/>
                <w:lang w:eastAsia="et-EE"/>
              </w:rPr>
              <w:t>Maskat - Tallinn</w:t>
            </w:r>
          </w:p>
        </w:tc>
        <w:tc>
          <w:tcPr>
            <w:tcW w:w="1427" w:type="dxa"/>
            <w:shd w:val="clear" w:color="auto" w:fill="auto"/>
            <w:noWrap/>
            <w:vAlign w:val="center"/>
          </w:tcPr>
          <w:p w14:paraId="785A35BF"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- 255 000,00</w:t>
            </w:r>
          </w:p>
        </w:tc>
        <w:tc>
          <w:tcPr>
            <w:tcW w:w="1276" w:type="dxa"/>
            <w:vAlign w:val="center"/>
          </w:tcPr>
          <w:p w14:paraId="37CCDCD8"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61 570,00</w:t>
            </w:r>
          </w:p>
        </w:tc>
        <w:tc>
          <w:tcPr>
            <w:tcW w:w="1417" w:type="dxa"/>
            <w:vAlign w:val="center"/>
          </w:tcPr>
          <w:p w14:paraId="4941249B" w14:textId="77777777" w:rsidR="00C67847" w:rsidRPr="00C020AC" w:rsidRDefault="00C67847" w:rsidP="00231526">
            <w:pPr>
              <w:jc w:val="center"/>
              <w:rPr>
                <w:color w:val="000000"/>
                <w:sz w:val="22"/>
                <w:szCs w:val="22"/>
                <w:lang w:eastAsia="et-EE"/>
              </w:rPr>
            </w:pPr>
            <w:r w:rsidRPr="00C020AC">
              <w:rPr>
                <w:color w:val="000000"/>
                <w:sz w:val="22"/>
                <w:szCs w:val="22"/>
                <w:lang w:eastAsia="et-EE"/>
              </w:rPr>
              <w:t>-</w:t>
            </w:r>
          </w:p>
        </w:tc>
        <w:tc>
          <w:tcPr>
            <w:tcW w:w="1843" w:type="dxa"/>
            <w:vAlign w:val="center"/>
          </w:tcPr>
          <w:p w14:paraId="63263BDA"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- 193 430,00</w:t>
            </w:r>
          </w:p>
        </w:tc>
      </w:tr>
      <w:tr w:rsidR="00C67847" w:rsidRPr="00C020AC" w14:paraId="1190293B" w14:textId="77777777" w:rsidTr="00231526">
        <w:trPr>
          <w:trHeight w:val="300"/>
        </w:trPr>
        <w:tc>
          <w:tcPr>
            <w:tcW w:w="1615" w:type="dxa"/>
            <w:shd w:val="clear" w:color="auto" w:fill="auto"/>
            <w:noWrap/>
            <w:vAlign w:val="center"/>
          </w:tcPr>
          <w:p w14:paraId="571EE9F4" w14:textId="77777777" w:rsidR="00C67847" w:rsidRPr="00C020AC" w:rsidRDefault="00C67847" w:rsidP="00231526">
            <w:pPr>
              <w:jc w:val="center"/>
              <w:rPr>
                <w:color w:val="000000"/>
                <w:sz w:val="22"/>
                <w:szCs w:val="22"/>
                <w:lang w:eastAsia="et-EE"/>
              </w:rPr>
            </w:pPr>
            <w:r w:rsidRPr="00C020AC">
              <w:rPr>
                <w:color w:val="000000"/>
                <w:sz w:val="22"/>
                <w:szCs w:val="22"/>
                <w:lang w:eastAsia="et-EE"/>
              </w:rPr>
              <w:t>06.03.2026</w:t>
            </w:r>
          </w:p>
        </w:tc>
        <w:tc>
          <w:tcPr>
            <w:tcW w:w="1782" w:type="dxa"/>
            <w:vAlign w:val="center"/>
          </w:tcPr>
          <w:p w14:paraId="580219AB" w14:textId="77777777" w:rsidR="00C67847" w:rsidRPr="00C020AC" w:rsidRDefault="00C67847" w:rsidP="00231526">
            <w:pPr>
              <w:rPr>
                <w:color w:val="000000"/>
                <w:sz w:val="22"/>
                <w:szCs w:val="22"/>
                <w:lang w:eastAsia="et-EE"/>
              </w:rPr>
            </w:pPr>
            <w:r w:rsidRPr="00C020AC">
              <w:rPr>
                <w:color w:val="000000"/>
                <w:sz w:val="22"/>
                <w:szCs w:val="22"/>
                <w:lang w:eastAsia="et-EE"/>
              </w:rPr>
              <w:t>Dubai - Tallinn</w:t>
            </w:r>
          </w:p>
        </w:tc>
        <w:tc>
          <w:tcPr>
            <w:tcW w:w="1427" w:type="dxa"/>
            <w:shd w:val="clear" w:color="auto" w:fill="auto"/>
            <w:noWrap/>
            <w:vAlign w:val="center"/>
          </w:tcPr>
          <w:p w14:paraId="639FA1C4"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- 174 380,00</w:t>
            </w:r>
          </w:p>
        </w:tc>
        <w:tc>
          <w:tcPr>
            <w:tcW w:w="1276" w:type="dxa"/>
            <w:vAlign w:val="center"/>
          </w:tcPr>
          <w:p w14:paraId="7E0DC493"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51 800,00</w:t>
            </w:r>
          </w:p>
        </w:tc>
        <w:tc>
          <w:tcPr>
            <w:tcW w:w="1417" w:type="dxa"/>
            <w:vAlign w:val="center"/>
          </w:tcPr>
          <w:p w14:paraId="713B3C93"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35 390,00</w:t>
            </w:r>
          </w:p>
        </w:tc>
        <w:tc>
          <w:tcPr>
            <w:tcW w:w="1843" w:type="dxa"/>
            <w:vAlign w:val="center"/>
          </w:tcPr>
          <w:p w14:paraId="088FD94E"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- 87 190,00</w:t>
            </w:r>
          </w:p>
        </w:tc>
      </w:tr>
      <w:tr w:rsidR="00C67847" w:rsidRPr="00C020AC" w14:paraId="07908677" w14:textId="77777777" w:rsidTr="00231526">
        <w:trPr>
          <w:trHeight w:val="300"/>
        </w:trPr>
        <w:tc>
          <w:tcPr>
            <w:tcW w:w="1615" w:type="dxa"/>
            <w:shd w:val="clear" w:color="auto" w:fill="auto"/>
            <w:noWrap/>
            <w:vAlign w:val="center"/>
          </w:tcPr>
          <w:p w14:paraId="628A7022" w14:textId="77777777" w:rsidR="00C67847" w:rsidRPr="00C020AC" w:rsidRDefault="00C67847" w:rsidP="00231526">
            <w:pPr>
              <w:jc w:val="center"/>
              <w:rPr>
                <w:color w:val="000000"/>
                <w:sz w:val="22"/>
                <w:szCs w:val="22"/>
                <w:lang w:eastAsia="et-EE"/>
              </w:rPr>
            </w:pPr>
            <w:r w:rsidRPr="00C020AC">
              <w:rPr>
                <w:color w:val="000000"/>
                <w:sz w:val="22"/>
                <w:szCs w:val="22"/>
                <w:lang w:eastAsia="et-EE"/>
              </w:rPr>
              <w:t>06.03.2026</w:t>
            </w:r>
          </w:p>
        </w:tc>
        <w:tc>
          <w:tcPr>
            <w:tcW w:w="1782" w:type="dxa"/>
            <w:vAlign w:val="center"/>
          </w:tcPr>
          <w:p w14:paraId="73FCAEED" w14:textId="77777777" w:rsidR="00C67847" w:rsidRPr="00C020AC" w:rsidRDefault="00C67847" w:rsidP="00231526">
            <w:pPr>
              <w:rPr>
                <w:color w:val="000000"/>
                <w:sz w:val="22"/>
                <w:szCs w:val="22"/>
                <w:lang w:eastAsia="et-EE"/>
              </w:rPr>
            </w:pPr>
            <w:r w:rsidRPr="00C020AC">
              <w:rPr>
                <w:color w:val="000000"/>
                <w:sz w:val="22"/>
                <w:szCs w:val="22"/>
                <w:lang w:eastAsia="et-EE"/>
              </w:rPr>
              <w:t>Dubai - Riia</w:t>
            </w:r>
          </w:p>
        </w:tc>
        <w:tc>
          <w:tcPr>
            <w:tcW w:w="1427" w:type="dxa"/>
            <w:shd w:val="clear" w:color="auto" w:fill="auto"/>
            <w:noWrap/>
            <w:vAlign w:val="center"/>
          </w:tcPr>
          <w:p w14:paraId="3FCFAD7D"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- 204 100,00</w:t>
            </w:r>
          </w:p>
        </w:tc>
        <w:tc>
          <w:tcPr>
            <w:tcW w:w="1276" w:type="dxa"/>
            <w:vAlign w:val="center"/>
          </w:tcPr>
          <w:p w14:paraId="1D3F63C3"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60 400,00</w:t>
            </w:r>
          </w:p>
        </w:tc>
        <w:tc>
          <w:tcPr>
            <w:tcW w:w="1417" w:type="dxa"/>
            <w:vAlign w:val="center"/>
          </w:tcPr>
          <w:p w14:paraId="23E2F108" w14:textId="77777777" w:rsidR="00C67847" w:rsidRPr="00C020AC" w:rsidRDefault="00C67847" w:rsidP="00231526">
            <w:pPr>
              <w:jc w:val="center"/>
              <w:rPr>
                <w:color w:val="000000"/>
                <w:sz w:val="22"/>
                <w:szCs w:val="22"/>
                <w:lang w:eastAsia="et-EE"/>
              </w:rPr>
            </w:pPr>
            <w:r w:rsidRPr="00C020AC">
              <w:rPr>
                <w:color w:val="000000"/>
                <w:sz w:val="22"/>
                <w:szCs w:val="22"/>
                <w:lang w:eastAsia="et-EE"/>
              </w:rPr>
              <w:t>-</w:t>
            </w:r>
          </w:p>
        </w:tc>
        <w:tc>
          <w:tcPr>
            <w:tcW w:w="1843" w:type="dxa"/>
            <w:vAlign w:val="center"/>
          </w:tcPr>
          <w:p w14:paraId="5445746E"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- 143 700,00</w:t>
            </w:r>
          </w:p>
        </w:tc>
      </w:tr>
      <w:tr w:rsidR="00C67847" w:rsidRPr="00C020AC" w14:paraId="5739963A" w14:textId="77777777" w:rsidTr="00231526">
        <w:trPr>
          <w:trHeight w:val="300"/>
        </w:trPr>
        <w:tc>
          <w:tcPr>
            <w:tcW w:w="1615" w:type="dxa"/>
            <w:shd w:val="clear" w:color="auto" w:fill="auto"/>
            <w:noWrap/>
            <w:vAlign w:val="center"/>
          </w:tcPr>
          <w:p w14:paraId="4E83494A" w14:textId="77777777" w:rsidR="00C67847" w:rsidRPr="00C020AC" w:rsidRDefault="00C67847" w:rsidP="00231526">
            <w:pPr>
              <w:jc w:val="center"/>
              <w:rPr>
                <w:color w:val="000000"/>
                <w:sz w:val="22"/>
                <w:szCs w:val="22"/>
                <w:lang w:eastAsia="et-EE"/>
              </w:rPr>
            </w:pPr>
            <w:r w:rsidRPr="00C020AC">
              <w:rPr>
                <w:color w:val="000000"/>
                <w:sz w:val="22"/>
                <w:szCs w:val="22"/>
                <w:lang w:eastAsia="et-EE"/>
              </w:rPr>
              <w:t>Buss 07.03.2026</w:t>
            </w:r>
          </w:p>
        </w:tc>
        <w:tc>
          <w:tcPr>
            <w:tcW w:w="1782" w:type="dxa"/>
            <w:vAlign w:val="center"/>
          </w:tcPr>
          <w:p w14:paraId="1D9F6F5B" w14:textId="77777777" w:rsidR="00C67847" w:rsidRPr="00C020AC" w:rsidRDefault="00C67847" w:rsidP="00231526">
            <w:pPr>
              <w:rPr>
                <w:color w:val="000000"/>
                <w:sz w:val="22"/>
                <w:szCs w:val="22"/>
                <w:lang w:eastAsia="et-EE"/>
              </w:rPr>
            </w:pPr>
            <w:r w:rsidRPr="00C020AC">
              <w:rPr>
                <w:color w:val="000000"/>
                <w:sz w:val="22"/>
                <w:szCs w:val="22"/>
                <w:lang w:eastAsia="et-EE"/>
              </w:rPr>
              <w:t xml:space="preserve">Doha - </w:t>
            </w:r>
            <w:proofErr w:type="spellStart"/>
            <w:r w:rsidRPr="00C020AC">
              <w:rPr>
                <w:color w:val="000000"/>
                <w:sz w:val="22"/>
                <w:szCs w:val="22"/>
                <w:lang w:eastAsia="et-EE"/>
              </w:rPr>
              <w:t>Riyad</w:t>
            </w:r>
            <w:proofErr w:type="spellEnd"/>
          </w:p>
        </w:tc>
        <w:tc>
          <w:tcPr>
            <w:tcW w:w="1427" w:type="dxa"/>
            <w:shd w:val="clear" w:color="auto" w:fill="auto"/>
            <w:noWrap/>
            <w:vAlign w:val="center"/>
          </w:tcPr>
          <w:p w14:paraId="087FB6E0"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- 4 881,06</w:t>
            </w:r>
          </w:p>
        </w:tc>
        <w:tc>
          <w:tcPr>
            <w:tcW w:w="1276" w:type="dxa"/>
            <w:vAlign w:val="center"/>
          </w:tcPr>
          <w:p w14:paraId="2697676C" w14:textId="77777777" w:rsidR="00C67847" w:rsidRPr="00C020AC" w:rsidRDefault="00C67847" w:rsidP="00231526">
            <w:pPr>
              <w:jc w:val="center"/>
              <w:rPr>
                <w:color w:val="000000"/>
                <w:sz w:val="22"/>
                <w:szCs w:val="22"/>
                <w:lang w:eastAsia="et-EE"/>
              </w:rPr>
            </w:pPr>
            <w:r w:rsidRPr="00C020AC">
              <w:rPr>
                <w:color w:val="000000"/>
                <w:sz w:val="22"/>
                <w:szCs w:val="22"/>
                <w:lang w:eastAsia="et-EE"/>
              </w:rPr>
              <w:t>-</w:t>
            </w:r>
          </w:p>
        </w:tc>
        <w:tc>
          <w:tcPr>
            <w:tcW w:w="1417" w:type="dxa"/>
            <w:vAlign w:val="center"/>
          </w:tcPr>
          <w:p w14:paraId="19676EFB"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3 660,00</w:t>
            </w:r>
          </w:p>
        </w:tc>
        <w:tc>
          <w:tcPr>
            <w:tcW w:w="1843" w:type="dxa"/>
            <w:vAlign w:val="center"/>
          </w:tcPr>
          <w:p w14:paraId="3019575F"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- 1 220,27</w:t>
            </w:r>
          </w:p>
        </w:tc>
      </w:tr>
      <w:tr w:rsidR="00C67847" w:rsidRPr="00C020AC" w14:paraId="423BF9A0" w14:textId="77777777" w:rsidTr="00231526">
        <w:trPr>
          <w:trHeight w:val="300"/>
        </w:trPr>
        <w:tc>
          <w:tcPr>
            <w:tcW w:w="1615" w:type="dxa"/>
            <w:shd w:val="clear" w:color="auto" w:fill="auto"/>
            <w:noWrap/>
            <w:vAlign w:val="center"/>
          </w:tcPr>
          <w:p w14:paraId="57450A2F" w14:textId="77777777" w:rsidR="00C67847" w:rsidRPr="00C020AC" w:rsidRDefault="00C67847" w:rsidP="00231526">
            <w:pPr>
              <w:jc w:val="center"/>
              <w:rPr>
                <w:color w:val="000000"/>
                <w:sz w:val="22"/>
                <w:szCs w:val="22"/>
                <w:lang w:eastAsia="et-EE"/>
              </w:rPr>
            </w:pPr>
            <w:r w:rsidRPr="00C020AC">
              <w:rPr>
                <w:color w:val="000000"/>
                <w:sz w:val="22"/>
                <w:szCs w:val="22"/>
                <w:lang w:eastAsia="et-EE"/>
              </w:rPr>
              <w:t>07.03.2026</w:t>
            </w:r>
          </w:p>
        </w:tc>
        <w:tc>
          <w:tcPr>
            <w:tcW w:w="1782" w:type="dxa"/>
            <w:vAlign w:val="center"/>
          </w:tcPr>
          <w:p w14:paraId="0EA4821F" w14:textId="77777777" w:rsidR="00C67847" w:rsidRPr="00C020AC" w:rsidRDefault="00C67847" w:rsidP="00231526">
            <w:pPr>
              <w:rPr>
                <w:color w:val="000000"/>
                <w:sz w:val="22"/>
                <w:szCs w:val="22"/>
                <w:lang w:eastAsia="et-EE"/>
              </w:rPr>
            </w:pPr>
            <w:r w:rsidRPr="00C020AC">
              <w:rPr>
                <w:color w:val="000000"/>
                <w:sz w:val="22"/>
                <w:szCs w:val="22"/>
                <w:lang w:eastAsia="et-EE"/>
              </w:rPr>
              <w:t>Dubai - Tallinn</w:t>
            </w:r>
          </w:p>
        </w:tc>
        <w:tc>
          <w:tcPr>
            <w:tcW w:w="1427" w:type="dxa"/>
            <w:shd w:val="clear" w:color="auto" w:fill="auto"/>
            <w:noWrap/>
            <w:vAlign w:val="center"/>
          </w:tcPr>
          <w:p w14:paraId="582098F5"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- 174 380,00</w:t>
            </w:r>
          </w:p>
        </w:tc>
        <w:tc>
          <w:tcPr>
            <w:tcW w:w="1276" w:type="dxa"/>
            <w:vAlign w:val="center"/>
          </w:tcPr>
          <w:p w14:paraId="7598C398"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30 400,00</w:t>
            </w:r>
          </w:p>
        </w:tc>
        <w:tc>
          <w:tcPr>
            <w:tcW w:w="1417" w:type="dxa"/>
            <w:vAlign w:val="center"/>
          </w:tcPr>
          <w:p w14:paraId="0094A133" w14:textId="77777777" w:rsidR="00C67847" w:rsidRPr="00C020AC" w:rsidRDefault="00C67847" w:rsidP="00231526">
            <w:pPr>
              <w:jc w:val="center"/>
              <w:rPr>
                <w:color w:val="000000"/>
                <w:sz w:val="22"/>
                <w:szCs w:val="22"/>
                <w:lang w:eastAsia="et-EE"/>
              </w:rPr>
            </w:pPr>
            <w:r w:rsidRPr="00C020AC">
              <w:rPr>
                <w:color w:val="000000"/>
                <w:sz w:val="22"/>
                <w:szCs w:val="22"/>
                <w:lang w:eastAsia="et-EE"/>
              </w:rPr>
              <w:t>100 385,00</w:t>
            </w:r>
          </w:p>
        </w:tc>
        <w:tc>
          <w:tcPr>
            <w:tcW w:w="1843" w:type="dxa"/>
            <w:vAlign w:val="center"/>
          </w:tcPr>
          <w:p w14:paraId="60F8C21F"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- 43 595,00</w:t>
            </w:r>
          </w:p>
        </w:tc>
      </w:tr>
      <w:tr w:rsidR="00C67847" w:rsidRPr="00C020AC" w14:paraId="1E8F34A2" w14:textId="77777777" w:rsidTr="00231526">
        <w:trPr>
          <w:trHeight w:val="300"/>
        </w:trPr>
        <w:tc>
          <w:tcPr>
            <w:tcW w:w="1615" w:type="dxa"/>
            <w:shd w:val="clear" w:color="auto" w:fill="auto"/>
            <w:noWrap/>
            <w:vAlign w:val="center"/>
          </w:tcPr>
          <w:p w14:paraId="11E456AE" w14:textId="77777777" w:rsidR="00C67847" w:rsidRPr="00C020AC" w:rsidRDefault="00C67847" w:rsidP="00231526">
            <w:pPr>
              <w:jc w:val="center"/>
              <w:rPr>
                <w:color w:val="000000"/>
                <w:sz w:val="22"/>
                <w:szCs w:val="22"/>
                <w:lang w:eastAsia="et-EE"/>
              </w:rPr>
            </w:pPr>
            <w:r w:rsidRPr="00C020AC">
              <w:rPr>
                <w:color w:val="000000"/>
                <w:sz w:val="22"/>
                <w:szCs w:val="22"/>
                <w:lang w:eastAsia="et-EE"/>
              </w:rPr>
              <w:t>07.03.2026</w:t>
            </w:r>
          </w:p>
        </w:tc>
        <w:tc>
          <w:tcPr>
            <w:tcW w:w="1782" w:type="dxa"/>
            <w:vAlign w:val="center"/>
          </w:tcPr>
          <w:p w14:paraId="7FDE05BB" w14:textId="77777777" w:rsidR="00C67847" w:rsidRPr="00C020AC" w:rsidRDefault="00C67847" w:rsidP="00231526">
            <w:pPr>
              <w:rPr>
                <w:color w:val="000000"/>
                <w:sz w:val="22"/>
                <w:szCs w:val="22"/>
                <w:lang w:eastAsia="et-EE"/>
              </w:rPr>
            </w:pPr>
            <w:r w:rsidRPr="00C020AC">
              <w:rPr>
                <w:color w:val="000000"/>
                <w:sz w:val="22"/>
                <w:szCs w:val="22"/>
                <w:lang w:eastAsia="et-EE"/>
              </w:rPr>
              <w:t>Dubai - Riia</w:t>
            </w:r>
          </w:p>
        </w:tc>
        <w:tc>
          <w:tcPr>
            <w:tcW w:w="1427" w:type="dxa"/>
            <w:shd w:val="clear" w:color="auto" w:fill="auto"/>
            <w:noWrap/>
            <w:vAlign w:val="center"/>
          </w:tcPr>
          <w:p w14:paraId="038EE3CE"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- 204 100,00</w:t>
            </w:r>
          </w:p>
        </w:tc>
        <w:tc>
          <w:tcPr>
            <w:tcW w:w="1276" w:type="dxa"/>
            <w:vAlign w:val="center"/>
          </w:tcPr>
          <w:p w14:paraId="1BC5F588"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51 800,00</w:t>
            </w:r>
          </w:p>
        </w:tc>
        <w:tc>
          <w:tcPr>
            <w:tcW w:w="1417" w:type="dxa"/>
            <w:vAlign w:val="center"/>
          </w:tcPr>
          <w:p w14:paraId="146935E1" w14:textId="77777777" w:rsidR="00C67847" w:rsidRPr="00C020AC" w:rsidRDefault="00C67847" w:rsidP="00231526">
            <w:pPr>
              <w:jc w:val="center"/>
              <w:rPr>
                <w:color w:val="000000"/>
                <w:sz w:val="22"/>
                <w:szCs w:val="22"/>
                <w:lang w:eastAsia="et-EE"/>
              </w:rPr>
            </w:pPr>
            <w:r w:rsidRPr="00C020AC">
              <w:rPr>
                <w:color w:val="000000"/>
                <w:sz w:val="22"/>
                <w:szCs w:val="22"/>
                <w:lang w:eastAsia="et-EE"/>
              </w:rPr>
              <w:t>101 275,00</w:t>
            </w:r>
          </w:p>
        </w:tc>
        <w:tc>
          <w:tcPr>
            <w:tcW w:w="1843" w:type="dxa"/>
            <w:vAlign w:val="center"/>
          </w:tcPr>
          <w:p w14:paraId="2344B98E"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- 51 025,00</w:t>
            </w:r>
          </w:p>
        </w:tc>
      </w:tr>
      <w:tr w:rsidR="00C67847" w:rsidRPr="00C020AC" w14:paraId="0514ABDD" w14:textId="77777777" w:rsidTr="00231526">
        <w:trPr>
          <w:trHeight w:val="300"/>
        </w:trPr>
        <w:tc>
          <w:tcPr>
            <w:tcW w:w="1615" w:type="dxa"/>
            <w:shd w:val="clear" w:color="auto" w:fill="auto"/>
            <w:noWrap/>
            <w:vAlign w:val="center"/>
          </w:tcPr>
          <w:p w14:paraId="76E2FF98" w14:textId="77777777" w:rsidR="00C67847" w:rsidRPr="00C020AC" w:rsidRDefault="00C67847" w:rsidP="00231526">
            <w:pPr>
              <w:jc w:val="center"/>
              <w:rPr>
                <w:color w:val="000000"/>
                <w:sz w:val="22"/>
                <w:szCs w:val="22"/>
                <w:lang w:eastAsia="et-EE"/>
              </w:rPr>
            </w:pPr>
            <w:r w:rsidRPr="00C020AC">
              <w:rPr>
                <w:color w:val="000000"/>
                <w:sz w:val="22"/>
                <w:szCs w:val="22"/>
                <w:lang w:eastAsia="et-EE"/>
              </w:rPr>
              <w:t>08.03.2026</w:t>
            </w:r>
          </w:p>
        </w:tc>
        <w:tc>
          <w:tcPr>
            <w:tcW w:w="1782" w:type="dxa"/>
            <w:vAlign w:val="center"/>
          </w:tcPr>
          <w:p w14:paraId="7D7454C3" w14:textId="77777777" w:rsidR="00C67847" w:rsidRPr="00C020AC" w:rsidRDefault="00C67847" w:rsidP="00231526">
            <w:pPr>
              <w:rPr>
                <w:color w:val="000000"/>
                <w:sz w:val="22"/>
                <w:szCs w:val="22"/>
                <w:lang w:eastAsia="et-EE"/>
              </w:rPr>
            </w:pPr>
            <w:r w:rsidRPr="00C020AC">
              <w:rPr>
                <w:color w:val="000000"/>
                <w:sz w:val="22"/>
                <w:szCs w:val="22"/>
                <w:lang w:eastAsia="et-EE"/>
              </w:rPr>
              <w:t>Dubai - Tallinn</w:t>
            </w:r>
          </w:p>
        </w:tc>
        <w:tc>
          <w:tcPr>
            <w:tcW w:w="1427" w:type="dxa"/>
            <w:shd w:val="clear" w:color="auto" w:fill="auto"/>
            <w:noWrap/>
            <w:vAlign w:val="center"/>
          </w:tcPr>
          <w:p w14:paraId="72E4C86E"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- 255 000,00</w:t>
            </w:r>
          </w:p>
        </w:tc>
        <w:tc>
          <w:tcPr>
            <w:tcW w:w="1276" w:type="dxa"/>
            <w:vAlign w:val="center"/>
          </w:tcPr>
          <w:p w14:paraId="4DEA0D16"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66 150,00</w:t>
            </w:r>
          </w:p>
        </w:tc>
        <w:tc>
          <w:tcPr>
            <w:tcW w:w="1417" w:type="dxa"/>
            <w:vAlign w:val="center"/>
          </w:tcPr>
          <w:p w14:paraId="2704D8D7" w14:textId="77777777" w:rsidR="00C67847" w:rsidRPr="00C020AC" w:rsidRDefault="00C67847" w:rsidP="00231526">
            <w:pPr>
              <w:jc w:val="center"/>
              <w:rPr>
                <w:color w:val="000000"/>
                <w:sz w:val="22"/>
                <w:szCs w:val="22"/>
                <w:lang w:eastAsia="et-EE"/>
              </w:rPr>
            </w:pPr>
            <w:r w:rsidRPr="00C020AC">
              <w:rPr>
                <w:color w:val="000000"/>
                <w:sz w:val="22"/>
                <w:szCs w:val="22"/>
                <w:lang w:eastAsia="et-EE"/>
              </w:rPr>
              <w:t>-</w:t>
            </w:r>
          </w:p>
        </w:tc>
        <w:tc>
          <w:tcPr>
            <w:tcW w:w="1843" w:type="dxa"/>
            <w:vAlign w:val="center"/>
          </w:tcPr>
          <w:p w14:paraId="7FFF6D65"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- 188 850,00</w:t>
            </w:r>
          </w:p>
        </w:tc>
      </w:tr>
      <w:tr w:rsidR="00C67847" w:rsidRPr="00C020AC" w14:paraId="061C54AD" w14:textId="77777777" w:rsidTr="00231526">
        <w:trPr>
          <w:trHeight w:val="300"/>
        </w:trPr>
        <w:tc>
          <w:tcPr>
            <w:tcW w:w="1615" w:type="dxa"/>
            <w:shd w:val="clear" w:color="auto" w:fill="auto"/>
            <w:noWrap/>
            <w:vAlign w:val="center"/>
          </w:tcPr>
          <w:p w14:paraId="0511ED9E" w14:textId="77777777" w:rsidR="00C67847" w:rsidRPr="00C020AC" w:rsidRDefault="00C67847" w:rsidP="00231526">
            <w:pPr>
              <w:jc w:val="center"/>
              <w:rPr>
                <w:color w:val="000000"/>
                <w:sz w:val="22"/>
                <w:szCs w:val="22"/>
                <w:lang w:eastAsia="et-EE"/>
              </w:rPr>
            </w:pPr>
            <w:r w:rsidRPr="00C020AC">
              <w:rPr>
                <w:color w:val="000000"/>
                <w:sz w:val="22"/>
                <w:szCs w:val="22"/>
                <w:lang w:eastAsia="et-EE"/>
              </w:rPr>
              <w:t>08.03.2026</w:t>
            </w:r>
          </w:p>
        </w:tc>
        <w:tc>
          <w:tcPr>
            <w:tcW w:w="1782" w:type="dxa"/>
            <w:vAlign w:val="center"/>
          </w:tcPr>
          <w:p w14:paraId="1BD57FF2" w14:textId="77777777" w:rsidR="00C67847" w:rsidRPr="00C020AC" w:rsidRDefault="00C67847" w:rsidP="00231526">
            <w:pPr>
              <w:rPr>
                <w:color w:val="000000"/>
                <w:sz w:val="22"/>
                <w:szCs w:val="22"/>
                <w:lang w:eastAsia="et-EE"/>
              </w:rPr>
            </w:pPr>
            <w:r w:rsidRPr="00C020AC">
              <w:rPr>
                <w:color w:val="000000"/>
                <w:sz w:val="22"/>
                <w:szCs w:val="22"/>
                <w:lang w:eastAsia="et-EE"/>
              </w:rPr>
              <w:t>Dubai - Riia</w:t>
            </w:r>
          </w:p>
        </w:tc>
        <w:tc>
          <w:tcPr>
            <w:tcW w:w="1427" w:type="dxa"/>
            <w:shd w:val="clear" w:color="auto" w:fill="auto"/>
            <w:noWrap/>
            <w:vAlign w:val="center"/>
            <w:hideMark/>
          </w:tcPr>
          <w:p w14:paraId="689A2D92"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- 204 100,00</w:t>
            </w:r>
          </w:p>
        </w:tc>
        <w:tc>
          <w:tcPr>
            <w:tcW w:w="1276" w:type="dxa"/>
            <w:vAlign w:val="center"/>
          </w:tcPr>
          <w:p w14:paraId="7DD31EE4"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59 600,00</w:t>
            </w:r>
          </w:p>
        </w:tc>
        <w:tc>
          <w:tcPr>
            <w:tcW w:w="1417" w:type="dxa"/>
            <w:vAlign w:val="center"/>
          </w:tcPr>
          <w:p w14:paraId="2754FD67"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93 475,00</w:t>
            </w:r>
          </w:p>
        </w:tc>
        <w:tc>
          <w:tcPr>
            <w:tcW w:w="1843" w:type="dxa"/>
            <w:vAlign w:val="center"/>
          </w:tcPr>
          <w:p w14:paraId="028A138A" w14:textId="77777777" w:rsidR="00C67847" w:rsidRPr="00C020AC" w:rsidRDefault="00C67847" w:rsidP="00231526">
            <w:pPr>
              <w:jc w:val="center"/>
              <w:rPr>
                <w:color w:val="000000"/>
                <w:sz w:val="22"/>
                <w:szCs w:val="22"/>
                <w:lang w:eastAsia="et-EE"/>
              </w:rPr>
            </w:pPr>
            <w:r w:rsidRPr="00C020AC">
              <w:rPr>
                <w:color w:val="000000"/>
                <w:sz w:val="22"/>
                <w:szCs w:val="22"/>
                <w:lang w:eastAsia="et-EE"/>
              </w:rPr>
              <w:t xml:space="preserve">   - 51 025,00</w:t>
            </w:r>
          </w:p>
        </w:tc>
      </w:tr>
      <w:tr w:rsidR="00C67847" w:rsidRPr="00C020AC" w14:paraId="0D8504C4" w14:textId="77777777" w:rsidTr="00231526">
        <w:trPr>
          <w:trHeight w:val="300"/>
        </w:trPr>
        <w:tc>
          <w:tcPr>
            <w:tcW w:w="1615" w:type="dxa"/>
            <w:shd w:val="clear" w:color="auto" w:fill="auto"/>
            <w:noWrap/>
            <w:vAlign w:val="center"/>
            <w:hideMark/>
          </w:tcPr>
          <w:p w14:paraId="07E92587" w14:textId="77777777" w:rsidR="00C67847" w:rsidRPr="00C020AC" w:rsidRDefault="00C67847" w:rsidP="00231526">
            <w:pPr>
              <w:jc w:val="center"/>
              <w:rPr>
                <w:b/>
                <w:bCs/>
                <w:color w:val="000000"/>
                <w:sz w:val="22"/>
                <w:szCs w:val="22"/>
                <w:lang w:eastAsia="et-EE"/>
              </w:rPr>
            </w:pPr>
            <w:r w:rsidRPr="00C020AC">
              <w:rPr>
                <w:b/>
                <w:bCs/>
                <w:color w:val="000000"/>
                <w:sz w:val="22"/>
                <w:szCs w:val="22"/>
                <w:lang w:eastAsia="et-EE"/>
              </w:rPr>
              <w:t>KOKKU</w:t>
            </w:r>
          </w:p>
        </w:tc>
        <w:tc>
          <w:tcPr>
            <w:tcW w:w="1782" w:type="dxa"/>
            <w:vAlign w:val="center"/>
          </w:tcPr>
          <w:p w14:paraId="16516AC0" w14:textId="77777777" w:rsidR="00C67847" w:rsidRPr="00C020AC" w:rsidRDefault="00C67847" w:rsidP="00231526">
            <w:pPr>
              <w:jc w:val="right"/>
              <w:rPr>
                <w:b/>
                <w:bCs/>
                <w:color w:val="000000"/>
                <w:sz w:val="22"/>
                <w:szCs w:val="22"/>
                <w:lang w:eastAsia="et-EE"/>
              </w:rPr>
            </w:pPr>
          </w:p>
        </w:tc>
        <w:tc>
          <w:tcPr>
            <w:tcW w:w="1427" w:type="dxa"/>
            <w:shd w:val="clear" w:color="auto" w:fill="auto"/>
            <w:noWrap/>
            <w:vAlign w:val="center"/>
            <w:hideMark/>
          </w:tcPr>
          <w:p w14:paraId="4C79139B" w14:textId="77777777" w:rsidR="00C67847" w:rsidRPr="00C020AC" w:rsidRDefault="00C67847" w:rsidP="00231526">
            <w:pPr>
              <w:jc w:val="center"/>
              <w:rPr>
                <w:b/>
                <w:bCs/>
                <w:color w:val="000000"/>
                <w:sz w:val="22"/>
                <w:szCs w:val="22"/>
                <w:lang w:eastAsia="et-EE"/>
              </w:rPr>
            </w:pPr>
            <w:r w:rsidRPr="00C020AC">
              <w:rPr>
                <w:b/>
                <w:bCs/>
                <w:color w:val="000000"/>
                <w:sz w:val="22"/>
                <w:szCs w:val="22"/>
                <w:lang w:eastAsia="et-EE"/>
              </w:rPr>
              <w:t>- 1 475 941,06</w:t>
            </w:r>
          </w:p>
        </w:tc>
        <w:tc>
          <w:tcPr>
            <w:tcW w:w="1276" w:type="dxa"/>
            <w:vAlign w:val="center"/>
          </w:tcPr>
          <w:p w14:paraId="5BF1FBAC" w14:textId="77777777" w:rsidR="00C67847" w:rsidRPr="00C020AC" w:rsidRDefault="00C67847" w:rsidP="00231526">
            <w:pPr>
              <w:jc w:val="center"/>
              <w:rPr>
                <w:b/>
                <w:bCs/>
                <w:color w:val="000000"/>
                <w:sz w:val="22"/>
                <w:szCs w:val="22"/>
                <w:lang w:eastAsia="et-EE"/>
              </w:rPr>
            </w:pPr>
            <w:r w:rsidRPr="00C020AC">
              <w:rPr>
                <w:b/>
                <w:bCs/>
                <w:color w:val="000000"/>
                <w:sz w:val="22"/>
                <w:szCs w:val="22"/>
                <w:lang w:eastAsia="et-EE"/>
              </w:rPr>
              <w:t>381 720,00</w:t>
            </w:r>
          </w:p>
        </w:tc>
        <w:tc>
          <w:tcPr>
            <w:tcW w:w="1417" w:type="dxa"/>
            <w:vAlign w:val="center"/>
          </w:tcPr>
          <w:p w14:paraId="6D50D192" w14:textId="77777777" w:rsidR="00C67847" w:rsidRPr="00C020AC" w:rsidRDefault="00C67847" w:rsidP="00231526">
            <w:pPr>
              <w:jc w:val="center"/>
              <w:rPr>
                <w:b/>
                <w:bCs/>
                <w:color w:val="000000"/>
                <w:sz w:val="22"/>
                <w:szCs w:val="22"/>
                <w:lang w:eastAsia="et-EE"/>
              </w:rPr>
            </w:pPr>
            <w:r w:rsidRPr="00C020AC">
              <w:rPr>
                <w:b/>
                <w:bCs/>
                <w:color w:val="000000"/>
                <w:sz w:val="22"/>
                <w:szCs w:val="22"/>
                <w:lang w:eastAsia="et-EE"/>
              </w:rPr>
              <w:t>334 185,80</w:t>
            </w:r>
          </w:p>
        </w:tc>
        <w:tc>
          <w:tcPr>
            <w:tcW w:w="1843" w:type="dxa"/>
            <w:vAlign w:val="center"/>
          </w:tcPr>
          <w:p w14:paraId="5084B0F2" w14:textId="77777777" w:rsidR="00C67847" w:rsidRPr="00C020AC" w:rsidRDefault="00C67847" w:rsidP="00231526">
            <w:pPr>
              <w:jc w:val="center"/>
              <w:rPr>
                <w:b/>
                <w:bCs/>
                <w:color w:val="000000"/>
                <w:sz w:val="22"/>
                <w:szCs w:val="22"/>
                <w:lang w:eastAsia="et-EE"/>
              </w:rPr>
            </w:pPr>
            <w:bookmarkStart w:id="1" w:name="_Hlk227603851"/>
            <w:r w:rsidRPr="00C020AC">
              <w:rPr>
                <w:b/>
                <w:bCs/>
                <w:color w:val="000000"/>
                <w:sz w:val="22"/>
                <w:szCs w:val="22"/>
                <w:lang w:eastAsia="et-EE"/>
              </w:rPr>
              <w:t xml:space="preserve"> - 760 035,27</w:t>
            </w:r>
            <w:bookmarkEnd w:id="1"/>
          </w:p>
        </w:tc>
      </w:tr>
      <w:bookmarkEnd w:id="0"/>
    </w:tbl>
    <w:p w14:paraId="4314864E" w14:textId="77777777" w:rsidR="00C67847" w:rsidRPr="00C020AC" w:rsidRDefault="00C67847" w:rsidP="00C67847">
      <w:pPr>
        <w:rPr>
          <w:sz w:val="22"/>
          <w:szCs w:val="22"/>
        </w:rPr>
      </w:pPr>
    </w:p>
    <w:p w14:paraId="2918AD74" w14:textId="77777777" w:rsidR="00C67847" w:rsidRPr="00C020AC" w:rsidRDefault="00C67847" w:rsidP="00A266D2">
      <w:pPr>
        <w:keepNext/>
        <w:jc w:val="both"/>
        <w:outlineLvl w:val="0"/>
        <w:rPr>
          <w:sz w:val="22"/>
          <w:szCs w:val="22"/>
        </w:rPr>
      </w:pPr>
    </w:p>
    <w:p w14:paraId="509B4494" w14:textId="77777777" w:rsidR="002D723A" w:rsidRPr="00C020AC" w:rsidRDefault="002D723A" w:rsidP="00EB6D57">
      <w:pPr>
        <w:keepNext/>
        <w:jc w:val="both"/>
        <w:outlineLvl w:val="0"/>
        <w:rPr>
          <w:bCs/>
          <w:kern w:val="36"/>
          <w:sz w:val="22"/>
          <w:szCs w:val="22"/>
        </w:rPr>
      </w:pPr>
    </w:p>
    <w:sectPr w:rsidR="002D723A" w:rsidRPr="00C020AC" w:rsidSect="00B841A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95C74" w14:textId="77777777" w:rsidR="00493228" w:rsidRDefault="00493228" w:rsidP="006B6C84">
      <w:r>
        <w:separator/>
      </w:r>
    </w:p>
  </w:endnote>
  <w:endnote w:type="continuationSeparator" w:id="0">
    <w:p w14:paraId="3FD34F9A" w14:textId="77777777" w:rsidR="00493228" w:rsidRDefault="00493228" w:rsidP="006B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8A934" w14:textId="77777777" w:rsidR="00493228" w:rsidRDefault="00493228" w:rsidP="006B6C84">
      <w:r>
        <w:separator/>
      </w:r>
    </w:p>
  </w:footnote>
  <w:footnote w:type="continuationSeparator" w:id="0">
    <w:p w14:paraId="61DDD653" w14:textId="77777777" w:rsidR="00493228" w:rsidRDefault="00493228" w:rsidP="006B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7F7C" w14:textId="77777777" w:rsidR="006B6C84" w:rsidRPr="00CD4203" w:rsidRDefault="006B6C84" w:rsidP="006B6C84">
    <w:pPr>
      <w:jc w:val="right"/>
      <w:rPr>
        <w:sz w:val="20"/>
        <w:szCs w:val="20"/>
      </w:rPr>
    </w:pPr>
    <w:r w:rsidRPr="00CD4203">
      <w:rPr>
        <w:sz w:val="20"/>
        <w:szCs w:val="20"/>
      </w:rPr>
      <w:t>ASUTUSESISESEKS KASUTAMISEKS</w:t>
    </w:r>
  </w:p>
  <w:p w14:paraId="19E4884C" w14:textId="404DB834" w:rsidR="006B6C84" w:rsidRPr="00CD4203" w:rsidRDefault="008F50B8" w:rsidP="006B6C84">
    <w:pPr>
      <w:jc w:val="right"/>
      <w:rPr>
        <w:sz w:val="20"/>
        <w:szCs w:val="20"/>
      </w:rPr>
    </w:pPr>
    <w:r>
      <w:rPr>
        <w:sz w:val="20"/>
        <w:szCs w:val="20"/>
      </w:rPr>
      <w:t xml:space="preserve">Märge tehtud </w:t>
    </w:r>
    <w:r w:rsidR="0040631C">
      <w:rPr>
        <w:sz w:val="20"/>
        <w:szCs w:val="20"/>
      </w:rPr>
      <w:t>05</w:t>
    </w:r>
    <w:r w:rsidR="006B6C84" w:rsidRPr="00CD4203">
      <w:rPr>
        <w:sz w:val="20"/>
        <w:szCs w:val="20"/>
      </w:rPr>
      <w:t>.</w:t>
    </w:r>
    <w:r w:rsidR="0040631C" w:rsidRPr="00CD4203">
      <w:rPr>
        <w:sz w:val="20"/>
        <w:szCs w:val="20"/>
      </w:rPr>
      <w:t>0</w:t>
    </w:r>
    <w:r w:rsidR="0040631C">
      <w:rPr>
        <w:sz w:val="20"/>
        <w:szCs w:val="20"/>
      </w:rPr>
      <w:t>6</w:t>
    </w:r>
    <w:r w:rsidR="006B6C84" w:rsidRPr="00CD4203">
      <w:rPr>
        <w:sz w:val="20"/>
        <w:szCs w:val="20"/>
      </w:rPr>
      <w:t>.</w:t>
    </w:r>
    <w:r w:rsidR="0040631C" w:rsidRPr="00CD4203">
      <w:rPr>
        <w:sz w:val="20"/>
        <w:szCs w:val="20"/>
      </w:rPr>
      <w:t>20</w:t>
    </w:r>
    <w:r w:rsidR="0040631C">
      <w:rPr>
        <w:sz w:val="20"/>
        <w:szCs w:val="20"/>
      </w:rPr>
      <w:t>26</w:t>
    </w:r>
    <w:r w:rsidR="0040631C" w:rsidRPr="00CD4203">
      <w:rPr>
        <w:sz w:val="20"/>
        <w:szCs w:val="20"/>
      </w:rPr>
      <w:t xml:space="preserve"> </w:t>
    </w:r>
    <w:r w:rsidR="006B6C84" w:rsidRPr="00CD4203">
      <w:rPr>
        <w:sz w:val="20"/>
        <w:szCs w:val="20"/>
      </w:rPr>
      <w:t>Välisministeeriumis.</w:t>
    </w:r>
  </w:p>
  <w:p w14:paraId="6F4D93B0" w14:textId="77777777" w:rsidR="006B6C84" w:rsidRPr="00CD4203" w:rsidRDefault="006B6C84" w:rsidP="006B6C84">
    <w:pPr>
      <w:jc w:val="right"/>
      <w:rPr>
        <w:sz w:val="20"/>
        <w:szCs w:val="20"/>
      </w:rPr>
    </w:pPr>
    <w:r w:rsidRPr="00CD4203">
      <w:rPr>
        <w:sz w:val="20"/>
        <w:szCs w:val="20"/>
      </w:rPr>
      <w:t>Juurdepääsupiirang kehtib kuni korralduse vastuvõtmiseni.</w:t>
    </w:r>
  </w:p>
  <w:p w14:paraId="0E27BD1A" w14:textId="6E0881E7" w:rsidR="006B6C84" w:rsidRPr="00CD4203" w:rsidRDefault="00CD4203" w:rsidP="006B6C84">
    <w:pPr>
      <w:jc w:val="right"/>
      <w:rPr>
        <w:sz w:val="20"/>
        <w:szCs w:val="20"/>
      </w:rPr>
    </w:pPr>
    <w:r w:rsidRPr="00CD4203">
      <w:rPr>
        <w:sz w:val="20"/>
        <w:szCs w:val="20"/>
      </w:rPr>
      <w:t xml:space="preserve">Alus: </w:t>
    </w:r>
    <w:proofErr w:type="spellStart"/>
    <w:r w:rsidRPr="00CD4203">
      <w:rPr>
        <w:sz w:val="20"/>
        <w:szCs w:val="20"/>
      </w:rPr>
      <w:t>AvTS</w:t>
    </w:r>
    <w:proofErr w:type="spellEnd"/>
    <w:r w:rsidRPr="00CD4203">
      <w:rPr>
        <w:sz w:val="20"/>
        <w:szCs w:val="20"/>
      </w:rPr>
      <w:t xml:space="preserve"> § 35 lg </w:t>
    </w:r>
    <w:r w:rsidR="000033E0">
      <w:rPr>
        <w:sz w:val="20"/>
        <w:szCs w:val="20"/>
      </w:rPr>
      <w:t>1</w:t>
    </w:r>
    <w:r w:rsidRPr="00CD4203">
      <w:rPr>
        <w:sz w:val="20"/>
        <w:szCs w:val="20"/>
      </w:rPr>
      <w:t xml:space="preserve"> p </w:t>
    </w:r>
    <w:r w:rsidR="000033E0">
      <w:rPr>
        <w:sz w:val="20"/>
        <w:szCs w:val="20"/>
      </w:rPr>
      <w:t>3</w:t>
    </w:r>
  </w:p>
  <w:p w14:paraId="258E5328" w14:textId="77777777" w:rsidR="006B6C84" w:rsidRPr="00CD4203" w:rsidRDefault="006B6C8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5F2"/>
    <w:multiLevelType w:val="hybridMultilevel"/>
    <w:tmpl w:val="ED8A76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752817"/>
    <w:multiLevelType w:val="hybridMultilevel"/>
    <w:tmpl w:val="DA76A1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DA46F7"/>
    <w:multiLevelType w:val="multilevel"/>
    <w:tmpl w:val="E47E540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46855DC"/>
    <w:multiLevelType w:val="hybridMultilevel"/>
    <w:tmpl w:val="ED8A76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5001C55"/>
    <w:multiLevelType w:val="hybridMultilevel"/>
    <w:tmpl w:val="ED8A76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B2C36D7"/>
    <w:multiLevelType w:val="hybridMultilevel"/>
    <w:tmpl w:val="2FDC51B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02C193D"/>
    <w:multiLevelType w:val="multilevel"/>
    <w:tmpl w:val="F7725A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B20120B"/>
    <w:multiLevelType w:val="hybridMultilevel"/>
    <w:tmpl w:val="34A65348"/>
    <w:lvl w:ilvl="0" w:tplc="79BC9E9C">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7"/>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19"/>
    <w:rsid w:val="000033E0"/>
    <w:rsid w:val="0001670A"/>
    <w:rsid w:val="000171A1"/>
    <w:rsid w:val="000175C4"/>
    <w:rsid w:val="00021C7E"/>
    <w:rsid w:val="00026605"/>
    <w:rsid w:val="00033A53"/>
    <w:rsid w:val="00041B7D"/>
    <w:rsid w:val="000448BA"/>
    <w:rsid w:val="000541BA"/>
    <w:rsid w:val="000545CF"/>
    <w:rsid w:val="00060C17"/>
    <w:rsid w:val="0006373A"/>
    <w:rsid w:val="00070658"/>
    <w:rsid w:val="00094897"/>
    <w:rsid w:val="000B2F8F"/>
    <w:rsid w:val="000B38A6"/>
    <w:rsid w:val="000B76A3"/>
    <w:rsid w:val="000C0380"/>
    <w:rsid w:val="000C726C"/>
    <w:rsid w:val="000C76EC"/>
    <w:rsid w:val="000D5745"/>
    <w:rsid w:val="000E34CA"/>
    <w:rsid w:val="000E6D47"/>
    <w:rsid w:val="000E7830"/>
    <w:rsid w:val="000E7947"/>
    <w:rsid w:val="00105130"/>
    <w:rsid w:val="00111B1C"/>
    <w:rsid w:val="0012374A"/>
    <w:rsid w:val="00126537"/>
    <w:rsid w:val="0015546B"/>
    <w:rsid w:val="001771A7"/>
    <w:rsid w:val="00191C5F"/>
    <w:rsid w:val="001922FD"/>
    <w:rsid w:val="00196AAF"/>
    <w:rsid w:val="00196EEF"/>
    <w:rsid w:val="001A0522"/>
    <w:rsid w:val="001A4367"/>
    <w:rsid w:val="001A4EC8"/>
    <w:rsid w:val="001A7132"/>
    <w:rsid w:val="001B0645"/>
    <w:rsid w:val="001B6357"/>
    <w:rsid w:val="001B7217"/>
    <w:rsid w:val="001C7C0D"/>
    <w:rsid w:val="001D3591"/>
    <w:rsid w:val="001D39BF"/>
    <w:rsid w:val="001D5DA2"/>
    <w:rsid w:val="001D7393"/>
    <w:rsid w:val="001E7191"/>
    <w:rsid w:val="00205C74"/>
    <w:rsid w:val="002104AC"/>
    <w:rsid w:val="0021272F"/>
    <w:rsid w:val="0021293F"/>
    <w:rsid w:val="00213B8F"/>
    <w:rsid w:val="00230ADD"/>
    <w:rsid w:val="00233943"/>
    <w:rsid w:val="00243200"/>
    <w:rsid w:val="00252935"/>
    <w:rsid w:val="00256F39"/>
    <w:rsid w:val="00267C51"/>
    <w:rsid w:val="00277DC1"/>
    <w:rsid w:val="0029065F"/>
    <w:rsid w:val="00291652"/>
    <w:rsid w:val="00291B16"/>
    <w:rsid w:val="0029428B"/>
    <w:rsid w:val="00294AF9"/>
    <w:rsid w:val="00295A5A"/>
    <w:rsid w:val="00296AEF"/>
    <w:rsid w:val="002A20D5"/>
    <w:rsid w:val="002A32A2"/>
    <w:rsid w:val="002A6225"/>
    <w:rsid w:val="002C588F"/>
    <w:rsid w:val="002D51F7"/>
    <w:rsid w:val="002D569D"/>
    <w:rsid w:val="002D571A"/>
    <w:rsid w:val="002D723A"/>
    <w:rsid w:val="002E27A5"/>
    <w:rsid w:val="002F2ACD"/>
    <w:rsid w:val="002F3ED6"/>
    <w:rsid w:val="002F7CC1"/>
    <w:rsid w:val="0030739A"/>
    <w:rsid w:val="003122C0"/>
    <w:rsid w:val="00317417"/>
    <w:rsid w:val="003276C4"/>
    <w:rsid w:val="003369A0"/>
    <w:rsid w:val="00343E58"/>
    <w:rsid w:val="00347CE0"/>
    <w:rsid w:val="00352998"/>
    <w:rsid w:val="00356836"/>
    <w:rsid w:val="00361949"/>
    <w:rsid w:val="003662F8"/>
    <w:rsid w:val="00372D0E"/>
    <w:rsid w:val="0038270C"/>
    <w:rsid w:val="00386561"/>
    <w:rsid w:val="003A2505"/>
    <w:rsid w:val="003A27A5"/>
    <w:rsid w:val="003A5F7F"/>
    <w:rsid w:val="003B1FAD"/>
    <w:rsid w:val="003B35D0"/>
    <w:rsid w:val="003B3EE7"/>
    <w:rsid w:val="003D2DF8"/>
    <w:rsid w:val="003D3B61"/>
    <w:rsid w:val="003E6AB1"/>
    <w:rsid w:val="00403484"/>
    <w:rsid w:val="00403B34"/>
    <w:rsid w:val="00404057"/>
    <w:rsid w:val="00405E2C"/>
    <w:rsid w:val="0040631C"/>
    <w:rsid w:val="00406CB0"/>
    <w:rsid w:val="00412553"/>
    <w:rsid w:val="0041476F"/>
    <w:rsid w:val="00414E2E"/>
    <w:rsid w:val="00414E8D"/>
    <w:rsid w:val="00425DC1"/>
    <w:rsid w:val="004276F4"/>
    <w:rsid w:val="0043364F"/>
    <w:rsid w:val="0045520B"/>
    <w:rsid w:val="004677BC"/>
    <w:rsid w:val="00470B39"/>
    <w:rsid w:val="00472DF1"/>
    <w:rsid w:val="00473554"/>
    <w:rsid w:val="00475134"/>
    <w:rsid w:val="00480399"/>
    <w:rsid w:val="00492165"/>
    <w:rsid w:val="00493228"/>
    <w:rsid w:val="00493567"/>
    <w:rsid w:val="004A31DF"/>
    <w:rsid w:val="004C113E"/>
    <w:rsid w:val="004C7EE3"/>
    <w:rsid w:val="004E47A2"/>
    <w:rsid w:val="0050471F"/>
    <w:rsid w:val="00517851"/>
    <w:rsid w:val="00521BE2"/>
    <w:rsid w:val="005270DC"/>
    <w:rsid w:val="005304CE"/>
    <w:rsid w:val="00556BA2"/>
    <w:rsid w:val="00595657"/>
    <w:rsid w:val="0059690B"/>
    <w:rsid w:val="005A2691"/>
    <w:rsid w:val="005B4D93"/>
    <w:rsid w:val="005C4CC9"/>
    <w:rsid w:val="005C592E"/>
    <w:rsid w:val="005D01BD"/>
    <w:rsid w:val="005F2821"/>
    <w:rsid w:val="005F72DE"/>
    <w:rsid w:val="00601FE7"/>
    <w:rsid w:val="00603CDB"/>
    <w:rsid w:val="00607D4E"/>
    <w:rsid w:val="006116FE"/>
    <w:rsid w:val="00612C7A"/>
    <w:rsid w:val="00615A8C"/>
    <w:rsid w:val="00637D39"/>
    <w:rsid w:val="00640074"/>
    <w:rsid w:val="00642D81"/>
    <w:rsid w:val="006446A3"/>
    <w:rsid w:val="00655A12"/>
    <w:rsid w:val="0066228D"/>
    <w:rsid w:val="00662F24"/>
    <w:rsid w:val="006735CA"/>
    <w:rsid w:val="006769CA"/>
    <w:rsid w:val="00686EA5"/>
    <w:rsid w:val="00690ED3"/>
    <w:rsid w:val="00693CAE"/>
    <w:rsid w:val="006A2320"/>
    <w:rsid w:val="006B6C84"/>
    <w:rsid w:val="006C0ABB"/>
    <w:rsid w:val="006C752A"/>
    <w:rsid w:val="006D3BB4"/>
    <w:rsid w:val="006E4A44"/>
    <w:rsid w:val="006E5A5A"/>
    <w:rsid w:val="006E7E66"/>
    <w:rsid w:val="006F4EB6"/>
    <w:rsid w:val="007038D0"/>
    <w:rsid w:val="00710863"/>
    <w:rsid w:val="007512A0"/>
    <w:rsid w:val="00757789"/>
    <w:rsid w:val="00762607"/>
    <w:rsid w:val="00765CC8"/>
    <w:rsid w:val="007744E8"/>
    <w:rsid w:val="007873CC"/>
    <w:rsid w:val="00787861"/>
    <w:rsid w:val="007A5196"/>
    <w:rsid w:val="007C2993"/>
    <w:rsid w:val="007C685D"/>
    <w:rsid w:val="007C7837"/>
    <w:rsid w:val="007E139C"/>
    <w:rsid w:val="007E3B4A"/>
    <w:rsid w:val="007E53A0"/>
    <w:rsid w:val="00811BE6"/>
    <w:rsid w:val="008434CA"/>
    <w:rsid w:val="0086502D"/>
    <w:rsid w:val="008657F4"/>
    <w:rsid w:val="008664C5"/>
    <w:rsid w:val="0087046D"/>
    <w:rsid w:val="008B5467"/>
    <w:rsid w:val="008E625C"/>
    <w:rsid w:val="008F2CBB"/>
    <w:rsid w:val="008F4596"/>
    <w:rsid w:val="008F50B8"/>
    <w:rsid w:val="00903689"/>
    <w:rsid w:val="00904DC8"/>
    <w:rsid w:val="009059FE"/>
    <w:rsid w:val="00906BAA"/>
    <w:rsid w:val="009077DA"/>
    <w:rsid w:val="00913452"/>
    <w:rsid w:val="00916B2D"/>
    <w:rsid w:val="00917903"/>
    <w:rsid w:val="00922B3E"/>
    <w:rsid w:val="009338EB"/>
    <w:rsid w:val="00941197"/>
    <w:rsid w:val="009466DC"/>
    <w:rsid w:val="009522F4"/>
    <w:rsid w:val="00962DBB"/>
    <w:rsid w:val="0096596F"/>
    <w:rsid w:val="00967916"/>
    <w:rsid w:val="0097182E"/>
    <w:rsid w:val="00972AEF"/>
    <w:rsid w:val="009823AF"/>
    <w:rsid w:val="009A6A46"/>
    <w:rsid w:val="009B13EB"/>
    <w:rsid w:val="009C5B1E"/>
    <w:rsid w:val="009E05E8"/>
    <w:rsid w:val="009E4A72"/>
    <w:rsid w:val="00A266D2"/>
    <w:rsid w:val="00A27BD2"/>
    <w:rsid w:val="00A27DA0"/>
    <w:rsid w:val="00A31F3F"/>
    <w:rsid w:val="00A40560"/>
    <w:rsid w:val="00A75E26"/>
    <w:rsid w:val="00AB6DBA"/>
    <w:rsid w:val="00AC4069"/>
    <w:rsid w:val="00AC7F55"/>
    <w:rsid w:val="00AD7315"/>
    <w:rsid w:val="00AE5FBF"/>
    <w:rsid w:val="00AF2B50"/>
    <w:rsid w:val="00AF3B97"/>
    <w:rsid w:val="00AF6FDA"/>
    <w:rsid w:val="00B031C3"/>
    <w:rsid w:val="00B040A8"/>
    <w:rsid w:val="00B07C36"/>
    <w:rsid w:val="00B21FD5"/>
    <w:rsid w:val="00B24646"/>
    <w:rsid w:val="00B4172F"/>
    <w:rsid w:val="00B4343B"/>
    <w:rsid w:val="00B50DB7"/>
    <w:rsid w:val="00B52D42"/>
    <w:rsid w:val="00B6461F"/>
    <w:rsid w:val="00B66E3B"/>
    <w:rsid w:val="00B67198"/>
    <w:rsid w:val="00B67EB4"/>
    <w:rsid w:val="00B77A5F"/>
    <w:rsid w:val="00B841A9"/>
    <w:rsid w:val="00B845B0"/>
    <w:rsid w:val="00B85B93"/>
    <w:rsid w:val="00B96CAD"/>
    <w:rsid w:val="00BA67D7"/>
    <w:rsid w:val="00BB797D"/>
    <w:rsid w:val="00BD69B1"/>
    <w:rsid w:val="00C020AC"/>
    <w:rsid w:val="00C06E47"/>
    <w:rsid w:val="00C1370F"/>
    <w:rsid w:val="00C156C9"/>
    <w:rsid w:val="00C173F9"/>
    <w:rsid w:val="00C227EE"/>
    <w:rsid w:val="00C25AFA"/>
    <w:rsid w:val="00C25FB8"/>
    <w:rsid w:val="00C46658"/>
    <w:rsid w:val="00C46714"/>
    <w:rsid w:val="00C51607"/>
    <w:rsid w:val="00C66FE2"/>
    <w:rsid w:val="00C67847"/>
    <w:rsid w:val="00CA1E42"/>
    <w:rsid w:val="00CA4BE2"/>
    <w:rsid w:val="00CC4840"/>
    <w:rsid w:val="00CC5949"/>
    <w:rsid w:val="00CD37D3"/>
    <w:rsid w:val="00CD4203"/>
    <w:rsid w:val="00CD51EB"/>
    <w:rsid w:val="00CE1EFB"/>
    <w:rsid w:val="00CE62C3"/>
    <w:rsid w:val="00CF09F5"/>
    <w:rsid w:val="00CF44E6"/>
    <w:rsid w:val="00D16441"/>
    <w:rsid w:val="00D16DC4"/>
    <w:rsid w:val="00D42554"/>
    <w:rsid w:val="00D60292"/>
    <w:rsid w:val="00D6712F"/>
    <w:rsid w:val="00D826FA"/>
    <w:rsid w:val="00DB502B"/>
    <w:rsid w:val="00DC4677"/>
    <w:rsid w:val="00DC5986"/>
    <w:rsid w:val="00DE1CD0"/>
    <w:rsid w:val="00DE375E"/>
    <w:rsid w:val="00DE4D95"/>
    <w:rsid w:val="00DF504D"/>
    <w:rsid w:val="00DF66E8"/>
    <w:rsid w:val="00E0088A"/>
    <w:rsid w:val="00E01A8F"/>
    <w:rsid w:val="00E05FA4"/>
    <w:rsid w:val="00E06C4D"/>
    <w:rsid w:val="00E1597D"/>
    <w:rsid w:val="00E240E9"/>
    <w:rsid w:val="00E276FD"/>
    <w:rsid w:val="00E3198E"/>
    <w:rsid w:val="00E330AA"/>
    <w:rsid w:val="00E34B70"/>
    <w:rsid w:val="00E34BC2"/>
    <w:rsid w:val="00E35622"/>
    <w:rsid w:val="00E55C61"/>
    <w:rsid w:val="00E625B8"/>
    <w:rsid w:val="00E644DE"/>
    <w:rsid w:val="00E87119"/>
    <w:rsid w:val="00E91755"/>
    <w:rsid w:val="00EA1978"/>
    <w:rsid w:val="00EA767E"/>
    <w:rsid w:val="00EB3DF8"/>
    <w:rsid w:val="00EB46D8"/>
    <w:rsid w:val="00EB6D57"/>
    <w:rsid w:val="00EC6D0E"/>
    <w:rsid w:val="00ED03CF"/>
    <w:rsid w:val="00ED0F15"/>
    <w:rsid w:val="00ED33AA"/>
    <w:rsid w:val="00ED3ED7"/>
    <w:rsid w:val="00EE3623"/>
    <w:rsid w:val="00EE40C9"/>
    <w:rsid w:val="00EF0FD6"/>
    <w:rsid w:val="00EF28CD"/>
    <w:rsid w:val="00F06535"/>
    <w:rsid w:val="00F12B7E"/>
    <w:rsid w:val="00F1799D"/>
    <w:rsid w:val="00F20BF0"/>
    <w:rsid w:val="00F236A3"/>
    <w:rsid w:val="00F27C85"/>
    <w:rsid w:val="00F529A9"/>
    <w:rsid w:val="00F60A8D"/>
    <w:rsid w:val="00F66432"/>
    <w:rsid w:val="00F701BB"/>
    <w:rsid w:val="00FA3D9C"/>
    <w:rsid w:val="00FA7A73"/>
    <w:rsid w:val="00FA7FCD"/>
    <w:rsid w:val="00FB0A62"/>
    <w:rsid w:val="00FB5D0B"/>
    <w:rsid w:val="00FB5F44"/>
    <w:rsid w:val="00FC3B2A"/>
    <w:rsid w:val="00FD6E9E"/>
    <w:rsid w:val="00FE3E1E"/>
    <w:rsid w:val="00FE62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243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C61"/>
    <w:rPr>
      <w:rFonts w:ascii="Times New Roman" w:eastAsia="Times New Roman" w:hAnsi="Times New Roman"/>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87119"/>
    <w:rPr>
      <w:color w:val="0000FF"/>
      <w:u w:val="single"/>
    </w:rPr>
  </w:style>
  <w:style w:type="character" w:customStyle="1" w:styleId="bodytextchar">
    <w:name w:val="bodytextchar"/>
    <w:basedOn w:val="DefaultParagraphFont"/>
    <w:rsid w:val="00295A5A"/>
  </w:style>
  <w:style w:type="paragraph" w:styleId="BalloonText">
    <w:name w:val="Balloon Text"/>
    <w:basedOn w:val="Normal"/>
    <w:semiHidden/>
    <w:rsid w:val="00F27C85"/>
    <w:rPr>
      <w:rFonts w:ascii="Tahoma" w:hAnsi="Tahoma" w:cs="Tahoma"/>
      <w:sz w:val="16"/>
      <w:szCs w:val="16"/>
    </w:rPr>
  </w:style>
  <w:style w:type="paragraph" w:styleId="NormalWeb">
    <w:name w:val="Normal (Web)"/>
    <w:basedOn w:val="Normal"/>
    <w:uiPriority w:val="99"/>
    <w:semiHidden/>
    <w:unhideWhenUsed/>
    <w:rsid w:val="005304CE"/>
    <w:pPr>
      <w:spacing w:before="100" w:beforeAutospacing="1" w:after="240" w:line="384" w:lineRule="atLeast"/>
    </w:pPr>
    <w:rPr>
      <w:rFonts w:eastAsia="Calibri"/>
      <w:sz w:val="24"/>
      <w:szCs w:val="24"/>
      <w:lang w:eastAsia="et-EE"/>
    </w:rPr>
  </w:style>
  <w:style w:type="paragraph" w:styleId="NoSpacing">
    <w:name w:val="No Spacing"/>
    <w:uiPriority w:val="1"/>
    <w:qFormat/>
    <w:rsid w:val="002A6225"/>
    <w:rPr>
      <w:rFonts w:eastAsia="Calibri"/>
      <w:sz w:val="22"/>
      <w:szCs w:val="22"/>
      <w:lang w:val="en-US" w:eastAsia="en-US"/>
    </w:rPr>
  </w:style>
  <w:style w:type="paragraph" w:styleId="PlainText">
    <w:name w:val="Plain Text"/>
    <w:basedOn w:val="Normal"/>
    <w:link w:val="PlainTextChar"/>
    <w:uiPriority w:val="99"/>
    <w:unhideWhenUsed/>
    <w:rsid w:val="000541BA"/>
    <w:rPr>
      <w:rFonts w:ascii="Calibri" w:eastAsia="Calibri" w:hAnsi="Calibri"/>
      <w:sz w:val="22"/>
      <w:szCs w:val="21"/>
    </w:rPr>
  </w:style>
  <w:style w:type="character" w:customStyle="1" w:styleId="PlainTextChar">
    <w:name w:val="Plain Text Char"/>
    <w:link w:val="PlainText"/>
    <w:uiPriority w:val="99"/>
    <w:rsid w:val="000541BA"/>
    <w:rPr>
      <w:rFonts w:eastAsia="Calibri"/>
      <w:sz w:val="22"/>
      <w:szCs w:val="21"/>
      <w:lang w:eastAsia="en-US"/>
    </w:rPr>
  </w:style>
  <w:style w:type="character" w:customStyle="1" w:styleId="apple-converted-space">
    <w:name w:val="apple-converted-space"/>
    <w:rsid w:val="0006373A"/>
  </w:style>
  <w:style w:type="paragraph" w:customStyle="1" w:styleId="column">
    <w:name w:val="column"/>
    <w:basedOn w:val="Normal"/>
    <w:rsid w:val="006735CA"/>
    <w:pPr>
      <w:spacing w:before="100" w:beforeAutospacing="1" w:after="100" w:afterAutospacing="1"/>
    </w:pPr>
    <w:rPr>
      <w:sz w:val="24"/>
      <w:szCs w:val="24"/>
      <w:lang w:val="en-US"/>
    </w:rPr>
  </w:style>
  <w:style w:type="paragraph" w:styleId="Header">
    <w:name w:val="header"/>
    <w:basedOn w:val="Normal"/>
    <w:link w:val="HeaderChar"/>
    <w:uiPriority w:val="99"/>
    <w:unhideWhenUsed/>
    <w:rsid w:val="006B6C84"/>
    <w:pPr>
      <w:tabs>
        <w:tab w:val="center" w:pos="4536"/>
        <w:tab w:val="right" w:pos="9072"/>
      </w:tabs>
    </w:pPr>
  </w:style>
  <w:style w:type="character" w:customStyle="1" w:styleId="HeaderChar">
    <w:name w:val="Header Char"/>
    <w:link w:val="Header"/>
    <w:uiPriority w:val="99"/>
    <w:rsid w:val="006B6C84"/>
    <w:rPr>
      <w:rFonts w:ascii="Times New Roman" w:eastAsia="Times New Roman" w:hAnsi="Times New Roman"/>
      <w:sz w:val="28"/>
      <w:szCs w:val="28"/>
      <w:lang w:eastAsia="en-US"/>
    </w:rPr>
  </w:style>
  <w:style w:type="paragraph" w:styleId="Footer">
    <w:name w:val="footer"/>
    <w:basedOn w:val="Normal"/>
    <w:link w:val="FooterChar"/>
    <w:uiPriority w:val="99"/>
    <w:unhideWhenUsed/>
    <w:rsid w:val="006B6C84"/>
    <w:pPr>
      <w:tabs>
        <w:tab w:val="center" w:pos="4536"/>
        <w:tab w:val="right" w:pos="9072"/>
      </w:tabs>
    </w:pPr>
  </w:style>
  <w:style w:type="character" w:customStyle="1" w:styleId="FooterChar">
    <w:name w:val="Footer Char"/>
    <w:link w:val="Footer"/>
    <w:uiPriority w:val="99"/>
    <w:rsid w:val="006B6C84"/>
    <w:rPr>
      <w:rFonts w:ascii="Times New Roman" w:eastAsia="Times New Roman" w:hAnsi="Times New Roman"/>
      <w:sz w:val="28"/>
      <w:szCs w:val="28"/>
      <w:lang w:eastAsia="en-US"/>
    </w:rPr>
  </w:style>
  <w:style w:type="paragraph" w:styleId="Revision">
    <w:name w:val="Revision"/>
    <w:hidden/>
    <w:uiPriority w:val="99"/>
    <w:semiHidden/>
    <w:rsid w:val="00D42554"/>
    <w:rPr>
      <w:rFonts w:ascii="Times New Roman" w:eastAsia="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1555">
      <w:bodyDiv w:val="1"/>
      <w:marLeft w:val="0"/>
      <w:marRight w:val="0"/>
      <w:marTop w:val="0"/>
      <w:marBottom w:val="0"/>
      <w:divBdr>
        <w:top w:val="none" w:sz="0" w:space="0" w:color="auto"/>
        <w:left w:val="none" w:sz="0" w:space="0" w:color="auto"/>
        <w:bottom w:val="none" w:sz="0" w:space="0" w:color="auto"/>
        <w:right w:val="none" w:sz="0" w:space="0" w:color="auto"/>
      </w:divBdr>
    </w:div>
    <w:div w:id="56781948">
      <w:bodyDiv w:val="1"/>
      <w:marLeft w:val="0"/>
      <w:marRight w:val="0"/>
      <w:marTop w:val="0"/>
      <w:marBottom w:val="0"/>
      <w:divBdr>
        <w:top w:val="none" w:sz="0" w:space="0" w:color="auto"/>
        <w:left w:val="none" w:sz="0" w:space="0" w:color="auto"/>
        <w:bottom w:val="none" w:sz="0" w:space="0" w:color="auto"/>
        <w:right w:val="none" w:sz="0" w:space="0" w:color="auto"/>
      </w:divBdr>
    </w:div>
    <w:div w:id="99305909">
      <w:bodyDiv w:val="1"/>
      <w:marLeft w:val="0"/>
      <w:marRight w:val="0"/>
      <w:marTop w:val="0"/>
      <w:marBottom w:val="0"/>
      <w:divBdr>
        <w:top w:val="none" w:sz="0" w:space="0" w:color="auto"/>
        <w:left w:val="none" w:sz="0" w:space="0" w:color="auto"/>
        <w:bottom w:val="none" w:sz="0" w:space="0" w:color="auto"/>
        <w:right w:val="none" w:sz="0" w:space="0" w:color="auto"/>
      </w:divBdr>
    </w:div>
    <w:div w:id="230387194">
      <w:bodyDiv w:val="1"/>
      <w:marLeft w:val="0"/>
      <w:marRight w:val="0"/>
      <w:marTop w:val="0"/>
      <w:marBottom w:val="0"/>
      <w:divBdr>
        <w:top w:val="none" w:sz="0" w:space="0" w:color="auto"/>
        <w:left w:val="none" w:sz="0" w:space="0" w:color="auto"/>
        <w:bottom w:val="none" w:sz="0" w:space="0" w:color="auto"/>
        <w:right w:val="none" w:sz="0" w:space="0" w:color="auto"/>
      </w:divBdr>
    </w:div>
    <w:div w:id="331831936">
      <w:bodyDiv w:val="1"/>
      <w:marLeft w:val="0"/>
      <w:marRight w:val="0"/>
      <w:marTop w:val="0"/>
      <w:marBottom w:val="0"/>
      <w:divBdr>
        <w:top w:val="none" w:sz="0" w:space="0" w:color="auto"/>
        <w:left w:val="none" w:sz="0" w:space="0" w:color="auto"/>
        <w:bottom w:val="none" w:sz="0" w:space="0" w:color="auto"/>
        <w:right w:val="none" w:sz="0" w:space="0" w:color="auto"/>
      </w:divBdr>
    </w:div>
    <w:div w:id="501163797">
      <w:bodyDiv w:val="1"/>
      <w:marLeft w:val="0"/>
      <w:marRight w:val="0"/>
      <w:marTop w:val="0"/>
      <w:marBottom w:val="0"/>
      <w:divBdr>
        <w:top w:val="none" w:sz="0" w:space="0" w:color="auto"/>
        <w:left w:val="none" w:sz="0" w:space="0" w:color="auto"/>
        <w:bottom w:val="none" w:sz="0" w:space="0" w:color="auto"/>
        <w:right w:val="none" w:sz="0" w:space="0" w:color="auto"/>
      </w:divBdr>
    </w:div>
    <w:div w:id="568737131">
      <w:bodyDiv w:val="1"/>
      <w:marLeft w:val="0"/>
      <w:marRight w:val="0"/>
      <w:marTop w:val="0"/>
      <w:marBottom w:val="0"/>
      <w:divBdr>
        <w:top w:val="none" w:sz="0" w:space="0" w:color="auto"/>
        <w:left w:val="none" w:sz="0" w:space="0" w:color="auto"/>
        <w:bottom w:val="none" w:sz="0" w:space="0" w:color="auto"/>
        <w:right w:val="none" w:sz="0" w:space="0" w:color="auto"/>
      </w:divBdr>
    </w:div>
    <w:div w:id="676737275">
      <w:bodyDiv w:val="1"/>
      <w:marLeft w:val="0"/>
      <w:marRight w:val="0"/>
      <w:marTop w:val="0"/>
      <w:marBottom w:val="0"/>
      <w:divBdr>
        <w:top w:val="none" w:sz="0" w:space="0" w:color="auto"/>
        <w:left w:val="none" w:sz="0" w:space="0" w:color="auto"/>
        <w:bottom w:val="none" w:sz="0" w:space="0" w:color="auto"/>
        <w:right w:val="none" w:sz="0" w:space="0" w:color="auto"/>
      </w:divBdr>
    </w:div>
    <w:div w:id="767045529">
      <w:bodyDiv w:val="1"/>
      <w:marLeft w:val="0"/>
      <w:marRight w:val="0"/>
      <w:marTop w:val="0"/>
      <w:marBottom w:val="0"/>
      <w:divBdr>
        <w:top w:val="none" w:sz="0" w:space="0" w:color="auto"/>
        <w:left w:val="none" w:sz="0" w:space="0" w:color="auto"/>
        <w:bottom w:val="none" w:sz="0" w:space="0" w:color="auto"/>
        <w:right w:val="none" w:sz="0" w:space="0" w:color="auto"/>
      </w:divBdr>
    </w:div>
    <w:div w:id="915818032">
      <w:bodyDiv w:val="1"/>
      <w:marLeft w:val="0"/>
      <w:marRight w:val="0"/>
      <w:marTop w:val="0"/>
      <w:marBottom w:val="0"/>
      <w:divBdr>
        <w:top w:val="none" w:sz="0" w:space="0" w:color="auto"/>
        <w:left w:val="none" w:sz="0" w:space="0" w:color="auto"/>
        <w:bottom w:val="none" w:sz="0" w:space="0" w:color="auto"/>
        <w:right w:val="none" w:sz="0" w:space="0" w:color="auto"/>
      </w:divBdr>
    </w:div>
    <w:div w:id="978340522">
      <w:bodyDiv w:val="1"/>
      <w:marLeft w:val="0"/>
      <w:marRight w:val="0"/>
      <w:marTop w:val="0"/>
      <w:marBottom w:val="0"/>
      <w:divBdr>
        <w:top w:val="none" w:sz="0" w:space="0" w:color="auto"/>
        <w:left w:val="none" w:sz="0" w:space="0" w:color="auto"/>
        <w:bottom w:val="none" w:sz="0" w:space="0" w:color="auto"/>
        <w:right w:val="none" w:sz="0" w:space="0" w:color="auto"/>
      </w:divBdr>
    </w:div>
    <w:div w:id="1184709446">
      <w:bodyDiv w:val="1"/>
      <w:marLeft w:val="0"/>
      <w:marRight w:val="0"/>
      <w:marTop w:val="0"/>
      <w:marBottom w:val="0"/>
      <w:divBdr>
        <w:top w:val="none" w:sz="0" w:space="0" w:color="auto"/>
        <w:left w:val="none" w:sz="0" w:space="0" w:color="auto"/>
        <w:bottom w:val="none" w:sz="0" w:space="0" w:color="auto"/>
        <w:right w:val="none" w:sz="0" w:space="0" w:color="auto"/>
      </w:divBdr>
    </w:div>
    <w:div w:id="1282998960">
      <w:bodyDiv w:val="1"/>
      <w:marLeft w:val="0"/>
      <w:marRight w:val="0"/>
      <w:marTop w:val="0"/>
      <w:marBottom w:val="0"/>
      <w:divBdr>
        <w:top w:val="none" w:sz="0" w:space="0" w:color="auto"/>
        <w:left w:val="none" w:sz="0" w:space="0" w:color="auto"/>
        <w:bottom w:val="none" w:sz="0" w:space="0" w:color="auto"/>
        <w:right w:val="none" w:sz="0" w:space="0" w:color="auto"/>
      </w:divBdr>
    </w:div>
    <w:div w:id="1460340866">
      <w:bodyDiv w:val="1"/>
      <w:marLeft w:val="0"/>
      <w:marRight w:val="0"/>
      <w:marTop w:val="0"/>
      <w:marBottom w:val="0"/>
      <w:divBdr>
        <w:top w:val="none" w:sz="0" w:space="0" w:color="auto"/>
        <w:left w:val="none" w:sz="0" w:space="0" w:color="auto"/>
        <w:bottom w:val="none" w:sz="0" w:space="0" w:color="auto"/>
        <w:right w:val="none" w:sz="0" w:space="0" w:color="auto"/>
      </w:divBdr>
    </w:div>
    <w:div w:id="1741058160">
      <w:bodyDiv w:val="1"/>
      <w:marLeft w:val="0"/>
      <w:marRight w:val="0"/>
      <w:marTop w:val="0"/>
      <w:marBottom w:val="0"/>
      <w:divBdr>
        <w:top w:val="none" w:sz="0" w:space="0" w:color="auto"/>
        <w:left w:val="none" w:sz="0" w:space="0" w:color="auto"/>
        <w:bottom w:val="none" w:sz="0" w:space="0" w:color="auto"/>
        <w:right w:val="none" w:sz="0" w:space="0" w:color="auto"/>
      </w:divBdr>
    </w:div>
    <w:div w:id="1877621043">
      <w:bodyDiv w:val="1"/>
      <w:marLeft w:val="0"/>
      <w:marRight w:val="0"/>
      <w:marTop w:val="0"/>
      <w:marBottom w:val="0"/>
      <w:divBdr>
        <w:top w:val="none" w:sz="0" w:space="0" w:color="auto"/>
        <w:left w:val="none" w:sz="0" w:space="0" w:color="auto"/>
        <w:bottom w:val="none" w:sz="0" w:space="0" w:color="auto"/>
        <w:right w:val="none" w:sz="0" w:space="0" w:color="auto"/>
      </w:divBdr>
    </w:div>
    <w:div w:id="2127920859">
      <w:bodyDiv w:val="1"/>
      <w:marLeft w:val="0"/>
      <w:marRight w:val="0"/>
      <w:marTop w:val="0"/>
      <w:marBottom w:val="0"/>
      <w:divBdr>
        <w:top w:val="none" w:sz="0" w:space="0" w:color="auto"/>
        <w:left w:val="none" w:sz="0" w:space="0" w:color="auto"/>
        <w:bottom w:val="none" w:sz="0" w:space="0" w:color="auto"/>
        <w:right w:val="none" w:sz="0" w:space="0" w:color="auto"/>
      </w:divBdr>
    </w:div>
    <w:div w:id="213143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iina.kull@mf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3644</Characters>
  <Application>Microsoft Office Word</Application>
  <DocSecurity>0</DocSecurity>
  <Lines>30</Lines>
  <Paragraphs>8</Paragraphs>
  <ScaleCrop>false</ScaleCrop>
  <Company/>
  <LinksUpToDate>false</LinksUpToDate>
  <CharactersWithSpaces>4264</CharactersWithSpaces>
  <SharedDoc>false</SharedDoc>
  <HLinks>
    <vt:vector size="6" baseType="variant">
      <vt:variant>
        <vt:i4>7733266</vt:i4>
      </vt:variant>
      <vt:variant>
        <vt:i4>0</vt:i4>
      </vt:variant>
      <vt:variant>
        <vt:i4>0</vt:i4>
      </vt:variant>
      <vt:variant>
        <vt:i4>5</vt:i4>
      </vt:variant>
      <vt:variant>
        <vt:lpwstr>mailto:kristiina.kull@mfa.ee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2026-06-05T11:55:00Z</dcterms:created>
  <dcterms:modified xsi:type="dcterms:W3CDTF">2026-06-05T12:34:00Z</dcterms:modified>
</cp:coreProperties>
</file>