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77E126A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77E1267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77E127E" wp14:editId="777E127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77E1268" w14:textId="77777777" w:rsidR="00BC1A62" w:rsidRPr="00BC1A62" w:rsidRDefault="00BC1A62" w:rsidP="0076054B">
            <w:pPr>
              <w:pStyle w:val="AK"/>
              <w:jc w:val="right"/>
            </w:pPr>
          </w:p>
          <w:p w14:paraId="777E1269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777E126F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77E126B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77E126C" w14:textId="77777777" w:rsidR="0076054B" w:rsidRPr="006B118C" w:rsidRDefault="0076054B" w:rsidP="007A4337">
            <w:pPr>
              <w:jc w:val="left"/>
            </w:pPr>
          </w:p>
          <w:p w14:paraId="777E126D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777E126E" w14:textId="42BE662B" w:rsidR="0076054B" w:rsidRPr="0076054B" w:rsidRDefault="00466B42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5A2621">
              <w:instrText xml:space="preserve"> delta_regDateTime  \* MERGEFORMAT</w:instrText>
            </w:r>
            <w:r>
              <w:fldChar w:fldCharType="separate"/>
            </w:r>
            <w:r w:rsidR="005A2621">
              <w:t>22.01.2024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5A2621">
              <w:instrText xml:space="preserve"> delta_regNumber  \* MERGEFORMAT</w:instrText>
            </w:r>
            <w:r>
              <w:fldChar w:fldCharType="separate"/>
            </w:r>
            <w:r w:rsidR="005A2621">
              <w:t>2</w:t>
            </w:r>
            <w:r>
              <w:fldChar w:fldCharType="end"/>
            </w:r>
          </w:p>
        </w:tc>
      </w:tr>
      <w:tr w:rsidR="00566D45" w:rsidRPr="001D4CFB" w14:paraId="777E1272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94B06DE" w14:textId="77777777" w:rsidR="00AC1DB5" w:rsidRDefault="00AC1DB5" w:rsidP="00B358EA">
            <w:pPr>
              <w:pStyle w:val="Pealkiri10"/>
            </w:pPr>
          </w:p>
          <w:p w14:paraId="777E1270" w14:textId="5ED5AF25" w:rsidR="00566D45" w:rsidRDefault="00466B42" w:rsidP="00B358EA">
            <w:pPr>
              <w:pStyle w:val="Pealkiri10"/>
            </w:pPr>
            <w:r>
              <w:fldChar w:fldCharType="begin"/>
            </w:r>
            <w:r w:rsidR="005A2621">
              <w:instrText xml:space="preserve"> delta_docName  \* MERGEFORMAT</w:instrText>
            </w:r>
            <w:r>
              <w:fldChar w:fldCharType="separate"/>
            </w:r>
            <w:r w:rsidR="005A2621">
              <w:t>Ettevõtlus- ja infotehnoloogiaministri 14. novembri 2022. a määruse nr 91 „Taastekava tootmisettevõtja ärimudeli muutmise toetuse tingimused ja taotlemise kord“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77E1271" w14:textId="77777777" w:rsidR="00566D45" w:rsidRDefault="00566D45" w:rsidP="00566D45"/>
        </w:tc>
      </w:tr>
    </w:tbl>
    <w:p w14:paraId="777E1273" w14:textId="3501B783" w:rsidR="00493460" w:rsidRPr="00493460" w:rsidRDefault="00466B42" w:rsidP="00493460">
      <w:pPr>
        <w:widowControl/>
        <w:suppressAutoHyphens w:val="0"/>
        <w:spacing w:line="240" w:lineRule="auto"/>
        <w:rPr>
          <w:rFonts w:cs="Mangal"/>
        </w:rPr>
      </w:pPr>
      <w:r w:rsidRPr="00FA0E3C">
        <w:rPr>
          <w:bdr w:val="none" w:sz="0" w:space="0" w:color="auto" w:frame="1"/>
          <w:shd w:val="clear" w:color="auto" w:fill="FFFFFF"/>
        </w:rPr>
        <w:t xml:space="preserve">Määrus kehtestatakse </w:t>
      </w:r>
      <w:hyperlink r:id="rId9" w:history="1">
        <w:proofErr w:type="spellStart"/>
        <w:r w:rsidRPr="00FA0E3C">
          <w:t>välissuhtlemisseaduse</w:t>
        </w:r>
        <w:proofErr w:type="spellEnd"/>
      </w:hyperlink>
      <w:r w:rsidRPr="00FA0E3C">
        <w:rPr>
          <w:bdr w:val="none" w:sz="0" w:space="0" w:color="auto" w:frame="1"/>
          <w:shd w:val="clear" w:color="auto" w:fill="FFFFFF"/>
        </w:rPr>
        <w:t> § 8 lõike 4 ja Vabariigi Valitsuse 29.</w:t>
      </w:r>
      <w:r>
        <w:rPr>
          <w:bdr w:val="none" w:sz="0" w:space="0" w:color="auto" w:frame="1"/>
          <w:shd w:val="clear" w:color="auto" w:fill="FFFFFF"/>
        </w:rPr>
        <w:t> </w:t>
      </w:r>
      <w:r w:rsidRPr="00FA0E3C">
        <w:rPr>
          <w:bdr w:val="none" w:sz="0" w:space="0" w:color="auto" w:frame="1"/>
          <w:shd w:val="clear" w:color="auto" w:fill="FFFFFF"/>
        </w:rPr>
        <w:t>novembri 2021. a määruse nr 108 „</w:t>
      </w:r>
      <w:hyperlink r:id="rId10" w:history="1">
        <w:r w:rsidRPr="00FA0E3C">
          <w:t>Taaste- ja vastupidavuskava elluviimise korraldus ja toetuse andmise üldtingimused</w:t>
        </w:r>
      </w:hyperlink>
      <w:r w:rsidRPr="00FA0E3C">
        <w:rPr>
          <w:bdr w:val="none" w:sz="0" w:space="0" w:color="auto" w:frame="1"/>
          <w:shd w:val="clear" w:color="auto" w:fill="FFFFFF"/>
        </w:rPr>
        <w:t>” § 8 lõike 1 alusel</w:t>
      </w:r>
      <w:r w:rsidR="00493460" w:rsidRPr="00493460">
        <w:rPr>
          <w:rFonts w:cs="Mangal"/>
        </w:rPr>
        <w:t>.</w:t>
      </w:r>
    </w:p>
    <w:p w14:paraId="777E1274" w14:textId="77777777" w:rsidR="0018705B" w:rsidRDefault="0018705B" w:rsidP="00A84A50">
      <w:pPr>
        <w:pStyle w:val="Tekst"/>
      </w:pPr>
    </w:p>
    <w:p w14:paraId="7C84BE6E" w14:textId="63A58206" w:rsidR="00466B42" w:rsidRDefault="00466B42" w:rsidP="00466B42">
      <w:pPr>
        <w:spacing w:line="240" w:lineRule="auto"/>
      </w:pPr>
      <w:r w:rsidRPr="00FA0E3C">
        <w:t>Ettevõtlus- ja infotehnoloogiaministri 14. novembri 2022. a määruses nr 91 „Taastekava tootmisettevõtja ärimudeli muutmise toetuse tingimused ja taotlemise kord“ tehakse järgmised muudatused:</w:t>
      </w:r>
    </w:p>
    <w:p w14:paraId="251DFD56" w14:textId="77777777" w:rsidR="0068160D" w:rsidRPr="00353BEB" w:rsidRDefault="0068160D" w:rsidP="00466B42">
      <w:pPr>
        <w:spacing w:line="240" w:lineRule="auto"/>
      </w:pPr>
    </w:p>
    <w:p w14:paraId="0B8A71C2" w14:textId="03B034D2" w:rsidR="00466B42" w:rsidRPr="00A84A50" w:rsidRDefault="00466B42" w:rsidP="004604E4">
      <w:pPr>
        <w:spacing w:line="240" w:lineRule="auto"/>
        <w:rPr>
          <w:rFonts w:eastAsia="Times New Roman"/>
          <w:lang w:eastAsia="et-EE"/>
        </w:rPr>
      </w:pPr>
      <w:r w:rsidRPr="00A84A50">
        <w:rPr>
          <w:rFonts w:eastAsia="Times New Roman"/>
          <w:b/>
          <w:bCs/>
          <w:lang w:eastAsia="et-EE"/>
        </w:rPr>
        <w:t>1)</w:t>
      </w:r>
      <w:r w:rsidRPr="00A84A50">
        <w:rPr>
          <w:rFonts w:eastAsia="Times New Roman"/>
          <w:lang w:eastAsia="et-EE"/>
        </w:rPr>
        <w:t xml:space="preserve"> paragrahvi 2 lõike 1 punktis 1 asendatakse </w:t>
      </w:r>
      <w:r w:rsidR="00353BEB" w:rsidRPr="00A84A50">
        <w:rPr>
          <w:rFonts w:eastAsia="Times New Roman"/>
          <w:lang w:eastAsia="et-EE"/>
        </w:rPr>
        <w:t>teksti</w:t>
      </w:r>
      <w:r w:rsidRPr="00A84A50">
        <w:rPr>
          <w:rFonts w:eastAsia="Times New Roman"/>
          <w:lang w:eastAsia="et-EE"/>
        </w:rPr>
        <w:t xml:space="preserve">osa „1407/2013, milles käsitletakse Euroopa Liidu toimimise lepingu artiklite 107 ja 108 kohaldamist vähese tähtsusega abi suhtes (ELT L 352, 24.12.2013, lk 1–8“ </w:t>
      </w:r>
      <w:r w:rsidR="00353BEB" w:rsidRPr="00A84A50">
        <w:rPr>
          <w:rFonts w:eastAsia="Times New Roman"/>
          <w:lang w:eastAsia="et-EE"/>
        </w:rPr>
        <w:t>teksti</w:t>
      </w:r>
      <w:r w:rsidRPr="00A84A50">
        <w:rPr>
          <w:rFonts w:eastAsia="Times New Roman"/>
          <w:lang w:eastAsia="et-EE"/>
        </w:rPr>
        <w:t>osaga „2023/2831, milles käsitletakse Euroopa Liidu toimimise lepingu artiklite 107 ja 108 kohaldamist vähese tähtsusega abi suhtes (ELT L, 2023/2831, 15.12.2023“;</w:t>
      </w:r>
    </w:p>
    <w:p w14:paraId="593AD340" w14:textId="77777777" w:rsidR="00466B42" w:rsidRPr="00A72B97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40C72BCC" w14:textId="77777777" w:rsidR="00466B42" w:rsidRPr="00F61C1D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2</w:t>
      </w:r>
      <w:r w:rsidRPr="00F61C1D">
        <w:rPr>
          <w:rFonts w:eastAsia="Times New Roman"/>
          <w:b/>
          <w:bCs/>
          <w:lang w:eastAsia="et-EE"/>
        </w:rPr>
        <w:t>)</w:t>
      </w:r>
      <w:r w:rsidRPr="00F61C1D">
        <w:rPr>
          <w:rFonts w:eastAsia="Times New Roman"/>
          <w:lang w:eastAsia="et-EE"/>
        </w:rPr>
        <w:t xml:space="preserve"> paragrahvi 2 lõi</w:t>
      </w:r>
      <w:r>
        <w:rPr>
          <w:rFonts w:eastAsia="Times New Roman"/>
          <w:lang w:eastAsia="et-EE"/>
        </w:rPr>
        <w:t>get</w:t>
      </w:r>
      <w:r w:rsidRPr="00F61C1D">
        <w:rPr>
          <w:rFonts w:eastAsia="Times New Roman"/>
          <w:lang w:eastAsia="et-EE"/>
        </w:rPr>
        <w:t xml:space="preserve"> 1 </w:t>
      </w:r>
      <w:r>
        <w:rPr>
          <w:rFonts w:eastAsia="Times New Roman"/>
          <w:lang w:eastAsia="et-EE"/>
        </w:rPr>
        <w:t>täiendatakse</w:t>
      </w:r>
      <w:r w:rsidRPr="00F61C1D">
        <w:rPr>
          <w:rFonts w:eastAsia="Times New Roman"/>
          <w:lang w:eastAsia="et-EE"/>
        </w:rPr>
        <w:t xml:space="preserve"> punkt</w:t>
      </w:r>
      <w:r>
        <w:rPr>
          <w:rFonts w:eastAsia="Times New Roman"/>
          <w:lang w:eastAsia="et-EE"/>
        </w:rPr>
        <w:t>iga</w:t>
      </w:r>
      <w:r w:rsidRPr="00F61C1D">
        <w:rPr>
          <w:rFonts w:eastAsia="Times New Roman"/>
          <w:lang w:eastAsia="et-EE"/>
        </w:rPr>
        <w:t xml:space="preserve"> 6 järgmises sõnastuses:</w:t>
      </w:r>
    </w:p>
    <w:p w14:paraId="33E7FA04" w14:textId="68704158" w:rsidR="00466B42" w:rsidRPr="00F61C1D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656F3B2D" w14:textId="77777777" w:rsidR="00466B42" w:rsidRPr="00F61C1D" w:rsidRDefault="00466B42" w:rsidP="00466B42">
      <w:pPr>
        <w:spacing w:line="240" w:lineRule="auto"/>
        <w:rPr>
          <w:szCs w:val="20"/>
        </w:rPr>
      </w:pPr>
      <w:r w:rsidRPr="00F61C1D">
        <w:rPr>
          <w:rFonts w:eastAsia="Times New Roman"/>
          <w:lang w:eastAsia="et-EE"/>
        </w:rPr>
        <w:t>„</w:t>
      </w:r>
      <w:r w:rsidRPr="00F61C1D">
        <w:rPr>
          <w:rStyle w:val="tyhik"/>
          <w:color w:val="202020"/>
          <w:szCs w:val="20"/>
          <w:bdr w:val="none" w:sz="0" w:space="0" w:color="auto" w:frame="1"/>
          <w:shd w:val="clear" w:color="auto" w:fill="FFFFFF"/>
        </w:rPr>
        <w:t>6) </w:t>
      </w:r>
      <w:r w:rsidRPr="00F61C1D">
        <w:rPr>
          <w:color w:val="202020"/>
          <w:szCs w:val="20"/>
          <w:shd w:val="clear" w:color="auto" w:fill="FFFFFF"/>
        </w:rPr>
        <w:t xml:space="preserve">paragrahvi 7 lõike 5 punktis 6 </w:t>
      </w:r>
      <w:r>
        <w:rPr>
          <w:color w:val="202020"/>
          <w:szCs w:val="20"/>
          <w:shd w:val="clear" w:color="auto" w:fill="FFFFFF"/>
        </w:rPr>
        <w:t>nimetatud</w:t>
      </w:r>
      <w:r w:rsidRPr="00F61C1D">
        <w:rPr>
          <w:color w:val="202020"/>
          <w:szCs w:val="20"/>
          <w:shd w:val="clear" w:color="auto" w:fill="FFFFFF"/>
        </w:rPr>
        <w:t xml:space="preserve"> tegevuseks antav toetus on investeeringuteks ette nähtud regionaalabi üldise grupierandi määruse artikli 14 tähenduses ning sellele kohaldatakse nimetatud määruses ja konkurentsiseaduse §-s 34</w:t>
      </w:r>
      <w:r w:rsidRPr="00F61C1D">
        <w:rPr>
          <w:color w:val="202020"/>
          <w:szCs w:val="20"/>
          <w:bdr w:val="none" w:sz="0" w:space="0" w:color="auto" w:frame="1"/>
          <w:shd w:val="clear" w:color="auto" w:fill="FFFFFF"/>
          <w:vertAlign w:val="superscript"/>
        </w:rPr>
        <w:t>2</w:t>
      </w:r>
      <w:r w:rsidRPr="00F61C1D">
        <w:rPr>
          <w:color w:val="202020"/>
          <w:szCs w:val="20"/>
          <w:shd w:val="clear" w:color="auto" w:fill="FFFFFF"/>
        </w:rPr>
        <w:t xml:space="preserve"> sätestatut või vähese tähtsusega abi ning sellele kohaldatakse </w:t>
      </w:r>
      <w:r>
        <w:rPr>
          <w:color w:val="202020"/>
          <w:szCs w:val="20"/>
          <w:shd w:val="clear" w:color="auto" w:fill="FFFFFF"/>
        </w:rPr>
        <w:t xml:space="preserve">vähese tähtsusega abi </w:t>
      </w:r>
      <w:r w:rsidRPr="00F61C1D">
        <w:rPr>
          <w:color w:val="202020"/>
          <w:szCs w:val="20"/>
          <w:shd w:val="clear" w:color="auto" w:fill="FFFFFF"/>
        </w:rPr>
        <w:t>määruses ja konkurentsiseaduse §-s 33 sätestatut.</w:t>
      </w:r>
      <w:r w:rsidRPr="00F61C1D">
        <w:rPr>
          <w:rFonts w:eastAsia="Times New Roman"/>
          <w:lang w:eastAsia="et-EE"/>
        </w:rPr>
        <w:t>“</w:t>
      </w:r>
      <w:r>
        <w:rPr>
          <w:rFonts w:eastAsia="Times New Roman"/>
          <w:lang w:eastAsia="et-EE"/>
        </w:rPr>
        <w:t>;</w:t>
      </w:r>
    </w:p>
    <w:p w14:paraId="773E1160" w14:textId="77777777" w:rsidR="00466B42" w:rsidRPr="00A40674" w:rsidRDefault="00466B42" w:rsidP="00466B42">
      <w:pPr>
        <w:spacing w:line="240" w:lineRule="auto"/>
        <w:rPr>
          <w:rFonts w:eastAsia="Times New Roman"/>
          <w:b/>
          <w:bCs/>
          <w:lang w:eastAsia="et-EE"/>
        </w:rPr>
      </w:pPr>
    </w:p>
    <w:p w14:paraId="232D7C86" w14:textId="77777777" w:rsidR="00466B42" w:rsidRPr="00A40674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3</w:t>
      </w:r>
      <w:r w:rsidRPr="00A40674">
        <w:rPr>
          <w:rFonts w:eastAsia="Times New Roman"/>
          <w:b/>
          <w:bCs/>
          <w:lang w:eastAsia="et-EE"/>
        </w:rPr>
        <w:t>)</w:t>
      </w:r>
      <w:r w:rsidRPr="00A40674">
        <w:rPr>
          <w:rFonts w:eastAsia="Times New Roman"/>
          <w:lang w:eastAsia="et-EE"/>
        </w:rPr>
        <w:t xml:space="preserve"> paragrahvi 2 lõike 2 punkt 3 sõnastatakse järgmiselt:</w:t>
      </w:r>
    </w:p>
    <w:p w14:paraId="230EE2D8" w14:textId="77777777" w:rsidR="00466B42" w:rsidRPr="00A40674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0D213ADC" w14:textId="77777777" w:rsidR="00466B42" w:rsidRPr="00614743" w:rsidRDefault="00466B42" w:rsidP="00466B42">
      <w:pPr>
        <w:spacing w:line="259" w:lineRule="auto"/>
      </w:pPr>
      <w:r w:rsidRPr="00A40674">
        <w:t>„3) üldise grupierandi määruse alusel abi saajale üldise grupierandi määruse artikli</w:t>
      </w:r>
      <w:r>
        <w:t> </w:t>
      </w:r>
      <w:r w:rsidRPr="00A40674">
        <w:t>1 lõigetes 2–</w:t>
      </w:r>
      <w:r>
        <w:t>6</w:t>
      </w:r>
      <w:r w:rsidRPr="00614743">
        <w:t xml:space="preserve"> ja regionaalabi</w:t>
      </w:r>
      <w:r>
        <w:t xml:space="preserve"> puhul </w:t>
      </w:r>
      <w:r w:rsidRPr="00614743">
        <w:t>artiklis 13 kehtestatud juhtudel.“;</w:t>
      </w:r>
    </w:p>
    <w:p w14:paraId="4EDBBAD9" w14:textId="77777777" w:rsidR="00466B42" w:rsidRPr="00614743" w:rsidRDefault="00466B42" w:rsidP="00466B42">
      <w:pPr>
        <w:spacing w:line="259" w:lineRule="auto"/>
      </w:pPr>
    </w:p>
    <w:p w14:paraId="5E9C081F" w14:textId="77777777" w:rsidR="00466B42" w:rsidRPr="00614743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4</w:t>
      </w:r>
      <w:r w:rsidRPr="00614743">
        <w:rPr>
          <w:rFonts w:eastAsia="Times New Roman"/>
          <w:b/>
          <w:bCs/>
          <w:lang w:eastAsia="et-EE"/>
        </w:rPr>
        <w:t>)</w:t>
      </w:r>
      <w:r w:rsidRPr="00614743">
        <w:rPr>
          <w:rFonts w:eastAsia="Times New Roman"/>
          <w:lang w:eastAsia="et-EE"/>
        </w:rPr>
        <w:t xml:space="preserve"> paragrahvi 7 lõi</w:t>
      </w:r>
      <w:r>
        <w:rPr>
          <w:rFonts w:eastAsia="Times New Roman"/>
          <w:lang w:eastAsia="et-EE"/>
        </w:rPr>
        <w:t>get</w:t>
      </w:r>
      <w:r w:rsidRPr="00614743">
        <w:rPr>
          <w:rFonts w:eastAsia="Times New Roman"/>
          <w:lang w:eastAsia="et-EE"/>
        </w:rPr>
        <w:t xml:space="preserve"> 5 </w:t>
      </w:r>
      <w:r>
        <w:rPr>
          <w:rFonts w:eastAsia="Times New Roman"/>
          <w:lang w:eastAsia="et-EE"/>
        </w:rPr>
        <w:t>täiendatakse</w:t>
      </w:r>
      <w:r w:rsidRPr="00614743">
        <w:rPr>
          <w:rFonts w:eastAsia="Times New Roman"/>
          <w:lang w:eastAsia="et-EE"/>
        </w:rPr>
        <w:t xml:space="preserve"> punkt</w:t>
      </w:r>
      <w:r>
        <w:rPr>
          <w:rFonts w:eastAsia="Times New Roman"/>
          <w:lang w:eastAsia="et-EE"/>
        </w:rPr>
        <w:t>iga</w:t>
      </w:r>
      <w:r w:rsidRPr="00614743">
        <w:rPr>
          <w:rFonts w:eastAsia="Times New Roman"/>
          <w:lang w:eastAsia="et-EE"/>
        </w:rPr>
        <w:t xml:space="preserve"> 6 järgmises sõnastuses:</w:t>
      </w:r>
    </w:p>
    <w:p w14:paraId="22F07FAE" w14:textId="77777777" w:rsidR="00466B42" w:rsidRPr="00614743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7F5EF7B2" w14:textId="67FE4473" w:rsidR="00AC1DB5" w:rsidRDefault="00466B42" w:rsidP="00466B42">
      <w:pPr>
        <w:spacing w:after="160" w:line="259" w:lineRule="auto"/>
        <w:rPr>
          <w:rFonts w:eastAsia="Times New Roman"/>
          <w:lang w:eastAsia="et-EE"/>
        </w:rPr>
      </w:pPr>
      <w:r w:rsidRPr="00614743">
        <w:rPr>
          <w:rFonts w:eastAsia="Times New Roman"/>
          <w:lang w:eastAsia="et-EE"/>
        </w:rPr>
        <w:t>„</w:t>
      </w:r>
      <w:r w:rsidRPr="00614743">
        <w:t>6)</w:t>
      </w:r>
      <w:r>
        <w:t> </w:t>
      </w:r>
      <w:r w:rsidRPr="00614743">
        <w:t>ärimudeli muutmisest tuleneva materiaalse vara ja selle kasutamiseks vajamineva immateriaalse vara omandamine.</w:t>
      </w:r>
      <w:r w:rsidRPr="00614743">
        <w:rPr>
          <w:rFonts w:eastAsia="Times New Roman"/>
          <w:lang w:eastAsia="et-EE"/>
        </w:rPr>
        <w:t>“;</w:t>
      </w:r>
    </w:p>
    <w:p w14:paraId="10DF69B0" w14:textId="77777777" w:rsidR="00AC1DB5" w:rsidRDefault="00AC1DB5" w:rsidP="00466B42">
      <w:pPr>
        <w:spacing w:line="240" w:lineRule="auto"/>
        <w:rPr>
          <w:rFonts w:eastAsia="Times New Roman"/>
          <w:b/>
          <w:bCs/>
          <w:lang w:eastAsia="et-EE"/>
        </w:rPr>
      </w:pPr>
    </w:p>
    <w:p w14:paraId="3F05E47E" w14:textId="77777777" w:rsidR="00AC1DB5" w:rsidRDefault="00AC1DB5" w:rsidP="00466B42">
      <w:pPr>
        <w:spacing w:line="240" w:lineRule="auto"/>
        <w:rPr>
          <w:rFonts w:eastAsia="Times New Roman"/>
          <w:b/>
          <w:bCs/>
          <w:lang w:eastAsia="et-EE"/>
        </w:rPr>
      </w:pPr>
    </w:p>
    <w:p w14:paraId="41A051B1" w14:textId="0D66E257" w:rsidR="00466B42" w:rsidRPr="00D067ED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5</w:t>
      </w:r>
      <w:r w:rsidRPr="00D067ED">
        <w:rPr>
          <w:rFonts w:eastAsia="Times New Roman"/>
          <w:b/>
          <w:bCs/>
          <w:lang w:eastAsia="et-EE"/>
        </w:rPr>
        <w:t>)</w:t>
      </w:r>
      <w:r w:rsidRPr="00D067ED">
        <w:rPr>
          <w:rFonts w:eastAsia="Times New Roman"/>
          <w:lang w:eastAsia="et-EE"/>
        </w:rPr>
        <w:t xml:space="preserve"> paragrahvi 7 </w:t>
      </w:r>
      <w:r>
        <w:rPr>
          <w:rFonts w:eastAsia="Times New Roman"/>
          <w:lang w:eastAsia="et-EE"/>
        </w:rPr>
        <w:t xml:space="preserve">täiendatakse </w:t>
      </w:r>
      <w:r w:rsidRPr="00D067ED">
        <w:rPr>
          <w:rFonts w:eastAsia="Times New Roman"/>
          <w:lang w:eastAsia="et-EE"/>
        </w:rPr>
        <w:t>lõi</w:t>
      </w:r>
      <w:r>
        <w:rPr>
          <w:rFonts w:eastAsia="Times New Roman"/>
          <w:lang w:eastAsia="et-EE"/>
        </w:rPr>
        <w:t>k</w:t>
      </w:r>
      <w:r w:rsidRPr="00D067ED">
        <w:rPr>
          <w:rFonts w:eastAsia="Times New Roman"/>
          <w:lang w:eastAsia="et-EE"/>
        </w:rPr>
        <w:t>e</w:t>
      </w:r>
      <w:r>
        <w:rPr>
          <w:rFonts w:eastAsia="Times New Roman"/>
          <w:lang w:eastAsia="et-EE"/>
        </w:rPr>
        <w:t>ga</w:t>
      </w:r>
      <w:r w:rsidRPr="00D067ED">
        <w:rPr>
          <w:rFonts w:eastAsia="Times New Roman"/>
          <w:lang w:eastAsia="et-EE"/>
        </w:rPr>
        <w:t xml:space="preserve"> 5</w:t>
      </w:r>
      <w:r w:rsidRPr="00D067ED">
        <w:rPr>
          <w:rFonts w:eastAsia="Times New Roman"/>
          <w:vertAlign w:val="superscript"/>
          <w:lang w:eastAsia="et-EE"/>
        </w:rPr>
        <w:t>1</w:t>
      </w:r>
      <w:r w:rsidRPr="00D067ED">
        <w:rPr>
          <w:rFonts w:eastAsia="Times New Roman"/>
          <w:lang w:eastAsia="et-EE"/>
        </w:rPr>
        <w:t xml:space="preserve"> järgmises sõnastuses:</w:t>
      </w:r>
    </w:p>
    <w:p w14:paraId="3E6AC1E7" w14:textId="77777777" w:rsidR="00466B42" w:rsidRPr="00D067ED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209D8327" w14:textId="77777777" w:rsidR="00466B42" w:rsidRDefault="00466B42" w:rsidP="00466B42">
      <w:pPr>
        <w:spacing w:line="240" w:lineRule="auto"/>
      </w:pPr>
      <w:r w:rsidRPr="00D067ED">
        <w:rPr>
          <w:rFonts w:eastAsia="Times New Roman"/>
          <w:lang w:eastAsia="et-EE"/>
        </w:rPr>
        <w:t>„</w:t>
      </w:r>
      <w:r w:rsidRPr="00D067ED">
        <w:t>(5</w:t>
      </w:r>
      <w:r w:rsidRPr="00D067ED">
        <w:rPr>
          <w:vertAlign w:val="superscript"/>
        </w:rPr>
        <w:t>1</w:t>
      </w:r>
      <w:r w:rsidRPr="00D067ED">
        <w:t>)</w:t>
      </w:r>
      <w:r>
        <w:t> </w:t>
      </w:r>
      <w:r w:rsidRPr="00D067ED">
        <w:t>Lõike 5 punkti</w:t>
      </w:r>
      <w:r>
        <w:t>s</w:t>
      </w:r>
      <w:r w:rsidRPr="00D067ED">
        <w:t xml:space="preserve"> 6</w:t>
      </w:r>
      <w:r>
        <w:t xml:space="preserve"> sätestatud</w:t>
      </w:r>
      <w:r w:rsidRPr="00D067ED">
        <w:t xml:space="preserve"> tegevust toetatakse tingimusel, et </w:t>
      </w:r>
      <w:r>
        <w:t xml:space="preserve">see </w:t>
      </w:r>
      <w:r w:rsidRPr="00D067ED">
        <w:t>on seotud uue toote tootmise või ettevõtja kogu tootmisprotsessi täieliku ümberkorraldamisega üldise grupierandi</w:t>
      </w:r>
      <w:r w:rsidRPr="002D734C">
        <w:t xml:space="preserve"> määruse artikli</w:t>
      </w:r>
      <w:r>
        <w:t> </w:t>
      </w:r>
      <w:r w:rsidRPr="002D734C">
        <w:t>2 punkti</w:t>
      </w:r>
      <w:r>
        <w:t> </w:t>
      </w:r>
      <w:r w:rsidRPr="002D734C">
        <w:t xml:space="preserve">49 </w:t>
      </w:r>
      <w:r>
        <w:t>tähenduses</w:t>
      </w:r>
      <w:r w:rsidRPr="002D734C">
        <w:t>.</w:t>
      </w:r>
      <w:r>
        <w:t xml:space="preserve"> </w:t>
      </w:r>
      <w:r w:rsidRPr="00771111">
        <w:t>Suurettevõtja</w:t>
      </w:r>
      <w:r>
        <w:t xml:space="preserve"> puhul toetatakse </w:t>
      </w:r>
      <w:r w:rsidRPr="00D067ED">
        <w:t>uue toote tootmis</w:t>
      </w:r>
      <w:r>
        <w:t xml:space="preserve">t tingimusel, et vara omandatakse uueks tegevusalaks üldise grupierandi määruse artikli 2 punkti 51 tähenduses, millel peab </w:t>
      </w:r>
      <w:r w:rsidRPr="001A752C">
        <w:t xml:space="preserve">olema olemasolevast </w:t>
      </w:r>
      <w:r>
        <w:t>tegevusalast</w:t>
      </w:r>
      <w:r w:rsidRPr="001A752C">
        <w:t xml:space="preserve"> erinev </w:t>
      </w:r>
      <w:r w:rsidRPr="00DB2A18">
        <w:rPr>
          <w:color w:val="202020"/>
          <w:shd w:val="clear" w:color="auto" w:fill="FFFFFF"/>
        </w:rPr>
        <w:t>justiitsministri 28. detsembri 2005. a määruse nr 59 „Kohtule dokumentide esitamise kord” lisas 16 „Eesti majanduse tegevusalade klassifikaator (EMTAK)”</w:t>
      </w:r>
      <w:r w:rsidRPr="00771111">
        <w:t xml:space="preserve"> </w:t>
      </w:r>
      <w:r>
        <w:t xml:space="preserve">toodud </w:t>
      </w:r>
      <w:r w:rsidRPr="00771111">
        <w:t>neljakohaline kood</w:t>
      </w:r>
      <w:r>
        <w:t>.“;</w:t>
      </w:r>
    </w:p>
    <w:p w14:paraId="55BD268A" w14:textId="77777777" w:rsidR="00466B42" w:rsidRPr="00F75575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547C5EE3" w14:textId="77777777" w:rsidR="00466B42" w:rsidRPr="00F75575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6</w:t>
      </w:r>
      <w:r w:rsidRPr="00F75575">
        <w:rPr>
          <w:rFonts w:eastAsia="Times New Roman"/>
          <w:b/>
          <w:bCs/>
          <w:lang w:eastAsia="et-EE"/>
        </w:rPr>
        <w:t>)</w:t>
      </w:r>
      <w:r w:rsidRPr="00F75575">
        <w:rPr>
          <w:rFonts w:eastAsia="Times New Roman"/>
          <w:lang w:eastAsia="et-EE"/>
        </w:rPr>
        <w:t xml:space="preserve"> paragrahvi 8 </w:t>
      </w:r>
      <w:r>
        <w:rPr>
          <w:rFonts w:eastAsia="Times New Roman"/>
          <w:lang w:eastAsia="et-EE"/>
        </w:rPr>
        <w:t>täiendatakse</w:t>
      </w:r>
      <w:r w:rsidRPr="00F75575">
        <w:rPr>
          <w:rFonts w:eastAsia="Times New Roman"/>
          <w:lang w:eastAsia="et-EE"/>
        </w:rPr>
        <w:t xml:space="preserve"> lõi</w:t>
      </w:r>
      <w:r>
        <w:rPr>
          <w:rFonts w:eastAsia="Times New Roman"/>
          <w:lang w:eastAsia="et-EE"/>
        </w:rPr>
        <w:t>getega</w:t>
      </w:r>
      <w:r w:rsidRPr="00F75575">
        <w:rPr>
          <w:rFonts w:eastAsia="Times New Roman"/>
          <w:lang w:eastAsia="et-EE"/>
        </w:rPr>
        <w:t xml:space="preserve"> 6</w:t>
      </w:r>
      <w:r w:rsidRPr="00F75575">
        <w:rPr>
          <w:rFonts w:eastAsia="Times New Roman"/>
          <w:vertAlign w:val="superscript"/>
          <w:lang w:eastAsia="et-EE"/>
        </w:rPr>
        <w:t>1</w:t>
      </w:r>
      <w:r w:rsidRPr="00F75575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 xml:space="preserve">ja 6² </w:t>
      </w:r>
      <w:r w:rsidRPr="00F75575">
        <w:rPr>
          <w:rFonts w:eastAsia="Times New Roman"/>
          <w:lang w:eastAsia="et-EE"/>
        </w:rPr>
        <w:t>järgmises sõnastuses:</w:t>
      </w:r>
    </w:p>
    <w:p w14:paraId="425113BD" w14:textId="77777777" w:rsidR="00466B42" w:rsidRPr="00F75575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3B6F1B5E" w14:textId="77777777" w:rsidR="00466B42" w:rsidRDefault="00466B42" w:rsidP="00466B42">
      <w:pPr>
        <w:spacing w:line="240" w:lineRule="auto"/>
        <w:rPr>
          <w:color w:val="202020"/>
          <w:shd w:val="clear" w:color="auto" w:fill="FFFFFF"/>
        </w:rPr>
      </w:pPr>
      <w:r w:rsidRPr="00F75575">
        <w:rPr>
          <w:color w:val="202020"/>
          <w:shd w:val="clear" w:color="auto" w:fill="FFFFFF"/>
        </w:rPr>
        <w:t>„(6</w:t>
      </w:r>
      <w:r w:rsidRPr="00F75575">
        <w:rPr>
          <w:color w:val="202020"/>
          <w:shd w:val="clear" w:color="auto" w:fill="FFFFFF"/>
          <w:vertAlign w:val="superscript"/>
        </w:rPr>
        <w:t>1</w:t>
      </w:r>
      <w:r w:rsidRPr="00F75575">
        <w:rPr>
          <w:color w:val="202020"/>
          <w:shd w:val="clear" w:color="auto" w:fill="FFFFFF"/>
        </w:rPr>
        <w:t xml:space="preserve">) Paragrahvi 7 lõike 5 punktis 6 nimetatud tegevuse elluviimiseks on toetatav materiaalse ja immateriaalse vara turutingimustel ostmise või kapitalirendi vormis omandamise kulu, mis vastab üldise grupierandi määruse artikli 14 lõigetele 6 ja 8. Suurettevõtja puhul peab omandatav vara olema uus. </w:t>
      </w:r>
      <w:r w:rsidRPr="00F75575">
        <w:t xml:space="preserve">Suurettevõtja puhul on immateriaalse vara kulud </w:t>
      </w:r>
      <w:r>
        <w:t>toetatavad</w:t>
      </w:r>
      <w:r w:rsidRPr="0017191E">
        <w:t xml:space="preserve"> kuni 50</w:t>
      </w:r>
      <w:r>
        <w:t xml:space="preserve"> protsendi</w:t>
      </w:r>
      <w:r w:rsidRPr="0017191E">
        <w:t xml:space="preserve"> ulatuses alginvesteeringu kõigist </w:t>
      </w:r>
      <w:r>
        <w:t>toetatavatest</w:t>
      </w:r>
      <w:r w:rsidRPr="0017191E">
        <w:t xml:space="preserve"> kuludest. </w:t>
      </w:r>
      <w:r w:rsidRPr="0017191E">
        <w:rPr>
          <w:color w:val="202020"/>
          <w:shd w:val="clear" w:color="auto" w:fill="FFFFFF"/>
        </w:rPr>
        <w:t xml:space="preserve">Vara </w:t>
      </w:r>
      <w:r w:rsidRPr="00B84138">
        <w:rPr>
          <w:color w:val="202020"/>
          <w:shd w:val="clear" w:color="auto" w:fill="FFFFFF"/>
        </w:rPr>
        <w:t xml:space="preserve">seadistamise, </w:t>
      </w:r>
      <w:r w:rsidRPr="003812B5">
        <w:rPr>
          <w:shd w:val="clear" w:color="auto" w:fill="FFFFFF"/>
        </w:rPr>
        <w:t>transpordi</w:t>
      </w:r>
      <w:r>
        <w:rPr>
          <w:shd w:val="clear" w:color="auto" w:fill="FFFFFF"/>
        </w:rPr>
        <w:t>kulu</w:t>
      </w:r>
      <w:r w:rsidRPr="003812B5">
        <w:rPr>
          <w:shd w:val="clear" w:color="auto" w:fill="FFFFFF"/>
        </w:rPr>
        <w:t xml:space="preserve"> ja transportimiseks vajalik kindlustuskulu </w:t>
      </w:r>
      <w:r w:rsidRPr="00B84138">
        <w:rPr>
          <w:color w:val="202020"/>
          <w:shd w:val="clear" w:color="auto" w:fill="FFFFFF"/>
        </w:rPr>
        <w:t>on abikõlblik juhul, kui see sisaldub vastava vara soetusmaksumuses.</w:t>
      </w:r>
    </w:p>
    <w:p w14:paraId="3079B998" w14:textId="77777777" w:rsidR="00466B42" w:rsidRDefault="00466B42" w:rsidP="00466B42">
      <w:pPr>
        <w:spacing w:line="240" w:lineRule="auto"/>
      </w:pPr>
    </w:p>
    <w:p w14:paraId="48D1CAE5" w14:textId="77777777" w:rsidR="00466B42" w:rsidRDefault="00466B42" w:rsidP="00466B42">
      <w:pPr>
        <w:spacing w:line="240" w:lineRule="auto"/>
        <w:rPr>
          <w:color w:val="202020"/>
          <w:shd w:val="clear" w:color="auto" w:fill="FFFFFF"/>
        </w:rPr>
      </w:pPr>
      <w:r>
        <w:t>(6</w:t>
      </w:r>
      <w:r w:rsidRPr="00E02BE2">
        <w:rPr>
          <w:vertAlign w:val="superscript"/>
        </w:rPr>
        <w:t>2</w:t>
      </w:r>
      <w:r w:rsidRPr="00E02BE2">
        <w:t xml:space="preserve">) </w:t>
      </w:r>
      <w:r>
        <w:t xml:space="preserve">Uue toote tootmiseks </w:t>
      </w:r>
      <w:r w:rsidRPr="00E02BE2">
        <w:t xml:space="preserve">suurettevõtjale või </w:t>
      </w:r>
      <w:r>
        <w:t xml:space="preserve">väike- ja keskmise suurusega ettevõtjale </w:t>
      </w:r>
      <w:r w:rsidRPr="00E02BE2">
        <w:t xml:space="preserve">antud </w:t>
      </w:r>
      <w:r>
        <w:t>toetuse</w:t>
      </w:r>
      <w:r w:rsidRPr="00E02BE2">
        <w:t xml:space="preserve"> puhul peavad </w:t>
      </w:r>
      <w:r>
        <w:t>toetatavad</w:t>
      </w:r>
      <w:r w:rsidRPr="00E02BE2">
        <w:t xml:space="preserve"> kulud ületama vähemalt 200</w:t>
      </w:r>
      <w:r>
        <w:t xml:space="preserve"> protsenti</w:t>
      </w:r>
      <w:r w:rsidRPr="00E02BE2">
        <w:t xml:space="preserve"> uuesti kasutatava vara arvestuslikku väärtust, mis on registreeritud tööde algusele </w:t>
      </w:r>
      <w:r w:rsidRPr="00CE3C9B">
        <w:t>vahetult</w:t>
      </w:r>
      <w:r>
        <w:t xml:space="preserve"> </w:t>
      </w:r>
      <w:r w:rsidRPr="00E02BE2">
        <w:t>eelne</w:t>
      </w:r>
      <w:r>
        <w:t>nud</w:t>
      </w:r>
      <w:r w:rsidRPr="00E02BE2">
        <w:t xml:space="preserve"> </w:t>
      </w:r>
      <w:r w:rsidRPr="00F75575">
        <w:t>majandusaastal.“;</w:t>
      </w:r>
    </w:p>
    <w:p w14:paraId="33618264" w14:textId="77777777" w:rsidR="00466B42" w:rsidRDefault="00466B42" w:rsidP="00466B42">
      <w:pPr>
        <w:spacing w:line="240" w:lineRule="auto"/>
        <w:rPr>
          <w:rFonts w:eastAsia="Times New Roman"/>
          <w:b/>
          <w:bCs/>
          <w:lang w:eastAsia="et-EE"/>
        </w:rPr>
      </w:pPr>
    </w:p>
    <w:p w14:paraId="3ED40FF1" w14:textId="77777777" w:rsidR="00466B42" w:rsidRPr="0017191E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7</w:t>
      </w:r>
      <w:r w:rsidRPr="0017191E">
        <w:rPr>
          <w:rFonts w:eastAsia="Times New Roman"/>
          <w:b/>
          <w:bCs/>
          <w:lang w:eastAsia="et-EE"/>
        </w:rPr>
        <w:t>)</w:t>
      </w:r>
      <w:r w:rsidRPr="0017191E">
        <w:rPr>
          <w:rFonts w:eastAsia="Times New Roman"/>
          <w:lang w:eastAsia="et-EE"/>
        </w:rPr>
        <w:t xml:space="preserve"> paragrahvi 10 </w:t>
      </w:r>
      <w:r>
        <w:rPr>
          <w:rFonts w:eastAsia="Times New Roman"/>
          <w:lang w:eastAsia="et-EE"/>
        </w:rPr>
        <w:t>täiendatakse</w:t>
      </w:r>
      <w:r w:rsidRPr="0017191E">
        <w:rPr>
          <w:rFonts w:eastAsia="Times New Roman"/>
          <w:lang w:eastAsia="et-EE"/>
        </w:rPr>
        <w:t xml:space="preserve"> lõi</w:t>
      </w:r>
      <w:r>
        <w:rPr>
          <w:rFonts w:eastAsia="Times New Roman"/>
          <w:lang w:eastAsia="et-EE"/>
        </w:rPr>
        <w:t>k</w:t>
      </w:r>
      <w:r w:rsidRPr="0017191E">
        <w:rPr>
          <w:rFonts w:eastAsia="Times New Roman"/>
          <w:lang w:eastAsia="et-EE"/>
        </w:rPr>
        <w:t>e</w:t>
      </w:r>
      <w:r>
        <w:rPr>
          <w:rFonts w:eastAsia="Times New Roman"/>
          <w:lang w:eastAsia="et-EE"/>
        </w:rPr>
        <w:t>ga</w:t>
      </w:r>
      <w:r w:rsidRPr="0017191E">
        <w:rPr>
          <w:rFonts w:eastAsia="Times New Roman"/>
          <w:lang w:eastAsia="et-EE"/>
        </w:rPr>
        <w:t xml:space="preserve"> 4</w:t>
      </w:r>
      <w:r w:rsidRPr="0017191E">
        <w:rPr>
          <w:rFonts w:eastAsia="Times New Roman"/>
          <w:vertAlign w:val="superscript"/>
          <w:lang w:eastAsia="et-EE"/>
        </w:rPr>
        <w:t>1</w:t>
      </w:r>
      <w:r w:rsidRPr="0017191E">
        <w:rPr>
          <w:rFonts w:eastAsia="Times New Roman"/>
          <w:lang w:eastAsia="et-EE"/>
        </w:rPr>
        <w:t xml:space="preserve"> järgmises sõnastuses:</w:t>
      </w:r>
    </w:p>
    <w:p w14:paraId="687473AE" w14:textId="77777777" w:rsidR="00466B42" w:rsidRPr="0017191E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5686BFF6" w14:textId="77777777" w:rsidR="00466B42" w:rsidRPr="00032F85" w:rsidRDefault="00466B42" w:rsidP="00466B42">
      <w:pPr>
        <w:spacing w:line="240" w:lineRule="auto"/>
        <w:rPr>
          <w:color w:val="000000" w:themeColor="text1"/>
        </w:rPr>
      </w:pPr>
      <w:r w:rsidRPr="00032F85">
        <w:rPr>
          <w:color w:val="000000" w:themeColor="text1"/>
        </w:rPr>
        <w:t>„(4</w:t>
      </w:r>
      <w:r w:rsidRPr="00032F85">
        <w:rPr>
          <w:color w:val="000000" w:themeColor="text1"/>
          <w:vertAlign w:val="superscript"/>
        </w:rPr>
        <w:t>1</w:t>
      </w:r>
      <w:r w:rsidRPr="00032F85">
        <w:rPr>
          <w:color w:val="000000" w:themeColor="text1"/>
        </w:rPr>
        <w:t>) Kui toetus</w:t>
      </w:r>
      <w:r>
        <w:rPr>
          <w:color w:val="000000" w:themeColor="text1"/>
        </w:rPr>
        <w:t>t</w:t>
      </w:r>
      <w:r w:rsidRPr="00032F85">
        <w:rPr>
          <w:color w:val="000000" w:themeColor="text1"/>
        </w:rPr>
        <w:t xml:space="preserve"> antakse regionaalabina üldise grupierandi määruse artikli 14 alusel, peab toetuse maksimaalne osakaal vastama toetuse määramise hetkel kehtivas Eesti regionaalabi kaardis esitatud osakaalule.“;</w:t>
      </w:r>
    </w:p>
    <w:p w14:paraId="4CF448B2" w14:textId="5C1F796E" w:rsidR="00466B42" w:rsidRPr="00A75133" w:rsidRDefault="00466B42" w:rsidP="00466B42">
      <w:pPr>
        <w:pStyle w:val="pf0"/>
        <w:jc w:val="both"/>
      </w:pPr>
      <w:r w:rsidRPr="00072720">
        <w:rPr>
          <w:b/>
          <w:bCs/>
        </w:rPr>
        <w:t>8)</w:t>
      </w:r>
      <w:r w:rsidRPr="00A75133">
        <w:t xml:space="preserve"> paragrahvi 11 lõike 2 punktis 2 asendatakse </w:t>
      </w:r>
      <w:r>
        <w:t>tekst</w:t>
      </w:r>
      <w:r w:rsidR="008827FC">
        <w:t>iosa</w:t>
      </w:r>
      <w:r>
        <w:t xml:space="preserve"> </w:t>
      </w:r>
      <w:r w:rsidRPr="00BD5237">
        <w:t>„ Euroopa Komisjoni määruste kohaselt antud vähese tähtsusega abiga ei tohi käesoleva ja kahe eelneva majandusaasta jooksul ületada 200</w:t>
      </w:r>
      <w:r w:rsidR="00A84A50">
        <w:t> </w:t>
      </w:r>
      <w:r w:rsidRPr="00BD5237">
        <w:t>000 eurot“ teksti</w:t>
      </w:r>
      <w:r w:rsidR="008827FC">
        <w:t>osa</w:t>
      </w:r>
      <w:r w:rsidRPr="00BD5237">
        <w:t>ga „vähese tähtsusega abiga ei tohi ületada vähese tähtsusega abi määruse artik</w:t>
      </w:r>
      <w:r w:rsidR="00C20C2D">
        <w:t>li</w:t>
      </w:r>
      <w:r w:rsidRPr="00BD5237">
        <w:t xml:space="preserve"> 3 lõikes 2 sätestatud ülemmäära“;</w:t>
      </w:r>
    </w:p>
    <w:p w14:paraId="5295B818" w14:textId="77777777" w:rsidR="00466B42" w:rsidRPr="00A75133" w:rsidRDefault="00466B42" w:rsidP="00466B42">
      <w:pPr>
        <w:spacing w:line="240" w:lineRule="auto"/>
        <w:rPr>
          <w:rFonts w:eastAsia="Times New Roman"/>
          <w:lang w:eastAsia="et-EE"/>
        </w:rPr>
      </w:pPr>
      <w:r w:rsidRPr="00072720">
        <w:rPr>
          <w:rFonts w:eastAsia="Times New Roman"/>
          <w:b/>
          <w:bCs/>
          <w:lang w:eastAsia="et-EE"/>
        </w:rPr>
        <w:t>9)</w:t>
      </w:r>
      <w:r w:rsidRPr="00A75133">
        <w:rPr>
          <w:rFonts w:eastAsia="Times New Roman"/>
          <w:lang w:eastAsia="et-EE"/>
        </w:rPr>
        <w:t xml:space="preserve"> paragrahvi 11 lõike 2 punkt 3 sõnastatakse järgmiselt:</w:t>
      </w:r>
    </w:p>
    <w:p w14:paraId="54C44BFB" w14:textId="77777777" w:rsidR="00466B42" w:rsidRPr="00FD4534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09A3BF2B" w14:textId="046F0AA8" w:rsidR="00466B42" w:rsidRPr="00FD4534" w:rsidRDefault="00466B42" w:rsidP="00466B42">
      <w:pPr>
        <w:spacing w:line="240" w:lineRule="auto"/>
        <w:rPr>
          <w:rFonts w:eastAsia="Times New Roman"/>
          <w:lang w:eastAsia="et-EE"/>
        </w:rPr>
      </w:pPr>
      <w:r w:rsidRPr="00FD4534">
        <w:rPr>
          <w:rFonts w:eastAsia="Times New Roman"/>
          <w:lang w:eastAsia="et-EE"/>
        </w:rPr>
        <w:t xml:space="preserve">„3) </w:t>
      </w:r>
      <w:r w:rsidRPr="00FD4534">
        <w:rPr>
          <w:rStyle w:val="cf01"/>
          <w:rFonts w:ascii="Times New Roman" w:hAnsi="Times New Roman" w:cs="Times New Roman"/>
          <w:sz w:val="24"/>
          <w:szCs w:val="24"/>
        </w:rPr>
        <w:t xml:space="preserve">kui taotleja on saanud </w:t>
      </w:r>
      <w:r w:rsidR="000A3119">
        <w:rPr>
          <w:rStyle w:val="cf01"/>
          <w:rFonts w:ascii="Times New Roman" w:hAnsi="Times New Roman" w:cs="Times New Roman"/>
          <w:sz w:val="24"/>
          <w:szCs w:val="24"/>
        </w:rPr>
        <w:t>käesolevas määruses nimetamata</w:t>
      </w:r>
      <w:r w:rsidRPr="00FD4534">
        <w:rPr>
          <w:rStyle w:val="cf01"/>
          <w:rFonts w:ascii="Times New Roman" w:hAnsi="Times New Roman" w:cs="Times New Roman"/>
          <w:sz w:val="24"/>
          <w:szCs w:val="24"/>
        </w:rPr>
        <w:t xml:space="preserve"> vähese tähtsusega abi, võetakse toetuse andmisel arvesse vähese tähtsusega abi määruse artiklis 5 sätestatud erinevateks eesmärkideks antava vähese tähtsusega abi kumuleerimisreegleid</w:t>
      </w:r>
      <w:r w:rsidRPr="00FD4534">
        <w:rPr>
          <w:rFonts w:eastAsia="Times New Roman"/>
          <w:lang w:eastAsia="et-EE"/>
        </w:rPr>
        <w:t>;“</w:t>
      </w:r>
      <w:r w:rsidR="00026700">
        <w:rPr>
          <w:rFonts w:eastAsia="Times New Roman"/>
          <w:lang w:eastAsia="et-EE"/>
        </w:rPr>
        <w:t>;</w:t>
      </w:r>
    </w:p>
    <w:p w14:paraId="69E98612" w14:textId="77777777" w:rsidR="00466B42" w:rsidRDefault="00466B42" w:rsidP="00466B42">
      <w:pPr>
        <w:spacing w:line="240" w:lineRule="auto"/>
        <w:rPr>
          <w:rFonts w:eastAsia="Times New Roman"/>
          <w:b/>
          <w:bCs/>
          <w:lang w:eastAsia="et-EE"/>
        </w:rPr>
      </w:pPr>
    </w:p>
    <w:p w14:paraId="3EC95C3F" w14:textId="77777777" w:rsidR="00466B42" w:rsidRPr="00450C04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10</w:t>
      </w:r>
      <w:r w:rsidRPr="00450C04">
        <w:rPr>
          <w:rFonts w:eastAsia="Times New Roman"/>
          <w:b/>
          <w:bCs/>
          <w:lang w:eastAsia="et-EE"/>
        </w:rPr>
        <w:t>)</w:t>
      </w:r>
      <w:r w:rsidRPr="00450C04">
        <w:rPr>
          <w:rFonts w:eastAsia="Times New Roman"/>
          <w:lang w:eastAsia="et-EE"/>
        </w:rPr>
        <w:t xml:space="preserve"> paragrahvi 12 lõi</w:t>
      </w:r>
      <w:r>
        <w:rPr>
          <w:rFonts w:eastAsia="Times New Roman"/>
          <w:lang w:eastAsia="et-EE"/>
        </w:rPr>
        <w:t>get</w:t>
      </w:r>
      <w:r w:rsidRPr="00450C04">
        <w:rPr>
          <w:rFonts w:eastAsia="Times New Roman"/>
          <w:lang w:eastAsia="et-EE"/>
        </w:rPr>
        <w:t xml:space="preserve"> 1 </w:t>
      </w:r>
      <w:r>
        <w:rPr>
          <w:rFonts w:eastAsia="Times New Roman"/>
          <w:lang w:eastAsia="et-EE"/>
        </w:rPr>
        <w:t>täiendatakse</w:t>
      </w:r>
      <w:r w:rsidRPr="00450C04">
        <w:rPr>
          <w:rFonts w:eastAsia="Times New Roman"/>
          <w:lang w:eastAsia="et-EE"/>
        </w:rPr>
        <w:t xml:space="preserve"> punkt</w:t>
      </w:r>
      <w:r>
        <w:rPr>
          <w:rFonts w:eastAsia="Times New Roman"/>
          <w:lang w:eastAsia="et-EE"/>
        </w:rPr>
        <w:t>iga</w:t>
      </w:r>
      <w:r w:rsidRPr="00450C04">
        <w:rPr>
          <w:rFonts w:eastAsia="Times New Roman"/>
          <w:lang w:eastAsia="et-EE"/>
        </w:rPr>
        <w:t xml:space="preserve"> 19 järgmises sõnastuses:</w:t>
      </w:r>
    </w:p>
    <w:p w14:paraId="4DE4B274" w14:textId="77777777" w:rsidR="00466B42" w:rsidRPr="00450C04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599EF69D" w14:textId="64D1BD08" w:rsidR="00AC1DB5" w:rsidRDefault="00466B42" w:rsidP="00466B42">
      <w:pPr>
        <w:spacing w:line="259" w:lineRule="auto"/>
        <w:rPr>
          <w:color w:val="202020"/>
          <w:shd w:val="clear" w:color="auto" w:fill="FFFFFF"/>
        </w:rPr>
      </w:pPr>
      <w:r w:rsidRPr="00450C04">
        <w:rPr>
          <w:color w:val="202020"/>
          <w:shd w:val="clear" w:color="auto" w:fill="FFFFFF"/>
        </w:rPr>
        <w:t>„19)</w:t>
      </w:r>
      <w:r>
        <w:rPr>
          <w:color w:val="202020"/>
          <w:shd w:val="clear" w:color="auto" w:fill="FFFFFF"/>
        </w:rPr>
        <w:t> </w:t>
      </w:r>
      <w:r w:rsidRPr="00450C04">
        <w:rPr>
          <w:color w:val="202020"/>
          <w:shd w:val="clear" w:color="auto" w:fill="FFFFFF"/>
        </w:rPr>
        <w:t xml:space="preserve">taotleja kinnitus, et kahe aasta jooksul enne taotluse esitamist ei ole toimunud ümberpaigutamist üldise grupierandi määruse artikli 2 punkti 61a tähenduses ettevõttesse, kuhu taotletud </w:t>
      </w:r>
      <w:r>
        <w:rPr>
          <w:color w:val="202020"/>
          <w:shd w:val="clear" w:color="auto" w:fill="FFFFFF"/>
        </w:rPr>
        <w:t>toetusest</w:t>
      </w:r>
      <w:r w:rsidRPr="00450C04">
        <w:rPr>
          <w:color w:val="202020"/>
          <w:shd w:val="clear" w:color="auto" w:fill="FFFFFF"/>
        </w:rPr>
        <w:t xml:space="preserve"> tehakse investeering, ning et ta</w:t>
      </w:r>
      <w:r>
        <w:rPr>
          <w:color w:val="202020"/>
          <w:shd w:val="clear" w:color="auto" w:fill="FFFFFF"/>
        </w:rPr>
        <w:t>otleja</w:t>
      </w:r>
      <w:r w:rsidRPr="00450C04">
        <w:rPr>
          <w:color w:val="202020"/>
          <w:shd w:val="clear" w:color="auto" w:fill="FFFFFF"/>
        </w:rPr>
        <w:t xml:space="preserve"> võtab kohustuse, et ümberpaigutamist ei toimu kahe aasta jooksul pärast seda, kui </w:t>
      </w:r>
      <w:r>
        <w:rPr>
          <w:color w:val="202020"/>
          <w:shd w:val="clear" w:color="auto" w:fill="FFFFFF"/>
        </w:rPr>
        <w:t>toetusest</w:t>
      </w:r>
      <w:r w:rsidRPr="00450C04">
        <w:rPr>
          <w:color w:val="202020"/>
          <w:shd w:val="clear" w:color="auto" w:fill="FFFFFF"/>
        </w:rPr>
        <w:t xml:space="preserve"> on investeering tehtud.“;</w:t>
      </w:r>
    </w:p>
    <w:p w14:paraId="5D4DD164" w14:textId="77777777" w:rsidR="00AC1DB5" w:rsidRDefault="00AC1DB5">
      <w:pPr>
        <w:widowControl/>
        <w:suppressAutoHyphens w:val="0"/>
        <w:spacing w:line="240" w:lineRule="auto"/>
        <w:jc w:val="left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br w:type="page"/>
      </w:r>
    </w:p>
    <w:p w14:paraId="4267C325" w14:textId="77777777" w:rsidR="00466B42" w:rsidRPr="009931FE" w:rsidRDefault="00466B42" w:rsidP="00466B42">
      <w:pPr>
        <w:spacing w:line="240" w:lineRule="auto"/>
        <w:rPr>
          <w:rFonts w:eastAsia="Times New Roman"/>
          <w:highlight w:val="yellow"/>
          <w:lang w:eastAsia="et-EE"/>
        </w:rPr>
      </w:pPr>
    </w:p>
    <w:p w14:paraId="21B641AD" w14:textId="77777777" w:rsidR="00466B42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>11</w:t>
      </w:r>
      <w:r w:rsidRPr="00607E2E">
        <w:rPr>
          <w:rFonts w:eastAsia="Times New Roman"/>
          <w:b/>
          <w:bCs/>
          <w:lang w:eastAsia="et-EE"/>
        </w:rPr>
        <w:t>)</w:t>
      </w:r>
      <w:r w:rsidRPr="00607E2E">
        <w:rPr>
          <w:rFonts w:eastAsia="Times New Roman"/>
          <w:lang w:eastAsia="et-EE"/>
        </w:rPr>
        <w:t xml:space="preserve"> paragrahvi 26</w:t>
      </w:r>
      <w:r>
        <w:rPr>
          <w:rFonts w:eastAsia="Times New Roman"/>
          <w:lang w:eastAsia="et-EE"/>
        </w:rPr>
        <w:t xml:space="preserve"> tekst loetakse lõikeks 1 ja paragrahvi täiendatakse lõikega 2 </w:t>
      </w:r>
      <w:r w:rsidRPr="00607E2E">
        <w:rPr>
          <w:rFonts w:eastAsia="Times New Roman"/>
          <w:lang w:eastAsia="et-EE"/>
        </w:rPr>
        <w:t>järgmises sõnastuses:</w:t>
      </w:r>
    </w:p>
    <w:p w14:paraId="68025E84" w14:textId="77777777" w:rsidR="00466B42" w:rsidRDefault="00466B42" w:rsidP="00466B42">
      <w:pPr>
        <w:spacing w:line="240" w:lineRule="auto"/>
        <w:rPr>
          <w:rFonts w:eastAsia="Times New Roman"/>
          <w:lang w:eastAsia="et-EE"/>
        </w:rPr>
      </w:pPr>
    </w:p>
    <w:p w14:paraId="3DF0D189" w14:textId="77777777" w:rsidR="00466B42" w:rsidRDefault="00466B42" w:rsidP="00466B42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„(2) Lõppsaaja, kellele antud toetus on investeeringuteks ette nähtud regionaalabi üldise grupierandi määruse artikli 14 tähenduses, kohustub lisaks lõikes 1 sätestatule:</w:t>
      </w:r>
    </w:p>
    <w:p w14:paraId="5AA3379B" w14:textId="77777777" w:rsidR="00466B42" w:rsidRDefault="00466B42" w:rsidP="00466B42">
      <w:pPr>
        <w:spacing w:line="259" w:lineRule="auto"/>
      </w:pPr>
      <w:r w:rsidRPr="002B5A7B">
        <w:t>1) säilitama investeeringu</w:t>
      </w:r>
      <w:r>
        <w:t xml:space="preserve"> alusel soetatud vara </w:t>
      </w:r>
      <w:r w:rsidRPr="002B5A7B">
        <w:t xml:space="preserve">pärast projekti </w:t>
      </w:r>
      <w:r>
        <w:t>lõppemist</w:t>
      </w:r>
      <w:r w:rsidRPr="002B5A7B">
        <w:t xml:space="preserve"> suurettevõtja puhul vähemalt viis aastat, väike</w:t>
      </w:r>
      <w:r>
        <w:t>-</w:t>
      </w:r>
      <w:r w:rsidRPr="002B5A7B">
        <w:t xml:space="preserve"> ja keskmise suurusega ettevõtja puh</w:t>
      </w:r>
      <w:r>
        <w:t>u</w:t>
      </w:r>
      <w:r w:rsidRPr="002B5A7B">
        <w:t xml:space="preserve">l </w:t>
      </w:r>
      <w:r>
        <w:t xml:space="preserve">vähemalt </w:t>
      </w:r>
      <w:r w:rsidRPr="002B5A7B">
        <w:t>kolm aastat</w:t>
      </w:r>
      <w:r>
        <w:t>;</w:t>
      </w:r>
    </w:p>
    <w:p w14:paraId="4299100C" w14:textId="77777777" w:rsidR="00466B42" w:rsidRPr="00072720" w:rsidRDefault="00466B42" w:rsidP="00466B42">
      <w:pPr>
        <w:spacing w:after="160" w:line="259" w:lineRule="auto"/>
      </w:pPr>
      <w:r w:rsidRPr="001B1276">
        <w:t>2) tagama, et materiaal</w:t>
      </w:r>
      <w:r>
        <w:t>n</w:t>
      </w:r>
      <w:r w:rsidRPr="001B1276">
        <w:t xml:space="preserve">e vara asendatakse sama funktsiooni täitva varaga, kui materiaalne vara on purunenud või </w:t>
      </w:r>
      <w:r w:rsidRPr="00D03790">
        <w:t xml:space="preserve">aegunud, tingimusel, et </w:t>
      </w:r>
      <w:r w:rsidRPr="002B5A7B">
        <w:t>asjaomases piirkonnas</w:t>
      </w:r>
      <w:r w:rsidRPr="00D03790">
        <w:t xml:space="preserve"> </w:t>
      </w:r>
      <w:r>
        <w:t xml:space="preserve">jätkatakse </w:t>
      </w:r>
      <w:r w:rsidRPr="00D03790">
        <w:t>majandustegevust</w:t>
      </w:r>
      <w:r w:rsidRPr="002B5A7B">
        <w:t xml:space="preserve"> </w:t>
      </w:r>
      <w:r w:rsidRPr="00072720">
        <w:t>punktis 1 sätestatud perioodi jooksul.“;</w:t>
      </w:r>
    </w:p>
    <w:p w14:paraId="050974EE" w14:textId="7EA79CE0" w:rsidR="00466B42" w:rsidRPr="00072720" w:rsidRDefault="00466B42" w:rsidP="00466B42">
      <w:pPr>
        <w:spacing w:after="160" w:line="259" w:lineRule="auto"/>
      </w:pPr>
      <w:r>
        <w:rPr>
          <w:b/>
          <w:bCs/>
        </w:rPr>
        <w:br/>
      </w:r>
      <w:r w:rsidRPr="00072720">
        <w:rPr>
          <w:b/>
          <w:bCs/>
        </w:rPr>
        <w:t>12)</w:t>
      </w:r>
      <w:r w:rsidRPr="00072720">
        <w:t xml:space="preserve"> </w:t>
      </w:r>
      <w:r w:rsidR="00026700">
        <w:t xml:space="preserve">määrust </w:t>
      </w:r>
      <w:r w:rsidR="00112061">
        <w:t>täienda</w:t>
      </w:r>
      <w:r w:rsidR="00026700">
        <w:t>takse</w:t>
      </w:r>
      <w:r w:rsidRPr="00072720">
        <w:t xml:space="preserve"> </w:t>
      </w:r>
      <w:r w:rsidR="00112061">
        <w:t>7. peatükiga järgmises</w:t>
      </w:r>
      <w:r w:rsidRPr="00072720">
        <w:t xml:space="preserve"> sõnastuses:</w:t>
      </w:r>
    </w:p>
    <w:p w14:paraId="03F3B8F1" w14:textId="437DB525" w:rsidR="00112061" w:rsidRPr="00391423" w:rsidRDefault="00466B42" w:rsidP="00391423">
      <w:pPr>
        <w:spacing w:after="160" w:line="259" w:lineRule="auto"/>
        <w:jc w:val="left"/>
        <w:rPr>
          <w:b/>
          <w:bCs/>
        </w:rPr>
      </w:pPr>
      <w:r w:rsidRPr="00072720">
        <w:t xml:space="preserve">„ </w:t>
      </w:r>
      <w:r w:rsidR="00112061" w:rsidRPr="00A84A50">
        <w:rPr>
          <w:b/>
          <w:bCs/>
        </w:rPr>
        <w:t>7. peatükk.</w:t>
      </w:r>
      <w:r w:rsidRPr="00A84A50">
        <w:rPr>
          <w:b/>
          <w:bCs/>
        </w:rPr>
        <w:t xml:space="preserve"> Määruse rakendamine</w:t>
      </w:r>
    </w:p>
    <w:p w14:paraId="22068CE3" w14:textId="522D306C" w:rsidR="00FC4C58" w:rsidRPr="00A84A50" w:rsidRDefault="00112061" w:rsidP="00A84A50">
      <w:pPr>
        <w:pStyle w:val="Tekst"/>
      </w:pPr>
      <w:r w:rsidRPr="00A84A50">
        <w:t xml:space="preserve">§ 28. </w:t>
      </w:r>
      <w:r w:rsidR="00FC4C58" w:rsidRPr="00A84A50">
        <w:t>Määruse rakendamine</w:t>
      </w:r>
    </w:p>
    <w:p w14:paraId="72552006" w14:textId="77777777" w:rsidR="00FC4C58" w:rsidRDefault="00FC4C58" w:rsidP="00A84A50">
      <w:pPr>
        <w:pStyle w:val="Tekst"/>
      </w:pPr>
    </w:p>
    <w:p w14:paraId="777E1275" w14:textId="78754034" w:rsidR="00DF382E" w:rsidRDefault="00466B42" w:rsidP="00A84A50">
      <w:pPr>
        <w:pStyle w:val="Tekst"/>
      </w:pPr>
      <w:r w:rsidRPr="00072720">
        <w:t>2024</w:t>
      </w:r>
      <w:r w:rsidR="00FD4534">
        <w:t>. aasta</w:t>
      </w:r>
      <w:r w:rsidRPr="00072720">
        <w:t xml:space="preserve"> jaanuaris</w:t>
      </w:r>
      <w:r w:rsidR="000F44E7">
        <w:t xml:space="preserve"> vastu võetud</w:t>
      </w:r>
      <w:r w:rsidR="00B74D53">
        <w:t xml:space="preserve"> </w:t>
      </w:r>
      <w:r w:rsidRPr="00072720">
        <w:t xml:space="preserve">§ </w:t>
      </w:r>
      <w:r w:rsidR="00FC4C58">
        <w:t>2</w:t>
      </w:r>
      <w:r w:rsidRPr="00072720">
        <w:t xml:space="preserve"> lõike 1 punkti 1 ja § 11 lõike 2 punktide 2 ja 3 muudatusi kohaldatakse tagasiulatuvalt 1. jaanuarist 2024. a.“</w:t>
      </w:r>
      <w:r w:rsidR="00986D46">
        <w:t>.</w:t>
      </w:r>
    </w:p>
    <w:p w14:paraId="2B3824BF" w14:textId="23E675B3" w:rsidR="00826103" w:rsidRDefault="00826103" w:rsidP="00A84A50">
      <w:pPr>
        <w:pStyle w:val="Tekst"/>
      </w:pPr>
    </w:p>
    <w:p w14:paraId="5B3E2459" w14:textId="7A055FBE" w:rsidR="00826103" w:rsidRDefault="00826103" w:rsidP="00A84A50">
      <w:pPr>
        <w:pStyle w:val="Tekst"/>
      </w:pPr>
    </w:p>
    <w:p w14:paraId="3B36EE11" w14:textId="77777777" w:rsidR="00826103" w:rsidRDefault="00826103" w:rsidP="00A84A50">
      <w:pPr>
        <w:pStyle w:val="Tekst"/>
      </w:pPr>
    </w:p>
    <w:p w14:paraId="482D50DB" w14:textId="0D83C691" w:rsidR="00826103" w:rsidRDefault="00826103" w:rsidP="00A84A50">
      <w:pPr>
        <w:pStyle w:val="Tekst"/>
      </w:pPr>
    </w:p>
    <w:p w14:paraId="2CA442CE" w14:textId="77777777" w:rsidR="00826103" w:rsidRDefault="00826103" w:rsidP="00826103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34A3B0F4" w14:textId="1037AFDA" w:rsidR="00826103" w:rsidRDefault="00826103" w:rsidP="00826103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5A2621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5A2621">
        <w:rPr>
          <w:lang w:eastAsia="en-US" w:bidi="ar-SA"/>
        </w:rPr>
        <w:t xml:space="preserve">Tiit </w:t>
      </w:r>
      <w:proofErr w:type="spellStart"/>
      <w:r w:rsidR="005A2621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5A2621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5A2621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777E1276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777E1277" w14:textId="1DC39934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5A2621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5A2621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</w:p>
    <w:p w14:paraId="777E1278" w14:textId="41D2092E" w:rsidR="00FA1020" w:rsidRDefault="00240D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kantsler</w:t>
      </w:r>
      <w:r w:rsidDel="00240D20">
        <w:rPr>
          <w:lang w:eastAsia="en-US" w:bidi="ar-SA"/>
        </w:rPr>
        <w:t xml:space="preserve"> </w:t>
      </w:r>
    </w:p>
    <w:p w14:paraId="777E1279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77E127D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11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1282" w14:textId="77777777" w:rsidR="00BD0540" w:rsidRDefault="00BD0540" w:rsidP="00DF44DF">
      <w:r>
        <w:separator/>
      </w:r>
    </w:p>
  </w:endnote>
  <w:endnote w:type="continuationSeparator" w:id="0">
    <w:p w14:paraId="777E1283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1280" w14:textId="77777777" w:rsidR="00BD0540" w:rsidRDefault="00BD0540" w:rsidP="00DF44DF">
      <w:r>
        <w:separator/>
      </w:r>
    </w:p>
  </w:footnote>
  <w:footnote w:type="continuationSeparator" w:id="0">
    <w:p w14:paraId="777E1281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777E1284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A26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7E1285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6FDE"/>
    <w:multiLevelType w:val="hybridMultilevel"/>
    <w:tmpl w:val="DFC4E20C"/>
    <w:lvl w:ilvl="0" w:tplc="373EC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65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26700"/>
    <w:rsid w:val="0004665A"/>
    <w:rsid w:val="00060947"/>
    <w:rsid w:val="00073127"/>
    <w:rsid w:val="000913FC"/>
    <w:rsid w:val="000A3119"/>
    <w:rsid w:val="000E4F8D"/>
    <w:rsid w:val="000F44E7"/>
    <w:rsid w:val="00110BCA"/>
    <w:rsid w:val="00112061"/>
    <w:rsid w:val="00124999"/>
    <w:rsid w:val="0018705B"/>
    <w:rsid w:val="001A69A5"/>
    <w:rsid w:val="001A7D04"/>
    <w:rsid w:val="001C1892"/>
    <w:rsid w:val="001D4CFB"/>
    <w:rsid w:val="002008A2"/>
    <w:rsid w:val="0022269C"/>
    <w:rsid w:val="00227237"/>
    <w:rsid w:val="00240D20"/>
    <w:rsid w:val="00257A47"/>
    <w:rsid w:val="0026456A"/>
    <w:rsid w:val="002835BB"/>
    <w:rsid w:val="00293449"/>
    <w:rsid w:val="002F254F"/>
    <w:rsid w:val="00353BEB"/>
    <w:rsid w:val="00354059"/>
    <w:rsid w:val="003642B9"/>
    <w:rsid w:val="00391423"/>
    <w:rsid w:val="00392A07"/>
    <w:rsid w:val="00394DCB"/>
    <w:rsid w:val="003B2A9C"/>
    <w:rsid w:val="003B4D7F"/>
    <w:rsid w:val="0041708A"/>
    <w:rsid w:val="00435A13"/>
    <w:rsid w:val="0044084D"/>
    <w:rsid w:val="004604E4"/>
    <w:rsid w:val="00466B42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A2621"/>
    <w:rsid w:val="005B5CE1"/>
    <w:rsid w:val="005E3AED"/>
    <w:rsid w:val="005E45BB"/>
    <w:rsid w:val="00602834"/>
    <w:rsid w:val="00680609"/>
    <w:rsid w:val="006813E4"/>
    <w:rsid w:val="0068160D"/>
    <w:rsid w:val="006E16BD"/>
    <w:rsid w:val="006F3BB9"/>
    <w:rsid w:val="006F42AD"/>
    <w:rsid w:val="006F72D7"/>
    <w:rsid w:val="007056E1"/>
    <w:rsid w:val="00713327"/>
    <w:rsid w:val="0075695A"/>
    <w:rsid w:val="0076054B"/>
    <w:rsid w:val="00793A3C"/>
    <w:rsid w:val="007A1DE8"/>
    <w:rsid w:val="007A4337"/>
    <w:rsid w:val="007D3090"/>
    <w:rsid w:val="007D54FC"/>
    <w:rsid w:val="007E3A34"/>
    <w:rsid w:val="007E666B"/>
    <w:rsid w:val="007F55B0"/>
    <w:rsid w:val="00826103"/>
    <w:rsid w:val="00835858"/>
    <w:rsid w:val="0085771B"/>
    <w:rsid w:val="008827FC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86D46"/>
    <w:rsid w:val="00996E9F"/>
    <w:rsid w:val="009B3A44"/>
    <w:rsid w:val="009C4A9A"/>
    <w:rsid w:val="009E7F4A"/>
    <w:rsid w:val="00A10E66"/>
    <w:rsid w:val="00A1244E"/>
    <w:rsid w:val="00A84A50"/>
    <w:rsid w:val="00AB35A1"/>
    <w:rsid w:val="00AC1DB5"/>
    <w:rsid w:val="00AC6187"/>
    <w:rsid w:val="00AD2EA7"/>
    <w:rsid w:val="00AD32C2"/>
    <w:rsid w:val="00B358EA"/>
    <w:rsid w:val="00B74D53"/>
    <w:rsid w:val="00BA16DC"/>
    <w:rsid w:val="00BC1A62"/>
    <w:rsid w:val="00BD0540"/>
    <w:rsid w:val="00BD078E"/>
    <w:rsid w:val="00BD3CCF"/>
    <w:rsid w:val="00BF4D7C"/>
    <w:rsid w:val="00C20C2D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E7056B"/>
    <w:rsid w:val="00EE7A91"/>
    <w:rsid w:val="00F25A4E"/>
    <w:rsid w:val="00F40333"/>
    <w:rsid w:val="00F53950"/>
    <w:rsid w:val="00F85BDE"/>
    <w:rsid w:val="00F9645B"/>
    <w:rsid w:val="00FA1020"/>
    <w:rsid w:val="00FB3279"/>
    <w:rsid w:val="00FC4C58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77E1267"/>
  <w15:docId w15:val="{A50FA285-4078-47B5-A254-F731EE15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A84A5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customStyle="1" w:styleId="tyhik">
    <w:name w:val="tyhik"/>
    <w:basedOn w:val="Liguvaikefont"/>
    <w:rsid w:val="00466B42"/>
  </w:style>
  <w:style w:type="paragraph" w:customStyle="1" w:styleId="pf0">
    <w:name w:val="pf0"/>
    <w:basedOn w:val="Normaallaad"/>
    <w:rsid w:val="00466B42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cf01">
    <w:name w:val="cf01"/>
    <w:basedOn w:val="Liguvaikefont"/>
    <w:rsid w:val="00466B42"/>
    <w:rPr>
      <w:rFonts w:ascii="Segoe UI" w:hAnsi="Segoe UI" w:cs="Segoe UI" w:hint="default"/>
      <w:sz w:val="18"/>
      <w:szCs w:val="18"/>
    </w:rPr>
  </w:style>
  <w:style w:type="paragraph" w:styleId="Redaktsioon">
    <w:name w:val="Revision"/>
    <w:hidden/>
    <w:uiPriority w:val="99"/>
    <w:semiHidden/>
    <w:rsid w:val="00FD4534"/>
    <w:rPr>
      <w:rFonts w:eastAsia="SimSun" w:cs="Mangal"/>
      <w:kern w:val="1"/>
      <w:sz w:val="24"/>
      <w:szCs w:val="21"/>
      <w:lang w:eastAsia="zh-CN" w:bidi="hi-IN"/>
    </w:rPr>
  </w:style>
  <w:style w:type="paragraph" w:styleId="Loendilik">
    <w:name w:val="List Paragraph"/>
    <w:basedOn w:val="Normaallaad"/>
    <w:uiPriority w:val="34"/>
    <w:qFormat/>
    <w:rsid w:val="004604E4"/>
    <w:pPr>
      <w:ind w:left="720"/>
      <w:contextualSpacing/>
    </w:pPr>
    <w:rPr>
      <w:rFonts w:cs="Mangal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85771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5771B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5771B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771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771B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igiteataja.ee/akt/dyn=105072023010&amp;id=101122021005!pr8lg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dyn=105072023010&amp;id=108072020006!pr8l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61EDCD-214C-408E-B8B1-4BB3F2F5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5399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2024-01-25T09:56:00Z</dcterms:created>
  <dcterms:modified xsi:type="dcterms:W3CDTF">2024-01-25T09:56:00Z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