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/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 descr="" titl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 descr="" titl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>Kaasatud asutused</w:t>
      </w:r>
    </w:p>
    <w:p>
      <w:pPr>
        <w:tabs>
          <w:tab w:pos="5954" w:val="left" w:leader="none"/>
        </w:tabs>
        <w:rPr/>
      </w:pPr>
      <w:r>
        <w:rPr/>
        <w:tab/>
        <w:t xml:space="preserve">Meie: </w:t>
      </w:r>
      <w:r>
        <w:rPr/>
        <w:t>17.02.2023 nr 7-1/754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Võru valla üldplaneeringu avalikud arutelud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Ajavahemikul 19.12.2022 – 22.01.2023 toimus Võru valla üldplaneeringu ja keskkonnamõju strateegilise hindamise aruande avalik </w:t>
      </w:r>
      <w:r>
        <w:rPr/>
        <w:t>väljapanek. Selle aja jooksul oli igaühel võimalus esitada arvamusi ja ettepanekuid.  Planeerimisseaduse nõuete kohaselt tuleb avaliku väljapaneku järgselt korraldada avalikke arutelusid, kus antakse ülevaade planeeringulahendusest ning sellele esitatud ar</w:t>
      </w:r>
      <w:r>
        <w:rPr/>
        <w:t>vamustest ja kohaliku omavalitsuse seisukohtadest. Aruteludele on oodatud ka need, kes oma arvamusi avaliku väljapaneku jooksul kirjalikult ei esitanud.</w:t>
      </w:r>
    </w:p>
    <w:p>
      <w:pPr>
        <w:rPr/>
      </w:pPr>
      <w:r>
        <w:rPr/>
        <w:t xml:space="preserve"> </w:t>
      </w:r>
    </w:p>
    <w:p>
      <w:pPr>
        <w:rPr/>
      </w:pPr>
      <w:r>
        <w:rPr/>
        <w:t>Võru vallavalitsus annab teada, et Võru valla üldplaneeringu avalikud arutelud toimuvad:</w:t>
      </w:r>
    </w:p>
    <w:p>
      <w:pPr>
        <w:rPr/>
      </w:pPr>
      <w:r>
        <w:rPr/>
        <w:t>1) 06.03. al</w:t>
      </w:r>
      <w:r>
        <w:rPr/>
        <w:t>gusega kell 15.00 Vastseliina rahvamajas ja</w:t>
      </w:r>
    </w:p>
    <w:p>
      <w:pPr>
        <w:rPr/>
      </w:pPr>
      <w:r>
        <w:rPr/>
        <w:t>2) 07.03 algusega kell 17.00 Võru vallavalitsuses.</w:t>
      </w:r>
    </w:p>
    <w:p>
      <w:pPr>
        <w:rPr/>
      </w:pPr>
    </w:p>
    <w:p>
      <w:pPr>
        <w:rPr/>
      </w:pPr>
      <w:r>
        <w:rPr/>
        <w:t>Võru vallavalitsuses 07.03. arutelul on soovijatel võimalik osaleda veebi vahendusel. Osalemise link lisatakse nädal enne arutelu toimumist Võru valla veebilehel</w:t>
      </w:r>
      <w:r>
        <w:rPr/>
        <w:t xml:space="preserve">e: </w:t>
      </w:r>
      <w:r>
        <w:fldChar w:fldCharType="begin" w:fldLock="false" w:dirty="false"/>
      </w:r>
      <w:r>
        <w:rPr/>
        <w:instrText xml:space="preserve"> HYPERLINK "https://voruvald.ee/uldplaneering" </w:instrText>
      </w:r>
      <w:r>
        <w:fldChar w:fldCharType="separate"/>
      </w:r>
      <w:r>
        <w:rPr>
          <w:rStyle w:val="Hperlink"/>
        </w:rPr>
        <w:t>https://voruvald.ee/uldplaneering</w:t>
      </w:r>
      <w:r>
        <w:fldChar w:fldCharType="end"/>
      </w:r>
      <w:r>
        <w:rPr/>
        <w:t>. Arutelu kestvus on kuni 1,5 tundi.</w:t>
      </w:r>
    </w:p>
    <w:p>
      <w:pPr>
        <w:rPr/>
      </w:pPr>
      <w:r>
        <w:rPr/>
        <w:t xml:space="preserve"> </w:t>
      </w: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/>
        <w:t xml:space="preserve">5696 5750 </w:t>
      </w:r>
      <w:r>
        <w:rPr/>
        <w:t xml:space="preserve">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17.02.2023"/>
    <w:docVar w:name="CURDATE" w:val="17.02.2023"/>
    <w:docVar w:name="CURDATETIME" w:val="17.02.2023 15:09"/>
    <w:docVar w:name="CURTIME" w:val="15:09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Ajavahemikul 19.12.2022 &amp;ndash; 22.01.2023 toimus V&amp;otilde;ru valla &amp;uuml;ldplaneeringu ja keskkonnam&amp;otilde;ju strateegilise hindamise aruande avalik v&amp;auml;ljapanek. Selle aja jooksul oli iga&amp;uuml;hel v&amp;otilde;imalus esitada arvamusi ja ettepanekuid.&lt;span&gt;&amp;nbsp; &lt;/span&gt;Planeerimisseaduse n&amp;otilde;uete kohaselt tuleb avaliku v&amp;auml;ljapaneku j&amp;auml;rgselt korraldada avalikke arutelusid, kus antakse &amp;uuml;levaade planeeringulahendusest ning sellele esitatud arvamustest ja kohaliku omavalitsuse seisukohtadest. Aruteludele on oodatud ka need, kes oma arvamusi avaliku v&amp;auml;ljapaneku jooksul kirjalikult ei esitanud.&lt;/p&gt;&#13;&#10;&lt;p&gt;&amp;nbsp;&lt;/p&gt;&#13;&#10;&lt;p&gt;V&amp;otilde;ru vallavalitsus annab teada, et V&amp;otilde;ru valla &amp;uuml;ldplaneeringu avalikud arutelud toimuvad:&lt;/p&gt;&#13;&#10;&lt;p&gt;1) 06.03. algusega kell 15.00 Vastseliina rahvamajas ja &lt;/p&gt;&#13;&#10;&lt;p&gt;2) 07.03 algusega kell 17.00 V&amp;otilde;ru vallavalitsuses.&lt;/p&gt;&#13;&#10;&lt;p&gt;V&amp;otilde;ru vallavalitsuses 07.03. arutelul on soovijatel v&amp;otilde;imalik osaleda veebi vahendusel. Osalemise link lisatakse n&amp;auml;dal enne arutelu toimumist V&amp;otilde;ru valla veebilehele: &lt;a href=&quot;https://voruvald.ee/uldplaneering&quot;&gt;https://voruvald.ee/uldplaneering&lt;/a&gt;. Arutelu kestvus on kuni 1,5 tundi. &lt;/p&gt;&#13;&#10;&lt;p&gt;&amp;nbsp;&lt;/p&gt;"/>
    <w:docVar w:name="KUUPAEV" w:val="17.02.2023"/>
    <w:docVar w:name="PEALKIRI" w:val="Võru valla üldplaneeringu avalikud arutelud"/>
    <w:docVar w:name="VIIT" w:val="7-1/754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