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5D1C" w14:textId="3278B6FC" w:rsidR="007509A9" w:rsidRPr="00BA314E" w:rsidRDefault="007509A9" w:rsidP="00020526">
      <w:pPr>
        <w:spacing w:after="0" w:line="240" w:lineRule="auto"/>
        <w:jc w:val="right"/>
        <w:rPr>
          <w:rFonts w:ascii="Times New Roman" w:hAnsi="Times New Roman" w:cs="Times New Roman"/>
          <w:bCs/>
          <w:sz w:val="24"/>
          <w:szCs w:val="24"/>
        </w:rPr>
      </w:pPr>
      <w:bookmarkStart w:id="0" w:name="_Hlk170807717"/>
      <w:r w:rsidRPr="00BA314E">
        <w:rPr>
          <w:rFonts w:ascii="Times New Roman" w:hAnsi="Times New Roman" w:cs="Times New Roman"/>
          <w:bCs/>
          <w:sz w:val="24"/>
          <w:szCs w:val="24"/>
        </w:rPr>
        <w:t xml:space="preserve">LISA </w:t>
      </w:r>
      <w:r w:rsidR="00A95262" w:rsidRPr="00BA314E">
        <w:rPr>
          <w:rFonts w:ascii="Times New Roman" w:hAnsi="Times New Roman" w:cs="Times New Roman"/>
          <w:bCs/>
          <w:sz w:val="24"/>
          <w:szCs w:val="24"/>
        </w:rPr>
        <w:t>4</w:t>
      </w:r>
    </w:p>
    <w:p w14:paraId="2DAB2AF5" w14:textId="77777777" w:rsidR="00586B61" w:rsidRPr="00BA314E" w:rsidRDefault="007509A9" w:rsidP="00020526">
      <w:pPr>
        <w:spacing w:after="0" w:line="240" w:lineRule="auto"/>
        <w:jc w:val="center"/>
        <w:rPr>
          <w:rFonts w:ascii="Times New Roman" w:hAnsi="Times New Roman" w:cs="Times New Roman"/>
          <w:b/>
          <w:sz w:val="24"/>
          <w:szCs w:val="24"/>
        </w:rPr>
      </w:pPr>
      <w:r w:rsidRPr="00BA314E">
        <w:rPr>
          <w:rFonts w:ascii="Times New Roman" w:hAnsi="Times New Roman" w:cs="Times New Roman"/>
          <w:b/>
          <w:sz w:val="24"/>
          <w:szCs w:val="24"/>
        </w:rPr>
        <w:t>Atmosfääriõhu kaitse seaduse j</w:t>
      </w:r>
      <w:r w:rsidR="008F6A8D" w:rsidRPr="00BA314E">
        <w:rPr>
          <w:rFonts w:ascii="Times New Roman" w:hAnsi="Times New Roman" w:cs="Times New Roman"/>
          <w:b/>
          <w:sz w:val="24"/>
          <w:szCs w:val="24"/>
        </w:rPr>
        <w:t>a</w:t>
      </w:r>
      <w:r w:rsidRPr="00BA314E">
        <w:rPr>
          <w:rFonts w:ascii="Times New Roman" w:hAnsi="Times New Roman" w:cs="Times New Roman"/>
          <w:b/>
          <w:sz w:val="24"/>
          <w:szCs w:val="24"/>
        </w:rPr>
        <w:t xml:space="preserve"> teiste seaduste muutmise seadus </w:t>
      </w:r>
    </w:p>
    <w:p w14:paraId="204EBC23" w14:textId="6C95109C" w:rsidR="007509A9" w:rsidRPr="00BA314E" w:rsidRDefault="007509A9" w:rsidP="00586B61">
      <w:pPr>
        <w:spacing w:after="0" w:line="240" w:lineRule="auto"/>
        <w:jc w:val="center"/>
        <w:rPr>
          <w:rFonts w:ascii="Times New Roman" w:hAnsi="Times New Roman" w:cs="Times New Roman"/>
          <w:b/>
          <w:sz w:val="24"/>
          <w:szCs w:val="24"/>
        </w:rPr>
      </w:pPr>
      <w:r w:rsidRPr="00BA314E">
        <w:rPr>
          <w:rFonts w:ascii="Times New Roman" w:hAnsi="Times New Roman" w:cs="Times New Roman"/>
          <w:b/>
          <w:sz w:val="24"/>
          <w:szCs w:val="24"/>
        </w:rPr>
        <w:t>(taastuvenergia direktiivi muudatuste ülevõtmine)</w:t>
      </w:r>
    </w:p>
    <w:p w14:paraId="2BFCD761" w14:textId="77777777" w:rsidR="00586B61" w:rsidRPr="00BA314E" w:rsidRDefault="00586B61" w:rsidP="00020526">
      <w:pPr>
        <w:spacing w:after="0" w:line="240" w:lineRule="auto"/>
        <w:jc w:val="center"/>
        <w:rPr>
          <w:rFonts w:ascii="Times New Roman" w:hAnsi="Times New Roman" w:cs="Times New Roman"/>
          <w:b/>
          <w:sz w:val="24"/>
          <w:szCs w:val="24"/>
        </w:rPr>
      </w:pPr>
    </w:p>
    <w:p w14:paraId="079450B4" w14:textId="77777777"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b/>
          <w:sz w:val="24"/>
          <w:szCs w:val="24"/>
        </w:rPr>
        <w:t>Uued mõisted</w:t>
      </w:r>
      <w:bookmarkEnd w:id="0"/>
    </w:p>
    <w:p w14:paraId="5FE8AF87" w14:textId="77777777" w:rsidR="007509A9" w:rsidRPr="00BA314E" w:rsidRDefault="007509A9" w:rsidP="00020526">
      <w:pPr>
        <w:spacing w:after="0" w:line="240" w:lineRule="auto"/>
        <w:jc w:val="both"/>
        <w:rPr>
          <w:rFonts w:ascii="Times New Roman" w:hAnsi="Times New Roman" w:cs="Times New Roman"/>
          <w:sz w:val="24"/>
          <w:szCs w:val="24"/>
        </w:rPr>
      </w:pPr>
    </w:p>
    <w:p w14:paraId="7CA2B956" w14:textId="77777777" w:rsidR="007509A9" w:rsidRPr="00BA314E" w:rsidRDefault="007509A9" w:rsidP="00020526">
      <w:pPr>
        <w:spacing w:after="0" w:line="240" w:lineRule="auto"/>
        <w:jc w:val="both"/>
        <w:rPr>
          <w:rFonts w:ascii="Times New Roman" w:hAnsi="Times New Roman" w:cs="Times New Roman"/>
          <w:b/>
          <w:bCs/>
          <w:sz w:val="24"/>
          <w:szCs w:val="24"/>
        </w:rPr>
      </w:pPr>
      <w:r w:rsidRPr="00BA314E">
        <w:rPr>
          <w:rFonts w:ascii="Times New Roman" w:hAnsi="Times New Roman" w:cs="Times New Roman"/>
          <w:b/>
          <w:bCs/>
          <w:sz w:val="24"/>
          <w:szCs w:val="24"/>
        </w:rPr>
        <w:t>Elektrituruseadus</w:t>
      </w:r>
    </w:p>
    <w:p w14:paraId="6BD6CC03" w14:textId="77777777" w:rsidR="00586B61" w:rsidRPr="00BA314E" w:rsidRDefault="00586B61" w:rsidP="00586B61">
      <w:pPr>
        <w:widowControl w:val="0"/>
        <w:spacing w:after="0" w:line="240" w:lineRule="auto"/>
        <w:contextualSpacing/>
        <w:jc w:val="both"/>
        <w:rPr>
          <w:rFonts w:ascii="Times New Roman" w:eastAsia="Times New Roman" w:hAnsi="Times New Roman" w:cs="Times New Roman"/>
          <w:kern w:val="0"/>
          <w:sz w:val="24"/>
          <w:szCs w:val="24"/>
          <w:lang w:eastAsia="et-EE"/>
        </w:rPr>
      </w:pPr>
    </w:p>
    <w:p w14:paraId="09AD1CA5" w14:textId="7B64EDA6" w:rsidR="007509A9" w:rsidRPr="00BA314E" w:rsidRDefault="00586B61" w:rsidP="00586B61">
      <w:pPr>
        <w:widowControl w:val="0"/>
        <w:spacing w:after="0" w:line="240" w:lineRule="auto"/>
        <w:contextualSpacing/>
        <w:jc w:val="both"/>
        <w:rPr>
          <w:rFonts w:ascii="Times New Roman" w:eastAsia="Times New Roman" w:hAnsi="Times New Roman" w:cs="Times New Roman"/>
          <w:kern w:val="0"/>
          <w:sz w:val="24"/>
          <w:szCs w:val="24"/>
          <w:lang w:eastAsia="et-EE"/>
        </w:rPr>
      </w:pPr>
      <w:r w:rsidRPr="00BA314E">
        <w:rPr>
          <w:rFonts w:ascii="Times New Roman" w:eastAsia="Times New Roman" w:hAnsi="Times New Roman" w:cs="Times New Roman"/>
          <w:kern w:val="0"/>
          <w:sz w:val="24"/>
          <w:szCs w:val="24"/>
          <w:lang w:eastAsia="et-EE"/>
        </w:rPr>
        <w:t>P</w:t>
      </w:r>
      <w:r w:rsidR="007509A9" w:rsidRPr="00BA314E">
        <w:rPr>
          <w:rFonts w:ascii="Times New Roman" w:eastAsia="Times New Roman" w:hAnsi="Times New Roman" w:cs="Times New Roman"/>
          <w:kern w:val="0"/>
          <w:sz w:val="24"/>
          <w:szCs w:val="24"/>
          <w:lang w:eastAsia="et-EE"/>
        </w:rPr>
        <w:t>aragrahvi</w:t>
      </w:r>
      <w:r w:rsidR="007509A9" w:rsidRPr="00BA314E">
        <w:rPr>
          <w:rFonts w:ascii="Times New Roman" w:eastAsia="Times New Roman" w:hAnsi="Times New Roman" w:cs="Times New Roman"/>
          <w:b/>
          <w:kern w:val="0"/>
          <w:sz w:val="24"/>
          <w:szCs w:val="24"/>
          <w:lang w:eastAsia="et-EE"/>
        </w:rPr>
        <w:t xml:space="preserve"> </w:t>
      </w:r>
      <w:r w:rsidR="007509A9" w:rsidRPr="00BA314E">
        <w:rPr>
          <w:rFonts w:ascii="Times New Roman" w:eastAsia="Times New Roman" w:hAnsi="Times New Roman" w:cs="Times New Roman"/>
          <w:kern w:val="0"/>
          <w:sz w:val="24"/>
          <w:szCs w:val="24"/>
          <w:lang w:eastAsia="et-EE"/>
        </w:rPr>
        <w:t>3</w:t>
      </w:r>
      <w:r w:rsidR="007509A9" w:rsidRPr="00BA314E">
        <w:rPr>
          <w:rFonts w:ascii="Times New Roman" w:eastAsia="Times New Roman" w:hAnsi="Times New Roman" w:cs="Times New Roman"/>
          <w:b/>
          <w:kern w:val="0"/>
          <w:sz w:val="24"/>
          <w:szCs w:val="24"/>
          <w:vertAlign w:val="superscript"/>
          <w:lang w:eastAsia="et-EE"/>
        </w:rPr>
        <w:t xml:space="preserve"> </w:t>
      </w:r>
      <w:r w:rsidR="007509A9" w:rsidRPr="00BA314E">
        <w:rPr>
          <w:rFonts w:ascii="Times New Roman" w:eastAsia="Times New Roman" w:hAnsi="Times New Roman" w:cs="Times New Roman"/>
          <w:kern w:val="0"/>
          <w:sz w:val="24"/>
          <w:szCs w:val="24"/>
          <w:lang w:eastAsia="et-EE"/>
        </w:rPr>
        <w:t>täiendatakse punktidega 19</w:t>
      </w:r>
      <w:r w:rsidR="007509A9" w:rsidRPr="00BA314E">
        <w:rPr>
          <w:rFonts w:ascii="Times New Roman" w:eastAsia="Times New Roman" w:hAnsi="Times New Roman" w:cs="Times New Roman"/>
          <w:kern w:val="0"/>
          <w:sz w:val="24"/>
          <w:szCs w:val="24"/>
          <w:vertAlign w:val="superscript"/>
          <w:lang w:eastAsia="et-EE"/>
        </w:rPr>
        <w:t>2</w:t>
      </w:r>
      <w:r w:rsidR="007509A9" w:rsidRPr="00BA314E">
        <w:rPr>
          <w:rFonts w:ascii="Times New Roman" w:eastAsia="Times New Roman" w:hAnsi="Times New Roman" w:cs="Times New Roman"/>
          <w:kern w:val="0"/>
          <w:sz w:val="24"/>
          <w:szCs w:val="24"/>
          <w:lang w:eastAsia="et-EE"/>
        </w:rPr>
        <w:t>, 34</w:t>
      </w:r>
      <w:r w:rsidR="007509A9" w:rsidRPr="00BA314E">
        <w:rPr>
          <w:rFonts w:ascii="Times New Roman" w:eastAsia="Times New Roman" w:hAnsi="Times New Roman" w:cs="Times New Roman"/>
          <w:kern w:val="0"/>
          <w:sz w:val="24"/>
          <w:szCs w:val="24"/>
          <w:vertAlign w:val="superscript"/>
          <w:lang w:eastAsia="et-EE"/>
        </w:rPr>
        <w:t>2</w:t>
      </w:r>
      <w:r w:rsidR="007509A9" w:rsidRPr="00BA314E">
        <w:rPr>
          <w:rFonts w:ascii="Times New Roman" w:eastAsia="Times New Roman" w:hAnsi="Times New Roman" w:cs="Times New Roman"/>
          <w:kern w:val="0"/>
          <w:sz w:val="24"/>
          <w:szCs w:val="24"/>
          <w:lang w:eastAsia="et-EE"/>
        </w:rPr>
        <w:t xml:space="preserve"> ja 34</w:t>
      </w:r>
      <w:r w:rsidR="007509A9" w:rsidRPr="00BA314E">
        <w:rPr>
          <w:rFonts w:ascii="Times New Roman" w:eastAsia="Times New Roman" w:hAnsi="Times New Roman" w:cs="Times New Roman"/>
          <w:kern w:val="0"/>
          <w:sz w:val="24"/>
          <w:szCs w:val="24"/>
          <w:vertAlign w:val="superscript"/>
          <w:lang w:eastAsia="et-EE"/>
        </w:rPr>
        <w:t>3</w:t>
      </w:r>
      <w:r w:rsidR="007509A9" w:rsidRPr="00BA314E">
        <w:rPr>
          <w:rFonts w:ascii="Times New Roman" w:eastAsia="Times New Roman" w:hAnsi="Times New Roman" w:cs="Times New Roman"/>
          <w:kern w:val="0"/>
          <w:sz w:val="24"/>
          <w:szCs w:val="24"/>
          <w:lang w:eastAsia="et-EE"/>
        </w:rPr>
        <w:t xml:space="preserve"> järgmises sõnastuses:</w:t>
      </w:r>
    </w:p>
    <w:p w14:paraId="513097EB" w14:textId="77777777" w:rsidR="007509A9" w:rsidRPr="00BA314E" w:rsidRDefault="007509A9" w:rsidP="00586B61">
      <w:pPr>
        <w:widowControl w:val="0"/>
        <w:spacing w:after="0" w:line="240" w:lineRule="auto"/>
        <w:contextualSpacing/>
        <w:jc w:val="both"/>
        <w:rPr>
          <w:rFonts w:ascii="Times New Roman" w:eastAsia="Times New Roman" w:hAnsi="Times New Roman" w:cs="Times New Roman"/>
          <w:kern w:val="0"/>
          <w:sz w:val="24"/>
          <w:szCs w:val="24"/>
          <w:lang w:eastAsia="et-EE"/>
        </w:rPr>
      </w:pPr>
    </w:p>
    <w:p w14:paraId="5040F221" w14:textId="6C6601DD" w:rsidR="007509A9" w:rsidRPr="00BA314E" w:rsidRDefault="007509A9" w:rsidP="00586B61">
      <w:pPr>
        <w:widowControl w:val="0"/>
        <w:spacing w:after="0" w:line="240" w:lineRule="auto"/>
        <w:contextualSpacing/>
        <w:jc w:val="both"/>
        <w:rPr>
          <w:rFonts w:ascii="Times New Roman" w:eastAsia="Times New Roman" w:hAnsi="Times New Roman" w:cs="Times New Roman"/>
          <w:kern w:val="0"/>
          <w:sz w:val="24"/>
          <w:szCs w:val="24"/>
          <w:lang w:eastAsia="et-EE"/>
        </w:rPr>
      </w:pPr>
      <w:r w:rsidRPr="00BA314E">
        <w:rPr>
          <w:rFonts w:ascii="Times New Roman" w:eastAsia="Times New Roman" w:hAnsi="Times New Roman" w:cs="Times New Roman"/>
          <w:kern w:val="0"/>
          <w:sz w:val="24"/>
          <w:szCs w:val="24"/>
          <w:lang w:eastAsia="et-EE"/>
        </w:rPr>
        <w:t>„19</w:t>
      </w:r>
      <w:r w:rsidRPr="00BA314E">
        <w:rPr>
          <w:rFonts w:ascii="Times New Roman" w:eastAsia="Times New Roman" w:hAnsi="Times New Roman" w:cs="Times New Roman"/>
          <w:kern w:val="0"/>
          <w:sz w:val="24"/>
          <w:szCs w:val="24"/>
          <w:vertAlign w:val="superscript"/>
          <w:lang w:eastAsia="et-EE"/>
        </w:rPr>
        <w:t>2</w:t>
      </w:r>
      <w:r w:rsidRPr="00BA314E">
        <w:rPr>
          <w:rFonts w:ascii="Times New Roman" w:eastAsia="Times New Roman" w:hAnsi="Times New Roman" w:cs="Times New Roman"/>
          <w:kern w:val="0"/>
          <w:sz w:val="24"/>
          <w:szCs w:val="24"/>
          <w:lang w:eastAsia="et-EE"/>
        </w:rPr>
        <w:t xml:space="preserve">) nutilaadimine – </w:t>
      </w:r>
      <w:bookmarkStart w:id="1" w:name="_Hlk190269480"/>
      <w:r w:rsidRPr="00BA314E">
        <w:rPr>
          <w:rFonts w:ascii="Times New Roman" w:eastAsia="Times New Roman" w:hAnsi="Times New Roman" w:cs="Times New Roman"/>
          <w:kern w:val="0"/>
          <w:sz w:val="24"/>
          <w:szCs w:val="24"/>
          <w:lang w:eastAsia="et-EE"/>
        </w:rPr>
        <w:t>V2G süsteemi talitlus, mille</w:t>
      </w:r>
      <w:r w:rsidR="00586B61" w:rsidRPr="00BA314E">
        <w:rPr>
          <w:rFonts w:ascii="Times New Roman" w:eastAsia="Times New Roman" w:hAnsi="Times New Roman" w:cs="Times New Roman"/>
          <w:kern w:val="0"/>
          <w:sz w:val="24"/>
          <w:szCs w:val="24"/>
          <w:lang w:eastAsia="et-EE"/>
        </w:rPr>
        <w:t>ga juhitakse</w:t>
      </w:r>
      <w:r w:rsidRPr="00BA314E">
        <w:rPr>
          <w:rFonts w:ascii="Times New Roman" w:eastAsia="Times New Roman" w:hAnsi="Times New Roman" w:cs="Times New Roman"/>
          <w:kern w:val="0"/>
          <w:sz w:val="24"/>
          <w:szCs w:val="24"/>
          <w:lang w:eastAsia="et-EE"/>
        </w:rPr>
        <w:t xml:space="preserve"> energiavahetust auto aku ja elektrivõrgu vahel dünaamiliselt elektroonilise side kaudu saadud teabe alusel</w:t>
      </w:r>
      <w:bookmarkEnd w:id="1"/>
      <w:r w:rsidRPr="00BA314E">
        <w:rPr>
          <w:rFonts w:ascii="Times New Roman" w:eastAsia="Times New Roman" w:hAnsi="Times New Roman" w:cs="Times New Roman"/>
          <w:kern w:val="0"/>
          <w:sz w:val="24"/>
          <w:szCs w:val="24"/>
          <w:lang w:eastAsia="et-EE"/>
        </w:rPr>
        <w:t>;</w:t>
      </w:r>
    </w:p>
    <w:p w14:paraId="6695BB12" w14:textId="3499A3C0" w:rsidR="007509A9" w:rsidRPr="00BA314E" w:rsidRDefault="007509A9" w:rsidP="00586B61">
      <w:pPr>
        <w:widowControl w:val="0"/>
        <w:spacing w:after="0" w:line="240" w:lineRule="auto"/>
        <w:contextualSpacing/>
        <w:jc w:val="both"/>
        <w:rPr>
          <w:rFonts w:ascii="Times New Roman" w:eastAsia="Times New Roman" w:hAnsi="Times New Roman" w:cs="Times New Roman"/>
          <w:kern w:val="0"/>
          <w:sz w:val="24"/>
          <w:szCs w:val="24"/>
          <w:lang w:eastAsia="et-EE"/>
        </w:rPr>
      </w:pPr>
      <w:r w:rsidRPr="00BA314E">
        <w:rPr>
          <w:rFonts w:ascii="Times New Roman" w:eastAsia="Times New Roman" w:hAnsi="Times New Roman" w:cs="Times New Roman"/>
          <w:kern w:val="0"/>
          <w:sz w:val="24"/>
          <w:szCs w:val="24"/>
          <w:lang w:eastAsia="et-EE"/>
        </w:rPr>
        <w:t>34</w:t>
      </w:r>
      <w:r w:rsidRPr="00BA314E">
        <w:rPr>
          <w:rFonts w:ascii="Times New Roman" w:eastAsia="Times New Roman" w:hAnsi="Times New Roman" w:cs="Times New Roman"/>
          <w:kern w:val="0"/>
          <w:sz w:val="24"/>
          <w:szCs w:val="24"/>
          <w:vertAlign w:val="superscript"/>
          <w:lang w:eastAsia="et-EE"/>
        </w:rPr>
        <w:t>2</w:t>
      </w:r>
      <w:r w:rsidRPr="00BA314E">
        <w:rPr>
          <w:rFonts w:ascii="Times New Roman" w:eastAsia="Times New Roman" w:hAnsi="Times New Roman" w:cs="Times New Roman"/>
          <w:kern w:val="0"/>
          <w:sz w:val="24"/>
          <w:szCs w:val="24"/>
          <w:lang w:eastAsia="et-EE"/>
        </w:rPr>
        <w:t xml:space="preserve">) V2G süsteem – elektrisõidukist ja autolaadijast koosnev süsteem, mis võimaldab suunata elektrienergiat elektrivõrgust auto </w:t>
      </w:r>
      <w:r w:rsidR="00586B61" w:rsidRPr="00BA314E">
        <w:rPr>
          <w:rFonts w:ascii="Times New Roman" w:eastAsia="Times New Roman" w:hAnsi="Times New Roman" w:cs="Times New Roman"/>
          <w:kern w:val="0"/>
          <w:sz w:val="24"/>
          <w:szCs w:val="24"/>
          <w:lang w:eastAsia="et-EE"/>
        </w:rPr>
        <w:t xml:space="preserve">nii </w:t>
      </w:r>
      <w:r w:rsidRPr="00BA314E">
        <w:rPr>
          <w:rFonts w:ascii="Times New Roman" w:eastAsia="Times New Roman" w:hAnsi="Times New Roman" w:cs="Times New Roman"/>
          <w:kern w:val="0"/>
          <w:sz w:val="24"/>
          <w:szCs w:val="24"/>
          <w:lang w:eastAsia="et-EE"/>
        </w:rPr>
        <w:t>akusse kui ka vastupidi;</w:t>
      </w:r>
    </w:p>
    <w:p w14:paraId="19368EA3" w14:textId="0FC2292E" w:rsidR="007509A9" w:rsidRPr="00BA314E" w:rsidRDefault="007509A9" w:rsidP="00020526">
      <w:pPr>
        <w:spacing w:after="0" w:line="240" w:lineRule="auto"/>
        <w:jc w:val="both"/>
        <w:rPr>
          <w:rFonts w:ascii="Times New Roman" w:hAnsi="Times New Roman" w:cs="Times New Roman"/>
          <w:b/>
          <w:bCs/>
          <w:sz w:val="24"/>
          <w:szCs w:val="24"/>
        </w:rPr>
      </w:pPr>
      <w:r w:rsidRPr="00BA314E">
        <w:rPr>
          <w:rFonts w:ascii="Times New Roman" w:eastAsia="Times New Roman" w:hAnsi="Times New Roman" w:cs="Times New Roman"/>
          <w:kern w:val="0"/>
          <w:sz w:val="24"/>
          <w:szCs w:val="24"/>
          <w:lang w:eastAsia="et-EE"/>
        </w:rPr>
        <w:t>34</w:t>
      </w:r>
      <w:r w:rsidRPr="00BA314E">
        <w:rPr>
          <w:rFonts w:ascii="Times New Roman" w:eastAsia="Times New Roman" w:hAnsi="Times New Roman" w:cs="Times New Roman"/>
          <w:kern w:val="0"/>
          <w:sz w:val="24"/>
          <w:szCs w:val="24"/>
          <w:vertAlign w:val="superscript"/>
          <w:lang w:eastAsia="et-EE"/>
        </w:rPr>
        <w:t>3</w:t>
      </w:r>
      <w:r w:rsidRPr="00BA314E">
        <w:rPr>
          <w:rFonts w:ascii="Times New Roman" w:eastAsia="Times New Roman" w:hAnsi="Times New Roman" w:cs="Times New Roman"/>
          <w:kern w:val="0"/>
          <w:sz w:val="24"/>
          <w:szCs w:val="24"/>
          <w:lang w:eastAsia="et-EE"/>
        </w:rPr>
        <w:t>) üldsusele ligipääsmatu laadimispunkt – laadimispunkt, mis ei ole avalik ja kus elektrisõidukeid pargitakse tavapäraselt pikema aja vältel, näiteks elu- või töökoha juures“</w:t>
      </w:r>
      <w:r w:rsidR="00586B61" w:rsidRPr="00BA314E">
        <w:rPr>
          <w:rFonts w:ascii="Times New Roman" w:eastAsia="Times New Roman" w:hAnsi="Times New Roman" w:cs="Times New Roman"/>
          <w:kern w:val="0"/>
          <w:sz w:val="24"/>
          <w:szCs w:val="24"/>
          <w:lang w:eastAsia="et-EE"/>
        </w:rPr>
        <w:t>.</w:t>
      </w:r>
    </w:p>
    <w:p w14:paraId="5D0AC8AC" w14:textId="77777777" w:rsidR="007509A9" w:rsidRPr="00BA314E" w:rsidRDefault="007509A9" w:rsidP="00020526">
      <w:pPr>
        <w:spacing w:after="0" w:line="240" w:lineRule="auto"/>
        <w:jc w:val="both"/>
        <w:rPr>
          <w:rFonts w:ascii="Times New Roman" w:hAnsi="Times New Roman" w:cs="Times New Roman"/>
          <w:b/>
          <w:bCs/>
          <w:sz w:val="24"/>
          <w:szCs w:val="24"/>
        </w:rPr>
      </w:pPr>
    </w:p>
    <w:p w14:paraId="01C156F0" w14:textId="77777777" w:rsidR="007509A9" w:rsidRPr="00BA314E" w:rsidRDefault="007509A9" w:rsidP="00020526">
      <w:pPr>
        <w:spacing w:after="0" w:line="240" w:lineRule="auto"/>
        <w:jc w:val="both"/>
        <w:rPr>
          <w:rFonts w:ascii="Times New Roman" w:hAnsi="Times New Roman" w:cs="Times New Roman"/>
          <w:b/>
          <w:bCs/>
          <w:sz w:val="24"/>
          <w:szCs w:val="24"/>
        </w:rPr>
      </w:pPr>
      <w:r w:rsidRPr="00BA314E">
        <w:rPr>
          <w:rFonts w:ascii="Times New Roman" w:hAnsi="Times New Roman" w:cs="Times New Roman"/>
          <w:b/>
          <w:bCs/>
          <w:sz w:val="24"/>
          <w:szCs w:val="24"/>
        </w:rPr>
        <w:t>Energiamajanduse korralduse seadus</w:t>
      </w:r>
    </w:p>
    <w:p w14:paraId="7130F09A" w14:textId="77777777" w:rsidR="007509A9" w:rsidRPr="00BA314E" w:rsidRDefault="007509A9" w:rsidP="00020526">
      <w:pPr>
        <w:spacing w:after="0" w:line="240" w:lineRule="auto"/>
        <w:jc w:val="both"/>
        <w:rPr>
          <w:rFonts w:ascii="Times New Roman" w:hAnsi="Times New Roman" w:cs="Times New Roman"/>
          <w:sz w:val="24"/>
          <w:szCs w:val="24"/>
        </w:rPr>
      </w:pPr>
    </w:p>
    <w:p w14:paraId="7D8B45B8" w14:textId="030F958F" w:rsidR="007509A9" w:rsidRPr="00BA314E" w:rsidRDefault="00586B61"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P</w:t>
      </w:r>
      <w:r w:rsidR="007509A9" w:rsidRPr="00BA314E">
        <w:rPr>
          <w:rFonts w:ascii="Times New Roman" w:hAnsi="Times New Roman" w:cs="Times New Roman"/>
          <w:sz w:val="24"/>
          <w:szCs w:val="24"/>
        </w:rPr>
        <w:t>aragrahvi 2 täiendatakse punktidega 7</w:t>
      </w:r>
      <w:r w:rsidR="007509A9" w:rsidRPr="00BA314E">
        <w:rPr>
          <w:rFonts w:ascii="Times New Roman" w:hAnsi="Times New Roman" w:cs="Times New Roman"/>
          <w:sz w:val="24"/>
          <w:szCs w:val="24"/>
          <w:vertAlign w:val="superscript"/>
        </w:rPr>
        <w:t>3</w:t>
      </w:r>
      <w:r w:rsidR="007509A9" w:rsidRPr="00BA314E">
        <w:rPr>
          <w:rFonts w:ascii="Times New Roman" w:hAnsi="Times New Roman" w:cs="Times New Roman"/>
          <w:sz w:val="24"/>
          <w:szCs w:val="24"/>
        </w:rPr>
        <w:t>, 15</w:t>
      </w:r>
      <w:r w:rsidR="007509A9" w:rsidRPr="00BA314E">
        <w:rPr>
          <w:rFonts w:ascii="Times New Roman" w:hAnsi="Times New Roman" w:cs="Times New Roman"/>
          <w:sz w:val="24"/>
          <w:szCs w:val="24"/>
          <w:vertAlign w:val="superscript"/>
        </w:rPr>
        <w:t>2</w:t>
      </w:r>
      <w:r w:rsidR="007509A9" w:rsidRPr="00BA314E">
        <w:rPr>
          <w:rFonts w:ascii="Times New Roman" w:hAnsi="Times New Roman" w:cs="Times New Roman"/>
          <w:sz w:val="24"/>
          <w:szCs w:val="24"/>
        </w:rPr>
        <w:t>, 21</w:t>
      </w:r>
      <w:r w:rsidR="007509A9" w:rsidRPr="00BA314E">
        <w:rPr>
          <w:rFonts w:ascii="Times New Roman" w:hAnsi="Times New Roman" w:cs="Times New Roman"/>
          <w:sz w:val="24"/>
          <w:szCs w:val="24"/>
          <w:vertAlign w:val="superscript"/>
        </w:rPr>
        <w:t>2</w:t>
      </w:r>
      <w:r w:rsidR="007509A9" w:rsidRPr="00BA314E">
        <w:rPr>
          <w:rFonts w:ascii="Times New Roman" w:hAnsi="Times New Roman" w:cs="Times New Roman"/>
          <w:sz w:val="24"/>
          <w:szCs w:val="24"/>
        </w:rPr>
        <w:t>, 24</w:t>
      </w:r>
      <w:r w:rsidR="007509A9" w:rsidRPr="00BA314E">
        <w:rPr>
          <w:rFonts w:ascii="Times New Roman" w:hAnsi="Times New Roman" w:cs="Times New Roman"/>
          <w:sz w:val="24"/>
          <w:szCs w:val="24"/>
          <w:vertAlign w:val="superscript"/>
        </w:rPr>
        <w:t>1</w:t>
      </w:r>
      <w:r w:rsidR="007509A9" w:rsidRPr="00BA314E">
        <w:rPr>
          <w:rFonts w:ascii="Times New Roman" w:hAnsi="Times New Roman" w:cs="Times New Roman"/>
          <w:sz w:val="24"/>
          <w:szCs w:val="24"/>
        </w:rPr>
        <w:t>, 26</w:t>
      </w:r>
      <w:r w:rsidR="007509A9" w:rsidRPr="00BA314E">
        <w:rPr>
          <w:rFonts w:ascii="Times New Roman" w:hAnsi="Times New Roman" w:cs="Times New Roman"/>
          <w:sz w:val="24"/>
          <w:szCs w:val="24"/>
          <w:vertAlign w:val="superscript"/>
        </w:rPr>
        <w:t>1</w:t>
      </w:r>
      <w:r w:rsidR="007509A9" w:rsidRPr="00BA314E">
        <w:rPr>
          <w:rFonts w:ascii="Times New Roman" w:hAnsi="Times New Roman" w:cs="Times New Roman"/>
          <w:sz w:val="24"/>
          <w:szCs w:val="24"/>
        </w:rPr>
        <w:t>, 26</w:t>
      </w:r>
      <w:r w:rsidR="007509A9" w:rsidRPr="00BA314E">
        <w:rPr>
          <w:rFonts w:ascii="Times New Roman" w:hAnsi="Times New Roman" w:cs="Times New Roman"/>
          <w:sz w:val="24"/>
          <w:szCs w:val="24"/>
          <w:vertAlign w:val="superscript"/>
        </w:rPr>
        <w:t>5</w:t>
      </w:r>
      <w:r w:rsidR="007509A9" w:rsidRPr="00BA314E">
        <w:rPr>
          <w:rFonts w:ascii="Times New Roman" w:hAnsi="Times New Roman" w:cs="Times New Roman"/>
          <w:sz w:val="24"/>
          <w:szCs w:val="24"/>
        </w:rPr>
        <w:t xml:space="preserve"> – 26</w:t>
      </w:r>
      <w:r w:rsidR="00E26556" w:rsidRPr="00BA314E">
        <w:rPr>
          <w:rFonts w:ascii="Times New Roman" w:hAnsi="Times New Roman" w:cs="Times New Roman"/>
          <w:sz w:val="24"/>
          <w:szCs w:val="24"/>
          <w:vertAlign w:val="superscript"/>
        </w:rPr>
        <w:t>9</w:t>
      </w:r>
      <w:r w:rsidR="007509A9" w:rsidRPr="00BA314E">
        <w:rPr>
          <w:rFonts w:ascii="Times New Roman" w:hAnsi="Times New Roman" w:cs="Times New Roman"/>
          <w:sz w:val="24"/>
          <w:szCs w:val="24"/>
        </w:rPr>
        <w:t>, 27</w:t>
      </w:r>
      <w:r w:rsidR="007509A9" w:rsidRPr="00BA314E">
        <w:rPr>
          <w:rFonts w:ascii="Times New Roman" w:hAnsi="Times New Roman" w:cs="Times New Roman"/>
          <w:sz w:val="24"/>
          <w:szCs w:val="24"/>
          <w:vertAlign w:val="superscript"/>
        </w:rPr>
        <w:t>2</w:t>
      </w:r>
      <w:r w:rsidR="007509A9" w:rsidRPr="00BA314E">
        <w:rPr>
          <w:rFonts w:ascii="Times New Roman" w:hAnsi="Times New Roman" w:cs="Times New Roman"/>
          <w:sz w:val="24"/>
          <w:szCs w:val="24"/>
        </w:rPr>
        <w:t>, 27</w:t>
      </w:r>
      <w:r w:rsidR="007509A9" w:rsidRPr="00BA314E">
        <w:rPr>
          <w:rFonts w:ascii="Times New Roman" w:hAnsi="Times New Roman" w:cs="Times New Roman"/>
          <w:sz w:val="24"/>
          <w:szCs w:val="24"/>
          <w:vertAlign w:val="superscript"/>
        </w:rPr>
        <w:t xml:space="preserve">3 </w:t>
      </w:r>
      <w:r w:rsidR="007509A9" w:rsidRPr="00BA314E">
        <w:rPr>
          <w:rFonts w:ascii="Times New Roman" w:hAnsi="Times New Roman" w:cs="Times New Roman"/>
          <w:sz w:val="24"/>
          <w:szCs w:val="24"/>
        </w:rPr>
        <w:t>järgmises sõnastuses:</w:t>
      </w:r>
    </w:p>
    <w:p w14:paraId="62FEABD6" w14:textId="43CD0EC0"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„7</w:t>
      </w:r>
      <w:r w:rsidRPr="00BA314E">
        <w:rPr>
          <w:rFonts w:ascii="Times New Roman" w:hAnsi="Times New Roman" w:cs="Times New Roman"/>
          <w:sz w:val="24"/>
          <w:szCs w:val="24"/>
          <w:vertAlign w:val="superscript"/>
        </w:rPr>
        <w:t>3</w:t>
      </w:r>
      <w:r w:rsidRPr="00BA314E">
        <w:rPr>
          <w:rFonts w:ascii="Times New Roman" w:hAnsi="Times New Roman" w:cs="Times New Roman"/>
          <w:sz w:val="24"/>
          <w:szCs w:val="24"/>
        </w:rPr>
        <w:t>) energia summaarne lõpptarbimine – kogu energia, mis tarnitakse tööstus-, transpordi-, teenindus- ja põllumajandussektorile ning kodumajapidamistele, elektri- ja soojusenergia tarbimine energiasektoris elektri- ja soojusenergia tootmiseks ning elektri- ja soojuskaod jaotamisel ja ülekandmisel;</w:t>
      </w:r>
    </w:p>
    <w:p w14:paraId="5F1324A8" w14:textId="77777777"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15</w:t>
      </w:r>
      <w:r w:rsidRPr="00BA314E">
        <w:rPr>
          <w:rFonts w:ascii="Times New Roman" w:hAnsi="Times New Roman" w:cs="Times New Roman"/>
          <w:sz w:val="24"/>
          <w:szCs w:val="24"/>
          <w:vertAlign w:val="superscript"/>
        </w:rPr>
        <w:t>2</w:t>
      </w:r>
      <w:r w:rsidRPr="00BA314E">
        <w:rPr>
          <w:rFonts w:ascii="Times New Roman" w:hAnsi="Times New Roman" w:cs="Times New Roman"/>
          <w:sz w:val="24"/>
          <w:szCs w:val="24"/>
        </w:rPr>
        <w:t>) istandik – on istandik Euroopa Parlamendi ja nõukogu määruse (EL) 2023/1115, milles käsitletakse teatavate raadamise ja metsade degradeerumisega seotud saaduste ja toodete liidu turul kättesaadavaks tegemist ja liidust eksportimist ning millega tunnistatakse kehtetuks määrus (EL) nr 995/2010 ((ELT L 150/206, 09.06.2023)), artikli 2 punkti 11 tähenduses;“;</w:t>
      </w:r>
    </w:p>
    <w:p w14:paraId="7C721ACB" w14:textId="77777777"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21</w:t>
      </w:r>
      <w:r w:rsidRPr="00BA314E">
        <w:rPr>
          <w:rFonts w:ascii="Times New Roman" w:hAnsi="Times New Roman" w:cs="Times New Roman"/>
          <w:sz w:val="24"/>
          <w:szCs w:val="24"/>
          <w:vertAlign w:val="superscript"/>
        </w:rPr>
        <w:t>2</w:t>
      </w:r>
      <w:r w:rsidRPr="00BA314E">
        <w:rPr>
          <w:rFonts w:ascii="Times New Roman" w:hAnsi="Times New Roman" w:cs="Times New Roman"/>
          <w:sz w:val="24"/>
          <w:szCs w:val="24"/>
        </w:rPr>
        <w:t>) muud kui bioloogilist päritolu taastuvkütused – vedelad ja gaasilised kütused, milles sisalduv energia pärineb muudest taastuvenergia allikatest kui biomass;</w:t>
      </w:r>
    </w:p>
    <w:p w14:paraId="407ACED0" w14:textId="77777777"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24</w:t>
      </w:r>
      <w:r w:rsidRPr="00BA314E">
        <w:rPr>
          <w:rFonts w:ascii="Times New Roman" w:hAnsi="Times New Roman" w:cs="Times New Roman"/>
          <w:sz w:val="24"/>
          <w:szCs w:val="24"/>
          <w:vertAlign w:val="superscript"/>
        </w:rPr>
        <w:t>1</w:t>
      </w:r>
      <w:r w:rsidRPr="00BA314E">
        <w:rPr>
          <w:rFonts w:ascii="Times New Roman" w:hAnsi="Times New Roman" w:cs="Times New Roman"/>
          <w:sz w:val="24"/>
          <w:szCs w:val="24"/>
        </w:rPr>
        <w:t>) osmootne energia – energia, mis tekib looduslikult kahe vedeliku, tavaliselt magevee ja soolase vee soolasisalduse erinevusest;</w:t>
      </w:r>
    </w:p>
    <w:p w14:paraId="425CDF26" w14:textId="0A1B52C5"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26</w:t>
      </w:r>
      <w:r w:rsidRPr="00BA314E">
        <w:rPr>
          <w:rFonts w:ascii="Times New Roman" w:hAnsi="Times New Roman" w:cs="Times New Roman"/>
          <w:sz w:val="24"/>
          <w:szCs w:val="24"/>
          <w:vertAlign w:val="superscript"/>
        </w:rPr>
        <w:t>1</w:t>
      </w:r>
      <w:r w:rsidRPr="00BA314E">
        <w:rPr>
          <w:rFonts w:ascii="Times New Roman" w:hAnsi="Times New Roman" w:cs="Times New Roman"/>
          <w:sz w:val="24"/>
          <w:szCs w:val="24"/>
        </w:rPr>
        <w:t>) päritolutunnistuste süsteemihaldaja – süsteemihaldur maagaasiseaduse tähenduses ja põhivõrguettevõtja elektrituruseaduse tähenduses, väljastab kõikide energiakandjate käesoleva seaduse § 32</w:t>
      </w:r>
      <w:r w:rsidRPr="00BA314E">
        <w:rPr>
          <w:rFonts w:ascii="Times New Roman" w:hAnsi="Times New Roman" w:cs="Times New Roman"/>
          <w:sz w:val="24"/>
          <w:szCs w:val="24"/>
          <w:vertAlign w:val="superscript"/>
        </w:rPr>
        <w:t>7</w:t>
      </w:r>
      <w:r w:rsidRPr="00BA314E">
        <w:rPr>
          <w:rFonts w:ascii="Times New Roman" w:hAnsi="Times New Roman" w:cs="Times New Roman"/>
          <w:sz w:val="24"/>
          <w:szCs w:val="24"/>
        </w:rPr>
        <w:t xml:space="preserve"> lõikes 1 nimetatud päritolutunnistusi ja haldab § 32</w:t>
      </w:r>
      <w:r w:rsidRPr="00BA314E">
        <w:rPr>
          <w:rFonts w:ascii="Times New Roman" w:hAnsi="Times New Roman" w:cs="Times New Roman"/>
          <w:sz w:val="24"/>
          <w:szCs w:val="24"/>
          <w:vertAlign w:val="superscript"/>
        </w:rPr>
        <w:t>10</w:t>
      </w:r>
      <w:r w:rsidRPr="00BA314E">
        <w:rPr>
          <w:rFonts w:ascii="Times New Roman" w:hAnsi="Times New Roman" w:cs="Times New Roman"/>
          <w:sz w:val="24"/>
          <w:szCs w:val="24"/>
        </w:rPr>
        <w:t xml:space="preserve"> lõikes 1 nimetatud elektroonilist andmebaasi;</w:t>
      </w:r>
    </w:p>
    <w:p w14:paraId="3D518A47" w14:textId="69D96137"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26</w:t>
      </w:r>
      <w:r w:rsidR="00E26556" w:rsidRPr="00BA314E">
        <w:rPr>
          <w:rFonts w:ascii="Times New Roman" w:hAnsi="Times New Roman" w:cs="Times New Roman"/>
          <w:sz w:val="24"/>
          <w:szCs w:val="24"/>
          <w:vertAlign w:val="superscript"/>
        </w:rPr>
        <w:t>5</w:t>
      </w:r>
      <w:r w:rsidRPr="00BA314E">
        <w:rPr>
          <w:rFonts w:ascii="Times New Roman" w:hAnsi="Times New Roman" w:cs="Times New Roman"/>
          <w:sz w:val="24"/>
          <w:szCs w:val="24"/>
        </w:rPr>
        <w:t>) taastuvenergia – taastuvatest mittefossiilsetest allikatest pärit energia, nimelt tuuleenergia, päikeseenergia, geotermiline energia, osmootne energia, ümbritseva keskkonna energia, loodete, lainete ja muu ookeanienergia, hüdroenergia ning käesoleva seaduse § 32</w:t>
      </w:r>
      <w:r w:rsidRPr="00BA314E">
        <w:rPr>
          <w:rFonts w:ascii="Times New Roman" w:hAnsi="Times New Roman" w:cs="Times New Roman"/>
          <w:sz w:val="24"/>
          <w:szCs w:val="24"/>
          <w:vertAlign w:val="superscript"/>
        </w:rPr>
        <w:t>3</w:t>
      </w:r>
      <w:r w:rsidRPr="00BA314E">
        <w:rPr>
          <w:rFonts w:ascii="Times New Roman" w:hAnsi="Times New Roman" w:cs="Times New Roman"/>
          <w:sz w:val="24"/>
          <w:szCs w:val="24"/>
        </w:rPr>
        <w:t xml:space="preserve"> nõuetele vastavast biomassist, prügilagaasist, reoveepuhasti gaasist ja biogaasist toodetud energia;</w:t>
      </w:r>
    </w:p>
    <w:p w14:paraId="7C32A6D2" w14:textId="0C21FB9A" w:rsidR="007509A9" w:rsidRPr="00BA314E" w:rsidRDefault="007509A9" w:rsidP="00020526">
      <w:pPr>
        <w:spacing w:after="0" w:line="240" w:lineRule="auto"/>
        <w:jc w:val="both"/>
        <w:rPr>
          <w:rFonts w:ascii="Times New Roman" w:hAnsi="Times New Roman" w:cs="Times New Roman"/>
          <w:sz w:val="24"/>
          <w:szCs w:val="24"/>
        </w:rPr>
      </w:pPr>
      <w:bookmarkStart w:id="2" w:name="_Hlk173160556"/>
      <w:r w:rsidRPr="00BA314E">
        <w:rPr>
          <w:rFonts w:ascii="Times New Roman" w:hAnsi="Times New Roman" w:cs="Times New Roman"/>
          <w:sz w:val="24"/>
          <w:szCs w:val="24"/>
        </w:rPr>
        <w:t>26</w:t>
      </w:r>
      <w:r w:rsidR="00E26556" w:rsidRPr="00BA314E">
        <w:rPr>
          <w:rFonts w:ascii="Times New Roman" w:hAnsi="Times New Roman" w:cs="Times New Roman"/>
          <w:sz w:val="24"/>
          <w:szCs w:val="24"/>
          <w:vertAlign w:val="superscript"/>
        </w:rPr>
        <w:t>6</w:t>
      </w:r>
      <w:r w:rsidRPr="00BA314E">
        <w:rPr>
          <w:rFonts w:ascii="Times New Roman" w:hAnsi="Times New Roman" w:cs="Times New Roman"/>
          <w:sz w:val="24"/>
          <w:szCs w:val="24"/>
        </w:rPr>
        <w:t>) taastuvelektrienergia – taastuvatest energiaallikatest toodetud elektrienergia;</w:t>
      </w:r>
    </w:p>
    <w:bookmarkEnd w:id="2"/>
    <w:p w14:paraId="3E36CF1C" w14:textId="5F4BF0CA"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26</w:t>
      </w:r>
      <w:r w:rsidR="00E26556" w:rsidRPr="00BA314E">
        <w:rPr>
          <w:rFonts w:ascii="Times New Roman" w:hAnsi="Times New Roman" w:cs="Times New Roman"/>
          <w:sz w:val="24"/>
          <w:szCs w:val="24"/>
          <w:vertAlign w:val="superscript"/>
        </w:rPr>
        <w:t>7</w:t>
      </w:r>
      <w:r w:rsidRPr="00BA314E">
        <w:rPr>
          <w:rFonts w:ascii="Times New Roman" w:hAnsi="Times New Roman" w:cs="Times New Roman"/>
          <w:sz w:val="24"/>
          <w:szCs w:val="24"/>
        </w:rPr>
        <w:t xml:space="preserve">) taastuvenergiajaam – jaam, mis toodab energiat tuuleenergiast (edaspidi </w:t>
      </w:r>
      <w:r w:rsidRPr="00BA314E">
        <w:rPr>
          <w:rFonts w:ascii="Times New Roman" w:hAnsi="Times New Roman" w:cs="Times New Roman"/>
          <w:i/>
          <w:sz w:val="24"/>
          <w:szCs w:val="24"/>
        </w:rPr>
        <w:t>tuuleelektrijaam</w:t>
      </w:r>
      <w:r w:rsidRPr="00BA314E">
        <w:rPr>
          <w:rFonts w:ascii="Times New Roman" w:hAnsi="Times New Roman" w:cs="Times New Roman"/>
          <w:sz w:val="24"/>
          <w:szCs w:val="24"/>
        </w:rPr>
        <w:t xml:space="preserve">), päikeseenergiast (edaspidi </w:t>
      </w:r>
      <w:r w:rsidRPr="00BA314E">
        <w:rPr>
          <w:rFonts w:ascii="Times New Roman" w:hAnsi="Times New Roman" w:cs="Times New Roman"/>
          <w:i/>
          <w:sz w:val="24"/>
          <w:szCs w:val="24"/>
        </w:rPr>
        <w:t>päikeseenergiaseade</w:t>
      </w:r>
      <w:r w:rsidRPr="00BA314E">
        <w:rPr>
          <w:rFonts w:ascii="Times New Roman" w:hAnsi="Times New Roman" w:cs="Times New Roman"/>
          <w:sz w:val="24"/>
          <w:szCs w:val="24"/>
        </w:rPr>
        <w:t>), geotermilisest energiast, osmootsest energiast, ümbritseva keskkonna energiast, loodete, lainete ja muust ookeanienergiast, hüdroenergiast või käesoleva seaduse § 32</w:t>
      </w:r>
      <w:r w:rsidRPr="00BA314E">
        <w:rPr>
          <w:rFonts w:ascii="Times New Roman" w:hAnsi="Times New Roman" w:cs="Times New Roman"/>
          <w:sz w:val="24"/>
          <w:szCs w:val="24"/>
          <w:vertAlign w:val="superscript"/>
        </w:rPr>
        <w:t>3</w:t>
      </w:r>
      <w:r w:rsidRPr="00BA314E">
        <w:rPr>
          <w:rFonts w:ascii="Times New Roman" w:hAnsi="Times New Roman" w:cs="Times New Roman"/>
          <w:sz w:val="24"/>
          <w:szCs w:val="24"/>
        </w:rPr>
        <w:t xml:space="preserve"> nõuetele vastavast biomassist, prügilagaasist, reoveepuhasti gaasist või biogaasist (edaspidi </w:t>
      </w:r>
      <w:r w:rsidRPr="00BA314E">
        <w:rPr>
          <w:rFonts w:ascii="Times New Roman" w:hAnsi="Times New Roman" w:cs="Times New Roman"/>
          <w:i/>
          <w:sz w:val="24"/>
          <w:szCs w:val="24"/>
        </w:rPr>
        <w:t>biometaanijaam</w:t>
      </w:r>
      <w:r w:rsidRPr="00BA314E">
        <w:rPr>
          <w:rFonts w:ascii="Times New Roman" w:hAnsi="Times New Roman" w:cs="Times New Roman"/>
          <w:sz w:val="24"/>
          <w:szCs w:val="24"/>
        </w:rPr>
        <w:t>)</w:t>
      </w:r>
      <w:r w:rsidR="002216F8" w:rsidRPr="00BA314E">
        <w:rPr>
          <w:rFonts w:ascii="Times New Roman" w:hAnsi="Times New Roman" w:cs="Times New Roman"/>
          <w:sz w:val="24"/>
          <w:szCs w:val="24"/>
        </w:rPr>
        <w:t>,</w:t>
      </w:r>
      <w:r w:rsidRPr="00BA314E">
        <w:rPr>
          <w:rFonts w:ascii="Times New Roman" w:hAnsi="Times New Roman" w:cs="Times New Roman"/>
          <w:sz w:val="24"/>
          <w:szCs w:val="24"/>
        </w:rPr>
        <w:t xml:space="preserve"> või taastuvenergia tootmiseks mitut eespool loetletud taastuvenergia liiki kasutav tootmisseade;</w:t>
      </w:r>
    </w:p>
    <w:p w14:paraId="57B432B9" w14:textId="72E0D021"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26</w:t>
      </w:r>
      <w:r w:rsidR="00E26556" w:rsidRPr="00BA314E">
        <w:rPr>
          <w:rFonts w:ascii="Times New Roman" w:hAnsi="Times New Roman" w:cs="Times New Roman"/>
          <w:sz w:val="24"/>
          <w:szCs w:val="24"/>
          <w:vertAlign w:val="superscript"/>
        </w:rPr>
        <w:t>8</w:t>
      </w:r>
      <w:r w:rsidRPr="00BA314E">
        <w:rPr>
          <w:rFonts w:ascii="Times New Roman" w:hAnsi="Times New Roman" w:cs="Times New Roman"/>
          <w:sz w:val="24"/>
          <w:szCs w:val="24"/>
        </w:rPr>
        <w:t xml:space="preserve">) taastuvkütused – biokütused, vedelad biokütused, </w:t>
      </w:r>
      <w:proofErr w:type="spellStart"/>
      <w:r w:rsidRPr="00BA314E">
        <w:rPr>
          <w:rFonts w:ascii="Times New Roman" w:hAnsi="Times New Roman" w:cs="Times New Roman"/>
          <w:sz w:val="24"/>
          <w:szCs w:val="24"/>
        </w:rPr>
        <w:t>biomasskütused</w:t>
      </w:r>
      <w:proofErr w:type="spellEnd"/>
      <w:r w:rsidRPr="00BA314E">
        <w:rPr>
          <w:rFonts w:ascii="Times New Roman" w:hAnsi="Times New Roman" w:cs="Times New Roman"/>
          <w:sz w:val="24"/>
          <w:szCs w:val="24"/>
        </w:rPr>
        <w:t xml:space="preserve"> atmosfääriõhukaitse seaduse tähenduses ja muud kui bioloogilist päritolu taastuvkütused;</w:t>
      </w:r>
    </w:p>
    <w:p w14:paraId="32006729" w14:textId="4267B0EB"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lastRenderedPageBreak/>
        <w:t>26</w:t>
      </w:r>
      <w:r w:rsidR="00E26556" w:rsidRPr="00BA314E">
        <w:rPr>
          <w:rFonts w:ascii="Times New Roman" w:hAnsi="Times New Roman" w:cs="Times New Roman"/>
          <w:sz w:val="24"/>
          <w:szCs w:val="24"/>
          <w:vertAlign w:val="superscript"/>
        </w:rPr>
        <w:t>9</w:t>
      </w:r>
      <w:r w:rsidRPr="00BA314E">
        <w:rPr>
          <w:rFonts w:ascii="Times New Roman" w:hAnsi="Times New Roman" w:cs="Times New Roman"/>
          <w:sz w:val="24"/>
          <w:szCs w:val="24"/>
        </w:rPr>
        <w:t xml:space="preserve">) taastuvatest energiaallikatest toodetud vesinik – vesinik, mille käigus kasutatakse vesiniku tootmiseks üksnes taastuvaid energiaallikaid </w:t>
      </w:r>
      <w:proofErr w:type="spellStart"/>
      <w:r w:rsidRPr="00BA314E">
        <w:rPr>
          <w:rFonts w:ascii="Times New Roman" w:hAnsi="Times New Roman" w:cs="Times New Roman"/>
          <w:sz w:val="24"/>
          <w:szCs w:val="24"/>
        </w:rPr>
        <w:t>ELTS</w:t>
      </w:r>
      <w:r w:rsidR="002216F8" w:rsidRPr="00BA314E">
        <w:rPr>
          <w:rFonts w:ascii="Times New Roman" w:hAnsi="Times New Roman" w:cs="Times New Roman"/>
          <w:sz w:val="24"/>
          <w:szCs w:val="24"/>
        </w:rPr>
        <w:t>i</w:t>
      </w:r>
      <w:proofErr w:type="spellEnd"/>
      <w:r w:rsidRPr="00BA314E">
        <w:rPr>
          <w:rFonts w:ascii="Times New Roman" w:hAnsi="Times New Roman" w:cs="Times New Roman"/>
          <w:sz w:val="24"/>
          <w:szCs w:val="24"/>
        </w:rPr>
        <w:t xml:space="preserve"> § 57 l</w:t>
      </w:r>
      <w:r w:rsidR="002216F8" w:rsidRPr="00BA314E">
        <w:rPr>
          <w:rFonts w:ascii="Times New Roman" w:hAnsi="Times New Roman" w:cs="Times New Roman"/>
          <w:sz w:val="24"/>
          <w:szCs w:val="24"/>
        </w:rPr>
        <w:t>õike</w:t>
      </w:r>
      <w:r w:rsidRPr="00BA314E">
        <w:rPr>
          <w:rFonts w:ascii="Times New Roman" w:hAnsi="Times New Roman" w:cs="Times New Roman"/>
          <w:sz w:val="24"/>
          <w:szCs w:val="24"/>
        </w:rPr>
        <w:t xml:space="preserve"> 1 tähenduses;</w:t>
      </w:r>
    </w:p>
    <w:p w14:paraId="54826D67" w14:textId="77777777"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27</w:t>
      </w:r>
      <w:r w:rsidRPr="00BA314E">
        <w:rPr>
          <w:rFonts w:ascii="Times New Roman" w:hAnsi="Times New Roman" w:cs="Times New Roman"/>
          <w:sz w:val="24"/>
          <w:szCs w:val="24"/>
          <w:vertAlign w:val="superscript"/>
        </w:rPr>
        <w:t>2</w:t>
      </w:r>
      <w:r w:rsidRPr="00BA314E">
        <w:rPr>
          <w:rFonts w:ascii="Times New Roman" w:hAnsi="Times New Roman" w:cs="Times New Roman"/>
          <w:sz w:val="24"/>
          <w:szCs w:val="24"/>
        </w:rPr>
        <w:t>) tööstuslik ümarpuit – saepalgid, vineeripakud, paberipuit (ümar või lõhutud), samuti kogu muu tööstuslikuks otstarbeks sobiv ümarpuit, välja arvatud ümarpuit, mille omadused, näiteks puuliik, mõõtmed, kõverus ja okslikkus, muudavad selle tööstuslikuks kasutamiseks sobimatuks, mille liikmesriigid on asjakohaste metsa- ja turutingimuste põhjal kindlaks teinud ja igakülgselt põhjendanud;</w:t>
      </w:r>
    </w:p>
    <w:p w14:paraId="2AABFCA2" w14:textId="5144F6D0" w:rsidR="007509A9" w:rsidRPr="00BA314E" w:rsidRDefault="007509A9" w:rsidP="00020526">
      <w:pPr>
        <w:spacing w:after="0" w:line="240" w:lineRule="auto"/>
        <w:jc w:val="both"/>
        <w:rPr>
          <w:rFonts w:ascii="Times New Roman" w:hAnsi="Times New Roman" w:cs="Times New Roman"/>
          <w:sz w:val="24"/>
          <w:szCs w:val="24"/>
        </w:rPr>
      </w:pPr>
      <w:r w:rsidRPr="00BA314E">
        <w:rPr>
          <w:rFonts w:ascii="Times New Roman" w:hAnsi="Times New Roman" w:cs="Times New Roman"/>
          <w:sz w:val="24"/>
          <w:szCs w:val="24"/>
        </w:rPr>
        <w:t>27</w:t>
      </w:r>
      <w:r w:rsidRPr="00BA314E">
        <w:rPr>
          <w:rFonts w:ascii="Times New Roman" w:hAnsi="Times New Roman" w:cs="Times New Roman"/>
          <w:sz w:val="24"/>
          <w:szCs w:val="24"/>
          <w:vertAlign w:val="superscript"/>
        </w:rPr>
        <w:t>3</w:t>
      </w:r>
      <w:r w:rsidRPr="00BA314E">
        <w:rPr>
          <w:rFonts w:ascii="Times New Roman" w:hAnsi="Times New Roman" w:cs="Times New Roman"/>
          <w:sz w:val="24"/>
          <w:szCs w:val="24"/>
        </w:rPr>
        <w:t>) tööstussektor – Eesti majanduse tegevusalade klassifikaatori (EMTAK)“ B, C ja F jakku ning J jao 63 ossa liigitatud ettevõtjad ja tooted;</w:t>
      </w:r>
    </w:p>
    <w:p w14:paraId="5DA6CA40" w14:textId="03DB6131" w:rsidR="00C31585" w:rsidRPr="00BA314E" w:rsidRDefault="00C31585" w:rsidP="00020526">
      <w:pPr>
        <w:spacing w:after="0" w:line="240" w:lineRule="auto"/>
        <w:jc w:val="both"/>
        <w:rPr>
          <w:rFonts w:ascii="Times New Roman" w:hAnsi="Times New Roman" w:cs="Times New Roman"/>
          <w:sz w:val="24"/>
          <w:szCs w:val="24"/>
        </w:rPr>
      </w:pPr>
    </w:p>
    <w:p w14:paraId="46C9A9E1" w14:textId="2E231D02" w:rsidR="00C31585" w:rsidRPr="00BA314E" w:rsidRDefault="00C31585" w:rsidP="00020526">
      <w:pPr>
        <w:spacing w:after="0" w:line="240" w:lineRule="auto"/>
        <w:jc w:val="both"/>
        <w:rPr>
          <w:rFonts w:ascii="Times New Roman" w:hAnsi="Times New Roman" w:cs="Times New Roman"/>
          <w:b/>
          <w:bCs/>
          <w:sz w:val="24"/>
          <w:szCs w:val="24"/>
        </w:rPr>
      </w:pPr>
      <w:r w:rsidRPr="00BA314E">
        <w:rPr>
          <w:rFonts w:ascii="Times New Roman" w:hAnsi="Times New Roman" w:cs="Times New Roman"/>
          <w:b/>
          <w:bCs/>
          <w:sz w:val="24"/>
          <w:szCs w:val="24"/>
        </w:rPr>
        <w:t>Vedelkütuse seadus</w:t>
      </w:r>
    </w:p>
    <w:p w14:paraId="1DBAE0CD" w14:textId="77777777" w:rsidR="002216F8" w:rsidRPr="00BA314E" w:rsidRDefault="002216F8" w:rsidP="00586B61">
      <w:pPr>
        <w:spacing w:after="0" w:line="240" w:lineRule="auto"/>
        <w:rPr>
          <w:rFonts w:ascii="Times New Roman" w:hAnsi="Times New Roman" w:cs="Times New Roman"/>
          <w:sz w:val="24"/>
          <w:szCs w:val="24"/>
        </w:rPr>
      </w:pPr>
    </w:p>
    <w:p w14:paraId="73AE469C" w14:textId="71A6F1A9" w:rsidR="00C31585" w:rsidRPr="00BA314E" w:rsidRDefault="002216F8" w:rsidP="00020526">
      <w:pPr>
        <w:spacing w:after="0" w:line="240" w:lineRule="auto"/>
        <w:rPr>
          <w:rFonts w:ascii="Times New Roman" w:hAnsi="Times New Roman" w:cs="Times New Roman"/>
          <w:sz w:val="24"/>
          <w:szCs w:val="24"/>
        </w:rPr>
      </w:pPr>
      <w:r w:rsidRPr="00BA314E">
        <w:rPr>
          <w:rFonts w:ascii="Times New Roman" w:hAnsi="Times New Roman" w:cs="Times New Roman"/>
          <w:sz w:val="24"/>
          <w:szCs w:val="24"/>
        </w:rPr>
        <w:t>P</w:t>
      </w:r>
      <w:r w:rsidR="00C31585" w:rsidRPr="00BA314E">
        <w:rPr>
          <w:rFonts w:ascii="Times New Roman" w:hAnsi="Times New Roman" w:cs="Times New Roman"/>
          <w:sz w:val="24"/>
          <w:szCs w:val="24"/>
        </w:rPr>
        <w:t>aragrahvi 2 täiendatakse punktiga 1</w:t>
      </w:r>
      <w:r w:rsidR="00C31585" w:rsidRPr="00BA314E">
        <w:rPr>
          <w:rFonts w:ascii="Times New Roman" w:hAnsi="Times New Roman" w:cs="Times New Roman"/>
          <w:sz w:val="24"/>
          <w:szCs w:val="24"/>
          <w:vertAlign w:val="superscript"/>
        </w:rPr>
        <w:t>1</w:t>
      </w:r>
      <w:r w:rsidR="00C31585" w:rsidRPr="00BA314E">
        <w:rPr>
          <w:rFonts w:ascii="Times New Roman" w:hAnsi="Times New Roman" w:cs="Times New Roman"/>
          <w:sz w:val="24"/>
          <w:szCs w:val="24"/>
        </w:rPr>
        <w:t xml:space="preserve"> järgmises sõnastuses:</w:t>
      </w:r>
    </w:p>
    <w:p w14:paraId="7FD7B89E" w14:textId="423D5A2F" w:rsidR="00C31585" w:rsidRPr="00BA314E" w:rsidRDefault="00C31585" w:rsidP="00020526">
      <w:pPr>
        <w:spacing w:after="0" w:line="240" w:lineRule="auto"/>
        <w:rPr>
          <w:rFonts w:ascii="Times New Roman" w:hAnsi="Times New Roman" w:cs="Times New Roman"/>
          <w:sz w:val="24"/>
          <w:szCs w:val="24"/>
        </w:rPr>
      </w:pPr>
      <w:r w:rsidRPr="00BA314E">
        <w:rPr>
          <w:rFonts w:ascii="Times New Roman" w:hAnsi="Times New Roman" w:cs="Times New Roman"/>
          <w:sz w:val="24"/>
          <w:szCs w:val="24"/>
        </w:rPr>
        <w:t>„1</w:t>
      </w:r>
      <w:r w:rsidRPr="00BA314E">
        <w:rPr>
          <w:rFonts w:ascii="Times New Roman" w:hAnsi="Times New Roman" w:cs="Times New Roman"/>
          <w:sz w:val="24"/>
          <w:szCs w:val="24"/>
          <w:vertAlign w:val="superscript"/>
        </w:rPr>
        <w:t>1</w:t>
      </w:r>
      <w:r w:rsidRPr="00BA314E">
        <w:rPr>
          <w:rFonts w:ascii="Times New Roman" w:hAnsi="Times New Roman" w:cs="Times New Roman"/>
          <w:sz w:val="24"/>
          <w:szCs w:val="24"/>
        </w:rPr>
        <w:t xml:space="preserve">) </w:t>
      </w:r>
      <w:r w:rsidRPr="00BA314E">
        <w:rPr>
          <w:rFonts w:ascii="Times New Roman" w:eastAsiaTheme="majorEastAsia" w:hAnsi="Times New Roman" w:cs="Times New Roman"/>
          <w:sz w:val="24"/>
          <w:szCs w:val="24"/>
        </w:rPr>
        <w:t>veeldatud biometaan on veeldatud olekus</w:t>
      </w:r>
      <w:r w:rsidRPr="00BA314E">
        <w:rPr>
          <w:rFonts w:ascii="Times New Roman" w:hAnsi="Times New Roman" w:cs="Times New Roman"/>
          <w:sz w:val="24"/>
          <w:szCs w:val="24"/>
        </w:rPr>
        <w:t xml:space="preserve"> </w:t>
      </w:r>
      <w:r w:rsidRPr="00BA314E">
        <w:rPr>
          <w:rFonts w:ascii="Times New Roman" w:eastAsiaTheme="majorEastAsia" w:hAnsi="Times New Roman" w:cs="Times New Roman"/>
          <w:sz w:val="24"/>
          <w:szCs w:val="24"/>
        </w:rPr>
        <w:t>biometaan maagaasiseaduse tähenduses;“.</w:t>
      </w:r>
    </w:p>
    <w:p w14:paraId="269D17FF" w14:textId="77777777" w:rsidR="00C31585" w:rsidRPr="00BA314E" w:rsidRDefault="00C31585" w:rsidP="00020526">
      <w:pPr>
        <w:spacing w:after="0" w:line="240" w:lineRule="auto"/>
        <w:jc w:val="both"/>
        <w:rPr>
          <w:rFonts w:ascii="Times New Roman" w:hAnsi="Times New Roman" w:cs="Times New Roman"/>
          <w:sz w:val="24"/>
          <w:szCs w:val="24"/>
        </w:rPr>
      </w:pPr>
    </w:p>
    <w:p w14:paraId="2307A221" w14:textId="77777777" w:rsidR="007509A9" w:rsidRPr="00BA314E" w:rsidRDefault="007509A9" w:rsidP="00020526">
      <w:pPr>
        <w:spacing w:after="0" w:line="240" w:lineRule="auto"/>
        <w:jc w:val="both"/>
        <w:rPr>
          <w:rFonts w:ascii="Times New Roman" w:hAnsi="Times New Roman" w:cs="Times New Roman"/>
          <w:sz w:val="24"/>
          <w:szCs w:val="24"/>
        </w:rPr>
      </w:pPr>
    </w:p>
    <w:p w14:paraId="76E38634" w14:textId="77777777" w:rsidR="007509A9" w:rsidRPr="00BA314E" w:rsidRDefault="007509A9" w:rsidP="00020526">
      <w:pPr>
        <w:spacing w:after="0" w:line="240" w:lineRule="auto"/>
        <w:jc w:val="both"/>
        <w:rPr>
          <w:rFonts w:ascii="Times New Roman" w:hAnsi="Times New Roman" w:cs="Times New Roman"/>
          <w:sz w:val="24"/>
          <w:szCs w:val="24"/>
        </w:rPr>
      </w:pPr>
    </w:p>
    <w:p w14:paraId="11A07E44" w14:textId="77777777" w:rsidR="007509A9" w:rsidRPr="00BA314E" w:rsidRDefault="007509A9" w:rsidP="00020526">
      <w:pPr>
        <w:spacing w:after="0" w:line="240" w:lineRule="auto"/>
        <w:rPr>
          <w:rFonts w:ascii="Times New Roman" w:hAnsi="Times New Roman" w:cs="Times New Roman"/>
          <w:sz w:val="24"/>
          <w:szCs w:val="24"/>
        </w:rPr>
      </w:pPr>
    </w:p>
    <w:p w14:paraId="6D89ECFB" w14:textId="77777777" w:rsidR="00ED29B2" w:rsidRPr="00BA314E" w:rsidRDefault="00ED29B2" w:rsidP="00020526">
      <w:pPr>
        <w:spacing w:after="0" w:line="240" w:lineRule="auto"/>
        <w:rPr>
          <w:rFonts w:ascii="Times New Roman" w:hAnsi="Times New Roman" w:cs="Times New Roman"/>
          <w:sz w:val="24"/>
          <w:szCs w:val="24"/>
        </w:rPr>
      </w:pPr>
    </w:p>
    <w:sectPr w:rsidR="00ED29B2" w:rsidRPr="00BA314E" w:rsidSect="0002052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509A9"/>
    <w:rsid w:val="00020526"/>
    <w:rsid w:val="00025982"/>
    <w:rsid w:val="00142837"/>
    <w:rsid w:val="002216F8"/>
    <w:rsid w:val="00231897"/>
    <w:rsid w:val="00270F88"/>
    <w:rsid w:val="004057D7"/>
    <w:rsid w:val="004A1C8A"/>
    <w:rsid w:val="004C5B36"/>
    <w:rsid w:val="00586B61"/>
    <w:rsid w:val="007509A9"/>
    <w:rsid w:val="008C19A9"/>
    <w:rsid w:val="008F6A8D"/>
    <w:rsid w:val="00A71FB4"/>
    <w:rsid w:val="00A846D8"/>
    <w:rsid w:val="00A95262"/>
    <w:rsid w:val="00BA314E"/>
    <w:rsid w:val="00C31585"/>
    <w:rsid w:val="00C62471"/>
    <w:rsid w:val="00DE00E1"/>
    <w:rsid w:val="00E26556"/>
    <w:rsid w:val="00ED29B2"/>
    <w:rsid w:val="00F52F7E"/>
    <w:rsid w:val="00F714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83F8"/>
  <w15:chartTrackingRefBased/>
  <w15:docId w15:val="{2FA2FB9A-E8E9-4012-B595-FF36240D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9A9"/>
  </w:style>
  <w:style w:type="paragraph" w:styleId="Heading1">
    <w:name w:val="heading 1"/>
    <w:basedOn w:val="Normal"/>
    <w:next w:val="Normal"/>
    <w:link w:val="Heading1Char"/>
    <w:uiPriority w:val="9"/>
    <w:qFormat/>
    <w:rsid w:val="00750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9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9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9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9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9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9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9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9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9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9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9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9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9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9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9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9A9"/>
    <w:rPr>
      <w:rFonts w:eastAsiaTheme="majorEastAsia" w:cstheme="majorBidi"/>
      <w:color w:val="272727" w:themeColor="text1" w:themeTint="D8"/>
    </w:rPr>
  </w:style>
  <w:style w:type="paragraph" w:styleId="Title">
    <w:name w:val="Title"/>
    <w:basedOn w:val="Normal"/>
    <w:next w:val="Normal"/>
    <w:link w:val="TitleChar"/>
    <w:uiPriority w:val="10"/>
    <w:qFormat/>
    <w:rsid w:val="00750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9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9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9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9A9"/>
    <w:pPr>
      <w:spacing w:before="160"/>
      <w:jc w:val="center"/>
    </w:pPr>
    <w:rPr>
      <w:i/>
      <w:iCs/>
      <w:color w:val="404040" w:themeColor="text1" w:themeTint="BF"/>
    </w:rPr>
  </w:style>
  <w:style w:type="character" w:customStyle="1" w:styleId="QuoteChar">
    <w:name w:val="Quote Char"/>
    <w:basedOn w:val="DefaultParagraphFont"/>
    <w:link w:val="Quote"/>
    <w:uiPriority w:val="29"/>
    <w:rsid w:val="007509A9"/>
    <w:rPr>
      <w:i/>
      <w:iCs/>
      <w:color w:val="404040" w:themeColor="text1" w:themeTint="BF"/>
    </w:rPr>
  </w:style>
  <w:style w:type="paragraph" w:styleId="ListParagraph">
    <w:name w:val="List Paragraph"/>
    <w:basedOn w:val="Normal"/>
    <w:uiPriority w:val="34"/>
    <w:qFormat/>
    <w:rsid w:val="007509A9"/>
    <w:pPr>
      <w:ind w:left="720"/>
      <w:contextualSpacing/>
    </w:pPr>
  </w:style>
  <w:style w:type="character" w:styleId="IntenseEmphasis">
    <w:name w:val="Intense Emphasis"/>
    <w:basedOn w:val="DefaultParagraphFont"/>
    <w:uiPriority w:val="21"/>
    <w:qFormat/>
    <w:rsid w:val="007509A9"/>
    <w:rPr>
      <w:i/>
      <w:iCs/>
      <w:color w:val="0F4761" w:themeColor="accent1" w:themeShade="BF"/>
    </w:rPr>
  </w:style>
  <w:style w:type="paragraph" w:styleId="IntenseQuote">
    <w:name w:val="Intense Quote"/>
    <w:basedOn w:val="Normal"/>
    <w:next w:val="Normal"/>
    <w:link w:val="IntenseQuoteChar"/>
    <w:uiPriority w:val="30"/>
    <w:qFormat/>
    <w:rsid w:val="00750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9A9"/>
    <w:rPr>
      <w:i/>
      <w:iCs/>
      <w:color w:val="0F4761" w:themeColor="accent1" w:themeShade="BF"/>
    </w:rPr>
  </w:style>
  <w:style w:type="character" w:styleId="IntenseReference">
    <w:name w:val="Intense Reference"/>
    <w:basedOn w:val="DefaultParagraphFont"/>
    <w:uiPriority w:val="32"/>
    <w:qFormat/>
    <w:rsid w:val="007509A9"/>
    <w:rPr>
      <w:b/>
      <w:bCs/>
      <w:smallCaps/>
      <w:color w:val="0F4761" w:themeColor="accent1" w:themeShade="BF"/>
      <w:spacing w:val="5"/>
    </w:rPr>
  </w:style>
  <w:style w:type="paragraph" w:styleId="Revision">
    <w:name w:val="Revision"/>
    <w:hidden/>
    <w:uiPriority w:val="99"/>
    <w:semiHidden/>
    <w:rsid w:val="00586B61"/>
    <w:pPr>
      <w:spacing w:after="0" w:line="240" w:lineRule="auto"/>
    </w:pPr>
  </w:style>
  <w:style w:type="character" w:styleId="CommentReference">
    <w:name w:val="annotation reference"/>
    <w:basedOn w:val="DefaultParagraphFont"/>
    <w:uiPriority w:val="99"/>
    <w:semiHidden/>
    <w:unhideWhenUsed/>
    <w:rsid w:val="002216F8"/>
    <w:rPr>
      <w:sz w:val="16"/>
      <w:szCs w:val="16"/>
    </w:rPr>
  </w:style>
  <w:style w:type="paragraph" w:styleId="CommentText">
    <w:name w:val="annotation text"/>
    <w:basedOn w:val="Normal"/>
    <w:link w:val="CommentTextChar"/>
    <w:uiPriority w:val="99"/>
    <w:unhideWhenUsed/>
    <w:rsid w:val="002216F8"/>
    <w:pPr>
      <w:spacing w:line="240" w:lineRule="auto"/>
    </w:pPr>
    <w:rPr>
      <w:sz w:val="20"/>
      <w:szCs w:val="20"/>
    </w:rPr>
  </w:style>
  <w:style w:type="character" w:customStyle="1" w:styleId="CommentTextChar">
    <w:name w:val="Comment Text Char"/>
    <w:basedOn w:val="DefaultParagraphFont"/>
    <w:link w:val="CommentText"/>
    <w:uiPriority w:val="99"/>
    <w:rsid w:val="002216F8"/>
    <w:rPr>
      <w:sz w:val="20"/>
      <w:szCs w:val="20"/>
    </w:rPr>
  </w:style>
  <w:style w:type="paragraph" w:styleId="CommentSubject">
    <w:name w:val="annotation subject"/>
    <w:basedOn w:val="CommentText"/>
    <w:next w:val="CommentText"/>
    <w:link w:val="CommentSubjectChar"/>
    <w:uiPriority w:val="99"/>
    <w:semiHidden/>
    <w:unhideWhenUsed/>
    <w:rsid w:val="002216F8"/>
    <w:rPr>
      <w:b/>
      <w:bCs/>
    </w:rPr>
  </w:style>
  <w:style w:type="character" w:customStyle="1" w:styleId="CommentSubjectChar">
    <w:name w:val="Comment Subject Char"/>
    <w:basedOn w:val="CommentTextChar"/>
    <w:link w:val="CommentSubject"/>
    <w:uiPriority w:val="99"/>
    <w:semiHidden/>
    <w:rsid w:val="00221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609</Words>
  <Characters>3538</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TERMINID</vt:lpstr>
    </vt:vector>
  </TitlesOfParts>
  <Company>KeMIT</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TERMINID</dc:title>
  <dc:subject/>
  <dc:creator>Hans Markus Kalmer</dc:creator>
  <dc:description/>
  <cp:lastModifiedBy>Kaie Siniallik</cp:lastModifiedBy>
  <cp:revision>10</cp:revision>
  <dcterms:created xsi:type="dcterms:W3CDTF">2025-01-15T11:00:00Z</dcterms:created>
  <dcterms:modified xsi:type="dcterms:W3CDTF">2025-02-21T05:20:00Z</dcterms:modified>
</cp:coreProperties>
</file>