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14:paraId="474351BA" w14:textId="77777777" w:rsidTr="001C28BA">
        <w:trPr>
          <w:trHeight w:val="1905"/>
        </w:trPr>
        <w:tc>
          <w:tcPr>
            <w:tcW w:w="5245" w:type="dxa"/>
            <w:shd w:val="clear" w:color="auto" w:fill="auto"/>
          </w:tcPr>
          <w:p w14:paraId="4DE99D4A" w14:textId="77777777"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14:anchorId="374359B9" wp14:editId="2DD5F29D">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14:paraId="1643EF62" w14:textId="77777777" w:rsidR="00BC1A62" w:rsidRPr="00BC1A62" w:rsidRDefault="00BC1A62" w:rsidP="0008669E">
            <w:pPr>
              <w:pStyle w:val="AK"/>
            </w:pPr>
          </w:p>
        </w:tc>
      </w:tr>
      <w:tr w:rsidR="00D40650" w:rsidRPr="001D4CFB" w14:paraId="6F24E7A1" w14:textId="77777777" w:rsidTr="001C28BA">
        <w:trPr>
          <w:trHeight w:val="1985"/>
        </w:trPr>
        <w:tc>
          <w:tcPr>
            <w:tcW w:w="5245" w:type="dxa"/>
            <w:shd w:val="clear" w:color="auto" w:fill="auto"/>
          </w:tcPr>
          <w:p w14:paraId="7CA31F36" w14:textId="4A43DCCF" w:rsidR="009F0DE4" w:rsidRPr="00F8741D" w:rsidRDefault="00F8741D" w:rsidP="009F0DE4">
            <w:pPr>
              <w:pStyle w:val="adressaat0"/>
            </w:pPr>
            <w:bookmarkStart w:id="0" w:name="_GoBack"/>
            <w:r w:rsidRPr="00F8741D">
              <w:rPr>
                <w:bCs/>
              </w:rPr>
              <w:t>Maksim Iljin</w:t>
            </w:r>
          </w:p>
          <w:bookmarkEnd w:id="0"/>
          <w:p w14:paraId="18F1683C" w14:textId="77777777" w:rsidR="009C74C9" w:rsidRPr="00015E5C" w:rsidRDefault="009C74C9" w:rsidP="009C74C9">
            <w:pPr>
              <w:pStyle w:val="adressaat0"/>
            </w:pPr>
            <w:r w:rsidRPr="00015E5C">
              <w:t>Narva-Jõesuu Linnavalitsus</w:t>
            </w:r>
          </w:p>
          <w:p w14:paraId="003884F7" w14:textId="77777777" w:rsidR="003B2A9C" w:rsidRPr="00BF4D7C" w:rsidRDefault="009F0DE4" w:rsidP="009C74C9">
            <w:pPr>
              <w:pStyle w:val="Adressaat"/>
              <w:rPr>
                <w:iCs/>
              </w:rPr>
            </w:pPr>
            <w:r w:rsidRPr="009F0DE4">
              <w:rPr>
                <w:iCs/>
              </w:rPr>
              <w:t>info@narva-joesuu.ee</w:t>
            </w:r>
          </w:p>
        </w:tc>
        <w:tc>
          <w:tcPr>
            <w:tcW w:w="3827" w:type="dxa"/>
            <w:shd w:val="clear" w:color="auto" w:fill="auto"/>
          </w:tcPr>
          <w:p w14:paraId="1351AFEE" w14:textId="77777777" w:rsidR="009C74C9" w:rsidRPr="00015E5C" w:rsidRDefault="009C74C9" w:rsidP="009C74C9">
            <w:pPr>
              <w:pStyle w:val="adressaat0"/>
              <w:snapToGrid w:val="0"/>
            </w:pPr>
            <w:r w:rsidRPr="00015E5C">
              <w:t>Teie  28.06.2017 nr 7-1.1/20</w:t>
            </w:r>
          </w:p>
          <w:p w14:paraId="3FD6F9C8" w14:textId="77777777" w:rsidR="009C74C9" w:rsidRDefault="009C74C9" w:rsidP="009C74C9">
            <w:pPr>
              <w:pStyle w:val="adressaat0"/>
              <w:snapToGrid w:val="0"/>
            </w:pPr>
          </w:p>
          <w:p w14:paraId="353937F8" w14:textId="77777777" w:rsidR="003B2A9C" w:rsidRPr="001D4CFB" w:rsidRDefault="009C74C9" w:rsidP="009C52CC">
            <w:pPr>
              <w:jc w:val="left"/>
            </w:pPr>
            <w:r w:rsidRPr="00015E5C">
              <w:t>Meie 26.07.17 nr 15-2/17-00013/080</w:t>
            </w:r>
          </w:p>
        </w:tc>
      </w:tr>
    </w:tbl>
    <w:p w14:paraId="75D6F0B7" w14:textId="77777777" w:rsidR="009C74C9" w:rsidRPr="009C74C9" w:rsidRDefault="009C74C9" w:rsidP="009C74C9">
      <w:pPr>
        <w:pStyle w:val="kirjapealkiri"/>
        <w:spacing w:before="0" w:after="480"/>
        <w:rPr>
          <w:b/>
        </w:rPr>
      </w:pPr>
      <w:r w:rsidRPr="009C74C9">
        <w:rPr>
          <w:b/>
        </w:rPr>
        <w:t>Narva-Jõesuu linna üldplaneeringu kooskõlastamisest</w:t>
      </w:r>
    </w:p>
    <w:p w14:paraId="5F403668" w14:textId="77B84715" w:rsidR="00F63CF9" w:rsidRDefault="00F63CF9" w:rsidP="00F63CF9">
      <w:pPr>
        <w:spacing w:after="120" w:line="240" w:lineRule="auto"/>
        <w:rPr>
          <w:lang w:eastAsia="ar-SA"/>
        </w:rPr>
      </w:pPr>
      <w:r>
        <w:rPr>
          <w:lang w:eastAsia="ar-SA"/>
        </w:rPr>
        <w:t>Olete esitanud Maanteeametile</w:t>
      </w:r>
      <w:r>
        <w:t xml:space="preserve"> e</w:t>
      </w:r>
      <w:r>
        <w:rPr>
          <w:lang w:eastAsia="ar-SA"/>
        </w:rPr>
        <w:t>hitusseadustiku ja planeerimisseaduse rakendamise seaduse § 1 lõike 1 ja enne 01.07.2015 kehtinud PlanS § 17 lõike 2 alusel kooskõlastamiseks Narva-Jõesuu linna üldplaneeringu ja</w:t>
      </w:r>
      <w:r>
        <w:rPr>
          <w:b/>
          <w:lang w:eastAsia="ar-SA"/>
        </w:rPr>
        <w:t xml:space="preserve"> </w:t>
      </w:r>
      <w:r>
        <w:rPr>
          <w:lang w:eastAsia="ar-SA"/>
        </w:rPr>
        <w:t xml:space="preserve">keskkonnamõju strateegilise hindamise aruande. Narva-Jõesuu linna üldplaneeringu (edaspidi planeering) ning üldplaneeringu keskkonnamõju strateegilise hindamise (edaspidi KSH) koostamine algatati Narva-Jõesuu Linnavolikogu 28.05.2014.a. otsusega nr 26. Maanteeamet esitas kirjaga 11.06.2015 nr 15-2/15-00028/452 ja 22.10.15 nr 15-2/15-00028/719 planeeringu koostamiseks seisukohad ja märkused. Eelnimetatud kirjades tooduga ei ole planeeringu koostamisel arvestatud. Planeeringu materjalidest ei selgu ka Maanteeameti seisukohtadega arvestamata jätmise põhjendused või vastuväited. </w:t>
      </w:r>
    </w:p>
    <w:p w14:paraId="3D7424B3" w14:textId="77777777" w:rsidR="00F63CF9" w:rsidRDefault="00F63CF9" w:rsidP="00F63CF9">
      <w:pPr>
        <w:spacing w:after="240" w:line="240" w:lineRule="auto"/>
        <w:rPr>
          <w:lang w:eastAsia="ar-SA"/>
        </w:rPr>
      </w:pPr>
      <w:r>
        <w:rPr>
          <w:lang w:eastAsia="ar-SA"/>
        </w:rPr>
        <w:t>Maanteeamet peab oma põhiülesannete täitmiseks tagama tingimuste loomise ohutuks liiklemiseks riigimaanteedel ning riigimaanteede säilivuse ja kaitse ning korraldama riigimaanteede hoidu, kasutamist ja kaitset majandus- ja kommunikatsiooniministri 01.03.2013. a määruse nr 16 „Maanteeameti põhimäärus“ § 10 p 12 ja 13 alusel.</w:t>
      </w:r>
    </w:p>
    <w:p w14:paraId="2BB0B69A" w14:textId="50F30936" w:rsidR="00F63CF9" w:rsidRDefault="00F63CF9" w:rsidP="00F63CF9">
      <w:pPr>
        <w:spacing w:after="240" w:line="240" w:lineRule="auto"/>
        <w:rPr>
          <w:lang w:eastAsia="ar-SA"/>
        </w:rPr>
      </w:pPr>
      <w:r>
        <w:rPr>
          <w:lang w:eastAsia="ar-SA"/>
        </w:rPr>
        <w:t xml:space="preserve">Arvestades eeltooduga ja võttes aluseks planeerimisseaduse, ehitusseadustiku § 70-72, § 92 lg 6 ja § 99 lg 3 ning Maanteeameti põhimääruse, Maanteeamet </w:t>
      </w:r>
      <w:r>
        <w:rPr>
          <w:b/>
          <w:lang w:eastAsia="ar-SA"/>
        </w:rPr>
        <w:t>ei kooskõlasta</w:t>
      </w:r>
      <w:r>
        <w:rPr>
          <w:lang w:eastAsia="ar-SA"/>
        </w:rPr>
        <w:t xml:space="preserve"> Narva-Jõesuu linna üldplaneeringut ja teeb ettepaneku jätkata planeeringu koostamist koostöös Maanteeametiga. Planeeringu koostamisel palume arvestada Maanteeameti kirjades esitatud seisukohtade ja Ida-Viru maakonnaplaneeringuga ning täiendada planeeringu materjale alljärgnevate ettepanekute alusel:</w:t>
      </w:r>
    </w:p>
    <w:p w14:paraId="355A080A" w14:textId="2CC7D781" w:rsidR="00F63CF9" w:rsidRDefault="00F63CF9" w:rsidP="00F63CF9">
      <w:pPr>
        <w:pStyle w:val="Loendilik"/>
        <w:numPr>
          <w:ilvl w:val="0"/>
          <w:numId w:val="13"/>
        </w:numPr>
        <w:spacing w:after="240" w:line="240" w:lineRule="auto"/>
        <w:rPr>
          <w:lang w:eastAsia="ar-SA"/>
        </w:rPr>
      </w:pPr>
      <w:r>
        <w:rPr>
          <w:lang w:eastAsia="ar-SA"/>
        </w:rPr>
        <w:t>Planeeringu seletuskirjas ptk 2.6 Teed ja liikluskorraldus ning ptk 3.4.1 Teed ja parkimise põhimõtted toodud lause: „Narva-Jõesuu linna läbib üks riigimaantee, see on Narva - Narva-Jõesuu – Hiiemetsa – tugimaantee, mis kuulub IV klassi maantee hulka“ korrigeerida lähtudes majandus- ja taristuministri 25. juuni 2015. a määruse nr 72 „Riigiteede liigid ja riigiteede nimekiri“ lisast. Arvestada, et tugimaantee 91 on riigiteede nimekirja kantud lõikudel km 6,877-11,574 (Vaivara vallas) ja km 19,081-26,334 (Narva-Jõesuu linnas ja Vaivara vallas). Tugimaantee 91 lõik km 11,574-19,081 on Narva-Jõesuu linna peatänav (kohalik tee).</w:t>
      </w:r>
    </w:p>
    <w:p w14:paraId="59F33628" w14:textId="77777777" w:rsidR="00F63CF9" w:rsidRDefault="00F63CF9" w:rsidP="00F63CF9">
      <w:pPr>
        <w:pStyle w:val="Loendilik"/>
        <w:numPr>
          <w:ilvl w:val="0"/>
          <w:numId w:val="13"/>
        </w:numPr>
        <w:spacing w:after="240" w:line="240" w:lineRule="auto"/>
        <w:rPr>
          <w:lang w:eastAsia="ar-SA"/>
        </w:rPr>
      </w:pPr>
      <w:r>
        <w:rPr>
          <w:lang w:eastAsia="ar-SA"/>
        </w:rPr>
        <w:t>Planeeringu seletuskirjas ja kaartidel käsitleda Narva-Jõesuu linna haldusterritooriumil asuv riigitee 13146 Vodava-Meriküla.</w:t>
      </w:r>
    </w:p>
    <w:p w14:paraId="62718428" w14:textId="77777777" w:rsidR="00F63CF9" w:rsidRDefault="00F63CF9" w:rsidP="00F63CF9">
      <w:pPr>
        <w:pStyle w:val="Loendilik"/>
        <w:numPr>
          <w:ilvl w:val="0"/>
          <w:numId w:val="13"/>
        </w:numPr>
        <w:spacing w:after="240" w:line="240" w:lineRule="auto"/>
        <w:rPr>
          <w:lang w:eastAsia="ar-SA"/>
        </w:rPr>
      </w:pPr>
      <w:r>
        <w:rPr>
          <w:lang w:eastAsia="ar-SA"/>
        </w:rPr>
        <w:t xml:space="preserve">Planeeringu põhijoonisele kanda tee kaitsevöönd vastavalt EhS § 71. Pöörame tähelepanu kehtiva PlanS § 75 lg 8 kohasele ülesandele käsitleda üldplaneeringus tänavate kaitsevööndi laiendamine. EhS § 71 lg 3 kohaselt on tänava kaitsevööndi laius äärmise </w:t>
      </w:r>
      <w:r>
        <w:rPr>
          <w:lang w:eastAsia="ar-SA"/>
        </w:rPr>
        <w:lastRenderedPageBreak/>
        <w:t xml:space="preserve">sõiduraja välimisest servast 10 meetrit. Kaitsevööndit võib laiendada üldplaneeringuga kuni 50 meetrini. </w:t>
      </w:r>
    </w:p>
    <w:p w14:paraId="37E7D463" w14:textId="77777777" w:rsidR="00F63CF9" w:rsidRDefault="00F63CF9" w:rsidP="00F63CF9">
      <w:pPr>
        <w:pStyle w:val="Loendilik"/>
        <w:numPr>
          <w:ilvl w:val="0"/>
          <w:numId w:val="13"/>
        </w:numPr>
        <w:spacing w:after="240" w:line="240" w:lineRule="auto"/>
        <w:rPr>
          <w:lang w:eastAsia="ar-SA"/>
        </w:rPr>
      </w:pPr>
      <w:r>
        <w:rPr>
          <w:rFonts w:cs="Times New Roman"/>
          <w:szCs w:val="24"/>
          <w:lang w:eastAsia="ar-SA"/>
        </w:rPr>
        <w:t>Arvestades Narva-Jõesuu linna halduspiirides asuvate riigitee lõikude maanteele iseloomuliku kiirusrežiimi ja ümbritseva keskkonnaga, tee</w:t>
      </w:r>
      <w:r>
        <w:rPr>
          <w:lang w:eastAsia="ar-SA"/>
        </w:rPr>
        <w:t>b Maanteeamet e</w:t>
      </w:r>
      <w:r>
        <w:rPr>
          <w:rFonts w:cs="Times New Roman"/>
          <w:szCs w:val="24"/>
          <w:lang w:eastAsia="ar-SA"/>
        </w:rPr>
        <w:t>ttepaneku</w:t>
      </w:r>
      <w:r>
        <w:rPr>
          <w:lang w:eastAsia="ar-SA"/>
        </w:rPr>
        <w:t xml:space="preserve"> laiendada planeeringuga tugimaantee 91 Narva – Narva-Jõesuu – Hiiemetsa km 19,081-21,359 ja kõrvalmaantee 13146 Vodava-Meriküla km 3,819-4,312 tänava kaitsevööndi ulatus 30 meetrini äärmise sõiduraja välimisest servast. </w:t>
      </w:r>
    </w:p>
    <w:p w14:paraId="53CBBC58" w14:textId="1D559EC7" w:rsidR="00F63CF9" w:rsidRDefault="00F63CF9" w:rsidP="00F63CF9">
      <w:pPr>
        <w:pStyle w:val="Loendilik"/>
        <w:numPr>
          <w:ilvl w:val="0"/>
          <w:numId w:val="13"/>
        </w:numPr>
        <w:spacing w:after="240" w:line="240" w:lineRule="auto"/>
        <w:rPr>
          <w:lang w:eastAsia="ar-SA"/>
        </w:rPr>
      </w:pPr>
      <w:r>
        <w:rPr>
          <w:lang w:eastAsia="ar-SA"/>
        </w:rPr>
        <w:t xml:space="preserve">Riigiteede, mis samaaegselt on EhS § 92 lg 4 mõistes tänavad, kaitsevööndi laiendamine käsitleda seletuskirjas ptk 3.1.6, lisas 2 ja kaartidel. </w:t>
      </w:r>
    </w:p>
    <w:p w14:paraId="4A0568C4" w14:textId="77777777" w:rsidR="00F63CF9" w:rsidRDefault="00F63CF9" w:rsidP="00F63CF9">
      <w:pPr>
        <w:pStyle w:val="Loendilik"/>
        <w:numPr>
          <w:ilvl w:val="0"/>
          <w:numId w:val="13"/>
        </w:numPr>
        <w:spacing w:after="240" w:line="240" w:lineRule="auto"/>
        <w:rPr>
          <w:lang w:eastAsia="ar-SA"/>
        </w:rPr>
      </w:pPr>
      <w:r>
        <w:rPr>
          <w:lang w:eastAsia="ar-SA"/>
        </w:rPr>
        <w:t>Arvestada, et peale planeeringu kehtestamist tuleb esitada Maanteeametile digitaalne joonis CAD või GIS formaadis, millele on kantud kaitsevööndi laiused.</w:t>
      </w:r>
    </w:p>
    <w:p w14:paraId="4C90F727" w14:textId="77777777" w:rsidR="00F63CF9" w:rsidRDefault="00F63CF9" w:rsidP="00F63CF9">
      <w:pPr>
        <w:pStyle w:val="Loendilik"/>
        <w:numPr>
          <w:ilvl w:val="0"/>
          <w:numId w:val="13"/>
        </w:numPr>
        <w:spacing w:after="240" w:line="240" w:lineRule="auto"/>
        <w:rPr>
          <w:lang w:eastAsia="ar-SA"/>
        </w:rPr>
      </w:pPr>
      <w:r>
        <w:rPr>
          <w:lang w:eastAsia="ar-SA"/>
        </w:rPr>
        <w:t>Planeeringu koostamisel arvestada Maanteeameti tellimusel koostamisel oleva riigitee 91 Narva -  Narva-Jõesuu -  Hiiemetsa km 19,08-26,33 rekonstrueerimise projekti ristumiskohtade ja parklate lahendusega.</w:t>
      </w:r>
    </w:p>
    <w:p w14:paraId="706665BC" w14:textId="77777777" w:rsidR="00F63CF9" w:rsidRDefault="00F63CF9" w:rsidP="00F63CF9">
      <w:pPr>
        <w:pStyle w:val="Loendilik"/>
        <w:numPr>
          <w:ilvl w:val="0"/>
          <w:numId w:val="13"/>
        </w:numPr>
        <w:spacing w:after="240" w:line="240" w:lineRule="auto"/>
        <w:rPr>
          <w:lang w:eastAsia="ar-SA"/>
        </w:rPr>
      </w:pPr>
      <w:r>
        <w:rPr>
          <w:lang w:eastAsia="ar-SA"/>
        </w:rPr>
        <w:t>Käsitleda planeeringus koostamisel ja koostatud jalgratta- ja jalgteede projektid. Kanda põhijoonisele projekteeritud jalgratta- ja jalgteede ja Kudruküla jalgteesilla asukoht üldplaneeringu täpsusastmes.</w:t>
      </w:r>
    </w:p>
    <w:p w14:paraId="2359E3F2" w14:textId="77777777" w:rsidR="00F63CF9" w:rsidRDefault="00F63CF9" w:rsidP="00F63CF9">
      <w:pPr>
        <w:pStyle w:val="Loendilik"/>
        <w:numPr>
          <w:ilvl w:val="0"/>
          <w:numId w:val="13"/>
        </w:numPr>
        <w:spacing w:after="240" w:line="240" w:lineRule="auto"/>
        <w:rPr>
          <w:rFonts w:eastAsia="Times New Roman"/>
          <w:kern w:val="0"/>
          <w:szCs w:val="20"/>
          <w:lang w:eastAsia="ar-SA" w:bidi="ar-SA"/>
        </w:rPr>
      </w:pPr>
      <w:r>
        <w:rPr>
          <w:lang w:eastAsia="ar-SA"/>
        </w:rPr>
        <w:t>Planeeringu koostamisel arvestada maakonnaplaneeringu ptk 4.1.1 toodud põhimõttega: „</w:t>
      </w:r>
      <w:r>
        <w:rPr>
          <w:i/>
          <w:lang w:eastAsia="ar-SA"/>
        </w:rPr>
        <w:t>Üldplaneeringute raames tuleb kehtivate normdokumentide alusel määrata teede ristumiskohtade üldised põhimõtted, et tagada juurdepääs avalikult kasutatavatele teedele, sh riigimaanteedele.</w:t>
      </w:r>
      <w:r>
        <w:rPr>
          <w:lang w:eastAsia="ar-SA"/>
        </w:rPr>
        <w:t xml:space="preserve"> </w:t>
      </w:r>
      <w:r>
        <w:rPr>
          <w:rFonts w:eastAsia="Times New Roman"/>
          <w:kern w:val="0"/>
          <w:szCs w:val="20"/>
          <w:lang w:eastAsia="ar-SA" w:bidi="ar-SA"/>
        </w:rPr>
        <w:t xml:space="preserve">Planeerida juurdepääsud kinnistutele, millel juurdepääs avalikele teedele puudub, kuid on perspektiivselt vajalik (sh äri-, elamu- ja tootmismaad). Joonistel näidata tingmärgiga perspektiivne juurdepääs avalikult kasutatavatele teedele ja likvideeritavad ristumiskohad. </w:t>
      </w:r>
    </w:p>
    <w:p w14:paraId="4A8A7E20" w14:textId="77777777" w:rsidR="00F63CF9" w:rsidRDefault="00F63CF9" w:rsidP="00F63CF9">
      <w:pPr>
        <w:pStyle w:val="Loendilik"/>
        <w:numPr>
          <w:ilvl w:val="0"/>
          <w:numId w:val="13"/>
        </w:numPr>
        <w:spacing w:after="240" w:line="240" w:lineRule="auto"/>
        <w:rPr>
          <w:rFonts w:eastAsia="Times New Roman"/>
          <w:kern w:val="0"/>
          <w:szCs w:val="20"/>
          <w:lang w:eastAsia="ar-SA" w:bidi="ar-SA"/>
        </w:rPr>
      </w:pPr>
      <w:r>
        <w:rPr>
          <w:rFonts w:eastAsia="Times New Roman"/>
          <w:kern w:val="0"/>
          <w:szCs w:val="20"/>
          <w:lang w:eastAsia="ar-SA" w:bidi="ar-SA"/>
        </w:rPr>
        <w:t>Arendustegevusega seotud juurdepääsude planeerimisel arvestada arendusega kaasneva liikluskoormuse  mõjuga olemasolevale riigiteede ohutusele ja seletuskirja peatükis 3.4.1 käsitleda riigiteedele juurdepääsu planeerimise üldised põhimõtted:</w:t>
      </w:r>
    </w:p>
    <w:p w14:paraId="3E1568D8" w14:textId="77777777" w:rsidR="00F63CF9" w:rsidRDefault="00F63CF9" w:rsidP="00F63CF9">
      <w:pPr>
        <w:pStyle w:val="Loendilik"/>
        <w:numPr>
          <w:ilvl w:val="1"/>
          <w:numId w:val="15"/>
        </w:numPr>
        <w:spacing w:after="240" w:line="240" w:lineRule="auto"/>
        <w:rPr>
          <w:rFonts w:eastAsia="Times New Roman"/>
          <w:kern w:val="0"/>
          <w:szCs w:val="20"/>
          <w:lang w:eastAsia="ar-SA" w:bidi="ar-SA"/>
        </w:rPr>
      </w:pPr>
      <w:r>
        <w:rPr>
          <w:rFonts w:eastAsia="Times New Roman"/>
          <w:kern w:val="0"/>
          <w:szCs w:val="20"/>
          <w:lang w:eastAsia="ar-SA" w:bidi="ar-SA"/>
        </w:rPr>
        <w:t xml:space="preserve">Juurdepääsud arendusaladele lahendada esmajärjekorras olemasolevate riigitee ristumiskohtade ja kohalike teede kaudu. </w:t>
      </w:r>
    </w:p>
    <w:p w14:paraId="5663EA6D" w14:textId="77777777" w:rsidR="00F63CF9" w:rsidRDefault="00F63CF9" w:rsidP="00F63CF9">
      <w:pPr>
        <w:pStyle w:val="Loendilik"/>
        <w:numPr>
          <w:ilvl w:val="1"/>
          <w:numId w:val="15"/>
        </w:numPr>
        <w:spacing w:line="240" w:lineRule="auto"/>
        <w:rPr>
          <w:rFonts w:eastAsia="Times New Roman"/>
          <w:kern w:val="0"/>
          <w:szCs w:val="20"/>
          <w:lang w:eastAsia="ar-SA" w:bidi="ar-SA"/>
        </w:rPr>
      </w:pPr>
      <w:r>
        <w:rPr>
          <w:rFonts w:eastAsia="Times New Roman"/>
          <w:kern w:val="0"/>
          <w:szCs w:val="20"/>
          <w:lang w:eastAsia="ar-SA" w:bidi="ar-SA"/>
        </w:rPr>
        <w:t xml:space="preserve">Lahendada lähestikku asuvate arendusalade juurdepääsud riigiteelt ühe ühise ristumiskohana, so juurdepääsud koondada planeeringuala siseseks kogujateeks. </w:t>
      </w:r>
    </w:p>
    <w:p w14:paraId="52254E22" w14:textId="77777777" w:rsidR="00F63CF9" w:rsidRDefault="00F63CF9" w:rsidP="00F63CF9">
      <w:pPr>
        <w:pStyle w:val="Loendilik"/>
        <w:numPr>
          <w:ilvl w:val="1"/>
          <w:numId w:val="15"/>
        </w:numPr>
        <w:spacing w:line="240" w:lineRule="auto"/>
        <w:rPr>
          <w:rFonts w:eastAsia="Times New Roman"/>
          <w:kern w:val="0"/>
          <w:szCs w:val="20"/>
          <w:lang w:eastAsia="ar-SA" w:bidi="ar-SA"/>
        </w:rPr>
      </w:pPr>
      <w:r>
        <w:rPr>
          <w:rFonts w:eastAsia="Times New Roman"/>
          <w:kern w:val="0"/>
          <w:szCs w:val="20"/>
          <w:lang w:eastAsia="ar-SA" w:bidi="ar-SA"/>
        </w:rPr>
        <w:t xml:space="preserve">Juurdepääsude kavandamisel lähtuda tee funktsiooniga seotud põhimõttest, et kohalikku liiklust teenindab eelkõige kohalik tee, so madalama klassi tee. Vältida tuleb planeerimisel kohaliku liikluse suunamist transiitliiklusega teele. </w:t>
      </w:r>
    </w:p>
    <w:p w14:paraId="7C3355D3" w14:textId="78F26DC4" w:rsidR="00F63CF9" w:rsidRDefault="00F63CF9" w:rsidP="00F63CF9">
      <w:pPr>
        <w:pStyle w:val="Loendilik"/>
        <w:numPr>
          <w:ilvl w:val="1"/>
          <w:numId w:val="15"/>
        </w:numPr>
        <w:spacing w:after="240" w:line="240" w:lineRule="auto"/>
        <w:rPr>
          <w:rFonts w:eastAsia="Times New Roman"/>
          <w:kern w:val="0"/>
          <w:szCs w:val="20"/>
          <w:lang w:eastAsia="ar-SA" w:bidi="ar-SA"/>
        </w:rPr>
      </w:pPr>
      <w:r>
        <w:rPr>
          <w:rFonts w:eastAsia="Times New Roman"/>
          <w:kern w:val="0"/>
          <w:szCs w:val="20"/>
          <w:lang w:eastAsia="ar-SA" w:bidi="ar-SA"/>
        </w:rPr>
        <w:t>Uute ristumiskohtade kavandamisel tuleb lähtuda majandus- ja taristuministri 05.08.2015 määruses nr 106 „Tee projekteerimise normid“ lisa „Maanteede projekteerimisnormid“ (edaspidi Normid) p 5.2.1 „Ristumiskoht“ toodud põhimõtetest ja tee omaniku nõuetest.</w:t>
      </w:r>
    </w:p>
    <w:p w14:paraId="35978876" w14:textId="0C594E09" w:rsidR="00F63CF9" w:rsidRPr="00F63CF9" w:rsidRDefault="00F63CF9" w:rsidP="00F63CF9">
      <w:pPr>
        <w:pStyle w:val="Loendilik"/>
        <w:numPr>
          <w:ilvl w:val="1"/>
          <w:numId w:val="15"/>
        </w:numPr>
        <w:spacing w:line="240" w:lineRule="auto"/>
        <w:rPr>
          <w:rFonts w:eastAsia="Times New Roman"/>
          <w:kern w:val="0"/>
          <w:szCs w:val="20"/>
          <w:lang w:eastAsia="ar-SA" w:bidi="ar-SA"/>
        </w:rPr>
      </w:pPr>
      <w:r w:rsidRPr="00F63CF9">
        <w:rPr>
          <w:rFonts w:eastAsia="Times New Roman"/>
          <w:kern w:val="0"/>
          <w:szCs w:val="20"/>
          <w:lang w:eastAsia="ar-SA" w:bidi="ar-SA"/>
        </w:rPr>
        <w:t xml:space="preserve">Enne </w:t>
      </w:r>
      <w:r>
        <w:rPr>
          <w:rFonts w:eastAsia="Times New Roman"/>
          <w:kern w:val="0"/>
          <w:szCs w:val="20"/>
          <w:lang w:eastAsia="ar-SA" w:bidi="ar-SA"/>
        </w:rPr>
        <w:t xml:space="preserve">olulise liikluskoormuse kasvuga </w:t>
      </w:r>
      <w:r w:rsidRPr="00F63CF9">
        <w:rPr>
          <w:rFonts w:eastAsia="Times New Roman"/>
          <w:kern w:val="0"/>
          <w:szCs w:val="20"/>
          <w:lang w:eastAsia="ar-SA" w:bidi="ar-SA"/>
        </w:rPr>
        <w:t>detailplaneeringu</w:t>
      </w:r>
      <w:r>
        <w:rPr>
          <w:rFonts w:eastAsia="Times New Roman"/>
          <w:kern w:val="0"/>
          <w:szCs w:val="20"/>
          <w:lang w:eastAsia="ar-SA" w:bidi="ar-SA"/>
        </w:rPr>
        <w:t xml:space="preserve"> algatamist või projekteerimistingimuste andmist tuleb </w:t>
      </w:r>
      <w:r w:rsidRPr="00F63CF9">
        <w:rPr>
          <w:rFonts w:eastAsia="Times New Roman"/>
          <w:kern w:val="0"/>
          <w:szCs w:val="20"/>
          <w:lang w:eastAsia="ar-SA" w:bidi="ar-SA"/>
        </w:rPr>
        <w:t>kaaluda, kas  olemasolev avalikult kasutatav teedevõrk seda toetab</w:t>
      </w:r>
      <w:r>
        <w:rPr>
          <w:rFonts w:eastAsia="Times New Roman"/>
          <w:kern w:val="0"/>
          <w:szCs w:val="20"/>
          <w:lang w:eastAsia="ar-SA" w:bidi="ar-SA"/>
        </w:rPr>
        <w:t>. L</w:t>
      </w:r>
      <w:r w:rsidRPr="00F63CF9">
        <w:rPr>
          <w:rFonts w:eastAsia="Times New Roman"/>
          <w:kern w:val="0"/>
          <w:szCs w:val="20"/>
          <w:lang w:eastAsia="ar-SA" w:bidi="ar-SA"/>
        </w:rPr>
        <w:t>ähtu</w:t>
      </w:r>
      <w:r>
        <w:rPr>
          <w:rFonts w:eastAsia="Times New Roman"/>
          <w:kern w:val="0"/>
          <w:szCs w:val="20"/>
          <w:lang w:eastAsia="ar-SA" w:bidi="ar-SA"/>
        </w:rPr>
        <w:t>da</w:t>
      </w:r>
      <w:r w:rsidRPr="00F63CF9">
        <w:rPr>
          <w:rFonts w:eastAsia="Times New Roman"/>
          <w:kern w:val="0"/>
          <w:szCs w:val="20"/>
          <w:lang w:eastAsia="ar-SA" w:bidi="ar-SA"/>
        </w:rPr>
        <w:t xml:space="preserve"> asjaolust, et Maanteeamet ei võta teehoiukava väliseid kohustusi riigiteede ümberehitamiseks.</w:t>
      </w:r>
    </w:p>
    <w:p w14:paraId="587079EF" w14:textId="77777777" w:rsidR="00F63CF9" w:rsidRDefault="00F63CF9" w:rsidP="00F63CF9">
      <w:pPr>
        <w:pStyle w:val="Loendilik"/>
        <w:numPr>
          <w:ilvl w:val="0"/>
          <w:numId w:val="13"/>
        </w:numPr>
        <w:spacing w:line="240" w:lineRule="auto"/>
        <w:rPr>
          <w:rFonts w:eastAsia="Times New Roman"/>
          <w:kern w:val="0"/>
          <w:szCs w:val="20"/>
          <w:lang w:eastAsia="ar-SA" w:bidi="ar-SA"/>
        </w:rPr>
      </w:pPr>
      <w:r>
        <w:rPr>
          <w:rFonts w:eastAsia="Times New Roman"/>
          <w:kern w:val="0"/>
          <w:szCs w:val="20"/>
          <w:lang w:eastAsia="ar-SA" w:bidi="ar-SA"/>
        </w:rPr>
        <w:t xml:space="preserve">Planeeringu seletuskirjas käsitleda, et kinnistute maakorralduslikul jagamisel tuleb juurdepääs riigiteele tagada seni kinnistut teenindanud juurdepääsutee kaudu ning uutel moodustuvatel katastriüksustel puudub õigus eraldi juurdepääsu saamiseks riigiteelt. </w:t>
      </w:r>
    </w:p>
    <w:p w14:paraId="7837F175" w14:textId="7632ED84" w:rsidR="00F63CF9" w:rsidRDefault="00F63CF9" w:rsidP="00F63CF9">
      <w:pPr>
        <w:pStyle w:val="Loendilik"/>
        <w:numPr>
          <w:ilvl w:val="0"/>
          <w:numId w:val="13"/>
        </w:numPr>
        <w:spacing w:after="240" w:line="240" w:lineRule="auto"/>
        <w:rPr>
          <w:lang w:eastAsia="ar-SA"/>
        </w:rPr>
      </w:pPr>
      <w:r>
        <w:rPr>
          <w:lang w:eastAsia="ar-SA"/>
        </w:rPr>
        <w:t xml:space="preserve">Seletuskirja ptk 3.4.1 täiendada riigiteega külgnevate perspektiivsete parklate asukoha valiku põhjenduse ja rajamise põhimõtetega (juurdepääs riigiteelt, kasutamise otstarve ja sagedus, hooajalisus, jalgteedega sidumine, sobivad katted, piirded, ohutus, prügi, jms). </w:t>
      </w:r>
    </w:p>
    <w:p w14:paraId="15371303" w14:textId="77777777" w:rsidR="00F63CF9" w:rsidRDefault="00F63CF9" w:rsidP="00F63CF9">
      <w:pPr>
        <w:pStyle w:val="Loendilik"/>
        <w:numPr>
          <w:ilvl w:val="0"/>
          <w:numId w:val="13"/>
        </w:numPr>
        <w:spacing w:after="240" w:line="240" w:lineRule="auto"/>
        <w:rPr>
          <w:lang w:eastAsia="ar-SA"/>
        </w:rPr>
      </w:pPr>
      <w:r>
        <w:rPr>
          <w:lang w:eastAsia="ar-SA"/>
        </w:rPr>
        <w:t xml:space="preserve">Tugimaantee liikluse sujuvuse ja teekasutajate ohutuse tagamiseks planeerida riigiteega 91 külgnevad parkimisalad lähtudes eeltoodud Normide põhimõttetest. Parklad planeerida väljaspoole riigitee transpordimaad ja kavandada juurdepääs riigiteele. Kavandatava parkla juurdepääsu kaudu tuleb planeerida  juurdepääs külgnevatele maa-aladele. </w:t>
      </w:r>
    </w:p>
    <w:p w14:paraId="7CE11727" w14:textId="77777777" w:rsidR="00F63CF9" w:rsidRDefault="00F63CF9" w:rsidP="00F63CF9">
      <w:pPr>
        <w:pStyle w:val="Loendilik"/>
        <w:numPr>
          <w:ilvl w:val="0"/>
          <w:numId w:val="13"/>
        </w:numPr>
        <w:spacing w:after="240" w:line="240" w:lineRule="auto"/>
        <w:rPr>
          <w:i/>
          <w:lang w:eastAsia="ar-SA"/>
        </w:rPr>
      </w:pPr>
      <w:r>
        <w:rPr>
          <w:lang w:eastAsia="ar-SA"/>
        </w:rPr>
        <w:lastRenderedPageBreak/>
        <w:t>Planeeringu koostamisel arvestada Ida-Viru maakonnaplaneeringu ptk 4.1.1 põhimõttega: „</w:t>
      </w:r>
      <w:r>
        <w:rPr>
          <w:i/>
          <w:lang w:eastAsia="ar-SA"/>
        </w:rPr>
        <w:t>Arvestades riigimaanteede võimalikku teemaa laiendamise vajadust teede rekonstrueerimise käigus (ristmike ümberehitused, kraavide kaevamised, lisaradade rajamised, tee plaanilahenduse vähene muutmine, jalgratta- ja jalgteede rajamine riigimaantee kõrvale jne) kaaluda üldplaneeringu koostamisel riigimaanteedele 20 m laiuste koridoride määramist mõlemale poole olemasoleva maantee teljest“</w:t>
      </w:r>
      <w:r>
        <w:rPr>
          <w:lang w:eastAsia="ar-SA"/>
        </w:rPr>
        <w:t>. Riigitee koridoris ehitustegevuse planeerimisel tuleb tee ohutuse tagamiseks kaasata Maanteeamet.</w:t>
      </w:r>
    </w:p>
    <w:p w14:paraId="624234CB" w14:textId="48D9D5DD" w:rsidR="00F63CF9" w:rsidRDefault="00F63CF9" w:rsidP="00F63CF9">
      <w:pPr>
        <w:pStyle w:val="Loendilik"/>
        <w:numPr>
          <w:ilvl w:val="0"/>
          <w:numId w:val="13"/>
        </w:numPr>
        <w:spacing w:after="240" w:line="240" w:lineRule="auto"/>
        <w:rPr>
          <w:lang w:eastAsia="ar-SA"/>
        </w:rPr>
      </w:pPr>
      <w:r>
        <w:rPr>
          <w:lang w:eastAsia="ar-SA"/>
        </w:rPr>
        <w:t xml:space="preserve">Narva-Jõesuust väljuv perspektiivne kergliiklustee planeerida väljapoole riigitee 91 transpordimaad. Arvestades riigitee 91 transpordimaa laiusega </w:t>
      </w:r>
      <w:r>
        <w:rPr>
          <w:i/>
          <w:lang w:eastAsia="ar-SA"/>
        </w:rPr>
        <w:t>ca</w:t>
      </w:r>
      <w:r>
        <w:rPr>
          <w:lang w:eastAsia="ar-SA"/>
        </w:rPr>
        <w:t xml:space="preserve"> 8 m tee telgjoonest, ei ole teega külgneva transpordimaa laius piisav Normidele vastava eraldusribaga (projektkiirusel 80 km/h rahuldav tase - 7 m) jalgtee planeerimiseks. </w:t>
      </w:r>
    </w:p>
    <w:p w14:paraId="20F032E1" w14:textId="77777777" w:rsidR="00F63CF9" w:rsidRDefault="00F63CF9" w:rsidP="00F63CF9">
      <w:pPr>
        <w:pStyle w:val="Loendilik"/>
        <w:numPr>
          <w:ilvl w:val="0"/>
          <w:numId w:val="13"/>
        </w:numPr>
        <w:spacing w:after="240" w:line="240" w:lineRule="auto"/>
        <w:rPr>
          <w:lang w:eastAsia="ar-SA"/>
        </w:rPr>
      </w:pPr>
      <w:r>
        <w:rPr>
          <w:lang w:eastAsia="ar-SA"/>
        </w:rPr>
        <w:t>Kavandada perspektiivsete tehnovõrkude (gaas, ühisvesi- ja kanalisatsioon, jt) ja kergliiklustee ehitamiseks ühine koridor riigiteega külgnevas tehnoloogilises koridoris.</w:t>
      </w:r>
    </w:p>
    <w:p w14:paraId="39DCA121" w14:textId="77777777" w:rsidR="00F63CF9" w:rsidRDefault="00F63CF9" w:rsidP="00F63CF9">
      <w:pPr>
        <w:pStyle w:val="Loendilik"/>
        <w:numPr>
          <w:ilvl w:val="0"/>
          <w:numId w:val="13"/>
        </w:numPr>
        <w:spacing w:after="240" w:line="240" w:lineRule="auto"/>
        <w:rPr>
          <w:lang w:eastAsia="ar-SA"/>
        </w:rPr>
      </w:pPr>
      <w:r>
        <w:rPr>
          <w:lang w:eastAsia="ar-SA"/>
        </w:rPr>
        <w:t>Seletuskirja tehnovõrkude peatükis 3.1.4.1  käsitleda üldiste kasutustingimustena:</w:t>
      </w:r>
    </w:p>
    <w:p w14:paraId="601E3C16" w14:textId="62F455A6" w:rsidR="00F63CF9" w:rsidRPr="00F63CF9" w:rsidRDefault="00F63CF9" w:rsidP="00F63CF9">
      <w:pPr>
        <w:pStyle w:val="Loendilik"/>
        <w:numPr>
          <w:ilvl w:val="1"/>
          <w:numId w:val="15"/>
        </w:numPr>
        <w:spacing w:after="240" w:line="240" w:lineRule="auto"/>
        <w:rPr>
          <w:rFonts w:eastAsia="Times New Roman"/>
          <w:kern w:val="0"/>
          <w:szCs w:val="20"/>
          <w:lang w:eastAsia="ar-SA" w:bidi="ar-SA"/>
        </w:rPr>
      </w:pPr>
      <w:r w:rsidRPr="00F63CF9">
        <w:rPr>
          <w:rFonts w:eastAsia="Times New Roman"/>
          <w:kern w:val="0"/>
          <w:szCs w:val="20"/>
          <w:lang w:eastAsia="ar-SA" w:bidi="ar-SA"/>
        </w:rPr>
        <w:t xml:space="preserve">Tehnovõrkude </w:t>
      </w:r>
      <w:r>
        <w:rPr>
          <w:rFonts w:eastAsia="Times New Roman"/>
          <w:kern w:val="0"/>
          <w:szCs w:val="20"/>
          <w:lang w:eastAsia="ar-SA" w:bidi="ar-SA"/>
        </w:rPr>
        <w:t>koridore üldjuhul mitte kavandada</w:t>
      </w:r>
      <w:r w:rsidRPr="00F63CF9">
        <w:rPr>
          <w:rFonts w:eastAsia="Times New Roman"/>
          <w:kern w:val="0"/>
          <w:szCs w:val="20"/>
          <w:lang w:eastAsia="ar-SA" w:bidi="ar-SA"/>
        </w:rPr>
        <w:t xml:space="preserve"> riigitee transpordimaale, mis on vajalik eelkõige tee ja selle koosseisu kuuluvate rajatiste paigutamiseks.</w:t>
      </w:r>
    </w:p>
    <w:p w14:paraId="02F414AD" w14:textId="77777777" w:rsidR="00F63CF9" w:rsidRPr="00F63CF9" w:rsidRDefault="00F63CF9" w:rsidP="00F63CF9">
      <w:pPr>
        <w:pStyle w:val="Loendilik"/>
        <w:numPr>
          <w:ilvl w:val="1"/>
          <w:numId w:val="15"/>
        </w:numPr>
        <w:spacing w:after="240" w:line="240" w:lineRule="auto"/>
        <w:rPr>
          <w:rFonts w:eastAsia="Times New Roman"/>
          <w:kern w:val="0"/>
          <w:szCs w:val="20"/>
          <w:lang w:eastAsia="ar-SA" w:bidi="ar-SA"/>
        </w:rPr>
      </w:pPr>
      <w:r w:rsidRPr="00F63CF9">
        <w:rPr>
          <w:rFonts w:eastAsia="Times New Roman"/>
          <w:kern w:val="0"/>
          <w:szCs w:val="20"/>
          <w:lang w:eastAsia="ar-SA" w:bidi="ar-SA"/>
        </w:rPr>
        <w:t>Riigitee kaitsevööndisse võib tehnovõrke kavandada Maanteeameti nõusolekul ja eeldusel, et kavandatu ei ohusta riigiteed ja selle korrakohast kasutamist.</w:t>
      </w:r>
    </w:p>
    <w:p w14:paraId="68C9EDE9" w14:textId="77777777" w:rsidR="00F63CF9" w:rsidRPr="00F63CF9" w:rsidRDefault="00F63CF9" w:rsidP="00F63CF9">
      <w:pPr>
        <w:pStyle w:val="Loendilik"/>
        <w:numPr>
          <w:ilvl w:val="1"/>
          <w:numId w:val="15"/>
        </w:numPr>
        <w:spacing w:after="240" w:line="240" w:lineRule="auto"/>
        <w:rPr>
          <w:rFonts w:eastAsia="Times New Roman"/>
          <w:kern w:val="0"/>
          <w:szCs w:val="20"/>
          <w:lang w:eastAsia="ar-SA" w:bidi="ar-SA"/>
        </w:rPr>
      </w:pPr>
      <w:r w:rsidRPr="00F63CF9">
        <w:rPr>
          <w:rFonts w:eastAsia="Times New Roman"/>
          <w:kern w:val="0"/>
          <w:szCs w:val="20"/>
          <w:lang w:eastAsia="ar-SA" w:bidi="ar-SA"/>
        </w:rPr>
        <w:t xml:space="preserve">Riigitee lähedusse planeeritavate ükskõik mis otstarbega mastide kaugus riigitee muldkehast peab olema vähemalt võrdne selle posti või masti kõrgusega. Tuuliku puhul tuleb masti kõrgusele lisada tiiviku laba pikkus. </w:t>
      </w:r>
    </w:p>
    <w:p w14:paraId="25B90546" w14:textId="439D09CD" w:rsidR="00F63CF9" w:rsidRPr="00F63CF9" w:rsidRDefault="00F63CF9" w:rsidP="00F63CF9">
      <w:pPr>
        <w:pStyle w:val="Loendilik"/>
        <w:numPr>
          <w:ilvl w:val="1"/>
          <w:numId w:val="15"/>
        </w:numPr>
        <w:spacing w:after="240" w:line="240" w:lineRule="auto"/>
        <w:rPr>
          <w:rFonts w:eastAsia="Times New Roman"/>
          <w:kern w:val="0"/>
          <w:szCs w:val="20"/>
          <w:lang w:eastAsia="ar-SA" w:bidi="ar-SA"/>
        </w:rPr>
      </w:pPr>
      <w:r w:rsidRPr="00F63CF9">
        <w:rPr>
          <w:rFonts w:eastAsia="Times New Roman"/>
          <w:kern w:val="0"/>
          <w:szCs w:val="20"/>
          <w:lang w:eastAsia="ar-SA" w:bidi="ar-SA"/>
        </w:rPr>
        <w:t>Riigiteega külgneval alal kooskõlastada üle 30 m kõrguste rajatiste planeeringud, projekteerimistingimused ja ehitusprojektid Maanteeametiga.</w:t>
      </w:r>
    </w:p>
    <w:p w14:paraId="460C220D" w14:textId="77777777" w:rsidR="00F63CF9" w:rsidRDefault="00F63CF9" w:rsidP="00F63CF9">
      <w:pPr>
        <w:pStyle w:val="Loendilik"/>
        <w:numPr>
          <w:ilvl w:val="0"/>
          <w:numId w:val="13"/>
        </w:numPr>
        <w:spacing w:after="240" w:line="240" w:lineRule="auto"/>
        <w:rPr>
          <w:lang w:eastAsia="ar-SA"/>
        </w:rPr>
      </w:pPr>
      <w:r>
        <w:rPr>
          <w:lang w:eastAsia="ar-SA"/>
        </w:rPr>
        <w:t>Arvestada, et kehtiva PlanS § 75 lg 1 p 22 alusel on üldplaneeringu ülesanne müra normtasemete kategooriate määramine. Maakasutuse juhtotstarbed tuleb planeeringus siduda mürakategooriatega. Planeeringu seletuskirjas juhtida tähelepanu, et perspektiivsete maakasutuste korral mürakategooriad ei kehti (näiteks olemasolevast ärimaast soovitaks teha elamumaad ja vastupidi).</w:t>
      </w:r>
    </w:p>
    <w:p w14:paraId="5A831B79" w14:textId="77777777" w:rsidR="00F63CF9" w:rsidRDefault="00F63CF9" w:rsidP="00F63CF9">
      <w:pPr>
        <w:pStyle w:val="Loendilik"/>
        <w:widowControl/>
        <w:numPr>
          <w:ilvl w:val="0"/>
          <w:numId w:val="13"/>
        </w:numPr>
        <w:suppressAutoHyphens w:val="0"/>
        <w:spacing w:before="40" w:after="30" w:line="240" w:lineRule="auto"/>
      </w:pPr>
      <w:r>
        <w:t>Seletuskirjas käsitleda, et edasisel detailplaneerimisel ja projekteerimisel tuleb vältida müra- ja saastetundliku arenduse kavandamist riigitee kaitsevööndis. Juhul, kui riigitee kaitsevööndis siiski kavandatakse müra- ja saastetundlikke arendustegevusi, peab arendaja arvestama liiklusest tuleneva müra jm kahjuliku mõjuga ja tagama normidele vastavuse leevendavate meetmete tarvitusele võtmise ning finantseerimise. Uute elamute planeerimisel ja projekteerimisel maantee kaitsevööndis tuleb arvestada võimaliku leevendavate meetmete rakendamise vajadusega. Olenevalt kavandatavast tegevusest peab kohalik omavalitsus kaaluma vajadust hinnata detailplaneerimise/projekteerimise etapis liiklusmüra taset mürauuringuga. Hinnangu tulemusi tuleb arvestada müratundlike hoonete maastikku paigutamisel või muude leevendavate meetmete välja töötamisel (müratõke, hoone heliisolatsioon), et saavutada võimalikult soodne elukeskkond.</w:t>
      </w:r>
    </w:p>
    <w:p w14:paraId="72C1C71F" w14:textId="77777777" w:rsidR="00F63CF9" w:rsidRDefault="00F63CF9" w:rsidP="00F63CF9">
      <w:pPr>
        <w:spacing w:line="240" w:lineRule="auto"/>
        <w:rPr>
          <w:lang w:eastAsia="ar-SA"/>
        </w:rPr>
      </w:pPr>
    </w:p>
    <w:p w14:paraId="0F1E67E4" w14:textId="7A0ED583" w:rsidR="00F63CF9" w:rsidRDefault="00F63CF9" w:rsidP="00F63CF9">
      <w:pPr>
        <w:spacing w:line="240" w:lineRule="auto"/>
        <w:rPr>
          <w:rFonts w:cs="Mangal"/>
          <w:lang w:eastAsia="et-EE"/>
        </w:rPr>
      </w:pPr>
      <w:r>
        <w:rPr>
          <w:lang w:eastAsia="ar-SA"/>
        </w:rPr>
        <w:t xml:space="preserve">Palume </w:t>
      </w:r>
      <w:r>
        <w:rPr>
          <w:color w:val="000000" w:themeColor="text1"/>
          <w:lang w:eastAsia="ar-SA"/>
        </w:rPr>
        <w:t xml:space="preserve">kõik eeltoodud punktid planeeringus käsitleda või esitada vastuväited. </w:t>
      </w:r>
      <w:r>
        <w:rPr>
          <w:rFonts w:cs="Mangal"/>
          <w:lang w:eastAsia="et-EE"/>
        </w:rPr>
        <w:t xml:space="preserve">Märgime, et oleme valmis koostöö korras selgitama ja täpsustama esitatud seisukohti ning ettepanekuid. </w:t>
      </w:r>
    </w:p>
    <w:p w14:paraId="316F1E7B" w14:textId="26FB3B4B" w:rsidR="00F63CF9" w:rsidRDefault="00F63CF9" w:rsidP="00F63CF9">
      <w:pPr>
        <w:spacing w:line="240" w:lineRule="auto"/>
        <w:rPr>
          <w:lang w:eastAsia="ar-SA"/>
        </w:rPr>
      </w:pPr>
      <w:r>
        <w:rPr>
          <w:lang w:eastAsia="ar-SA"/>
        </w:rPr>
        <w:t xml:space="preserve">Täiendatud planeering esitada Maanteeametile uuesti kooskõlastamiseks </w:t>
      </w:r>
      <w:hyperlink r:id="rId9" w:history="1">
        <w:r>
          <w:rPr>
            <w:rStyle w:val="Hperlink"/>
            <w:lang w:eastAsia="ar-SA"/>
          </w:rPr>
          <w:t>maantee@mnt.ee</w:t>
        </w:r>
      </w:hyperlink>
      <w:r>
        <w:rPr>
          <w:lang w:eastAsia="ar-SA"/>
        </w:rPr>
        <w:t xml:space="preserve">. </w:t>
      </w:r>
    </w:p>
    <w:p w14:paraId="2FD921E6" w14:textId="77777777" w:rsidR="001C3071" w:rsidRDefault="001C3071" w:rsidP="00A13FDE">
      <w:pPr>
        <w:pStyle w:val="Snum"/>
      </w:pPr>
    </w:p>
    <w:p w14:paraId="6D544A28" w14:textId="3FD37FC3" w:rsidR="00A13FDE" w:rsidRDefault="00A13FDE" w:rsidP="00A13FDE">
      <w:pPr>
        <w:pStyle w:val="Snum"/>
      </w:pPr>
      <w:r>
        <w:t>Lugupidamisega</w:t>
      </w:r>
    </w:p>
    <w:p w14:paraId="55ADD4AB" w14:textId="77777777" w:rsidR="00A13FDE" w:rsidRDefault="00A13FDE" w:rsidP="00A13FDE">
      <w:pPr>
        <w:pStyle w:val="Snum"/>
      </w:pPr>
    </w:p>
    <w:p w14:paraId="2EA7E269" w14:textId="77777777" w:rsidR="00A13FDE" w:rsidRDefault="00A13FDE" w:rsidP="00A13FDE">
      <w:pPr>
        <w:pStyle w:val="Snum"/>
      </w:pPr>
      <w:r>
        <w:t>(allkirjastatud digitaalselt)</w:t>
      </w:r>
    </w:p>
    <w:p w14:paraId="79A59A40" w14:textId="77777777" w:rsidR="009C74C9" w:rsidRPr="00015E5C" w:rsidRDefault="009C74C9" w:rsidP="009C74C9">
      <w:pPr>
        <w:rPr>
          <w:rFonts w:eastAsia="Calibri"/>
          <w:szCs w:val="22"/>
        </w:rPr>
      </w:pPr>
      <w:r w:rsidRPr="00015E5C">
        <w:t>Marten Leiten</w:t>
      </w:r>
    </w:p>
    <w:p w14:paraId="1D15015F" w14:textId="77777777" w:rsidR="00F63CF9" w:rsidRDefault="009C74C9" w:rsidP="001C3071">
      <w:r w:rsidRPr="00015E5C">
        <w:t>planeeringute menetlemise talituse juhataja</w:t>
      </w:r>
    </w:p>
    <w:p w14:paraId="7C46B11D" w14:textId="77777777" w:rsidR="00F63CF9" w:rsidRDefault="00F63CF9" w:rsidP="001C3071">
      <w:pPr>
        <w:rPr>
          <w:rFonts w:eastAsia="Times New Roman"/>
          <w:kern w:val="0"/>
          <w:szCs w:val="20"/>
          <w:lang w:eastAsia="en-US" w:bidi="ar-SA"/>
        </w:rPr>
      </w:pPr>
    </w:p>
    <w:p w14:paraId="45ED2B5E" w14:textId="620A9303" w:rsidR="00F63CF9" w:rsidRDefault="00F63CF9" w:rsidP="001C3071">
      <w:pPr>
        <w:rPr>
          <w:rFonts w:eastAsia="Times New Roman"/>
          <w:kern w:val="0"/>
          <w:szCs w:val="20"/>
          <w:lang w:eastAsia="en-US" w:bidi="ar-SA"/>
        </w:rPr>
      </w:pPr>
      <w:r>
        <w:rPr>
          <w:rFonts w:eastAsia="Times New Roman"/>
          <w:kern w:val="0"/>
          <w:szCs w:val="20"/>
          <w:lang w:eastAsia="en-US" w:bidi="ar-SA"/>
        </w:rPr>
        <w:t>Koopia: Majandus- ja Kommunikatsiooniministeerium, e-post info@mkm.ee</w:t>
      </w:r>
    </w:p>
    <w:p w14:paraId="2BEB1812" w14:textId="77777777" w:rsidR="00F63CF9" w:rsidRDefault="00F63CF9" w:rsidP="00F63CF9">
      <w:pPr>
        <w:ind w:left="4254" w:firstLine="709"/>
        <w:rPr>
          <w:rFonts w:eastAsia="Times New Roman"/>
          <w:kern w:val="0"/>
          <w:sz w:val="20"/>
          <w:szCs w:val="20"/>
          <w:lang w:eastAsia="en-US" w:bidi="ar-SA"/>
        </w:rPr>
      </w:pPr>
    </w:p>
    <w:p w14:paraId="20E101CF" w14:textId="272D69A5" w:rsidR="00F63CF9" w:rsidRPr="00F63CF9" w:rsidRDefault="009C74C9" w:rsidP="00F63CF9">
      <w:r w:rsidRPr="00F63CF9">
        <w:rPr>
          <w:rFonts w:eastAsia="Times New Roman"/>
          <w:kern w:val="0"/>
          <w:lang w:eastAsia="en-US" w:bidi="ar-SA"/>
        </w:rPr>
        <w:t>Marge Kelgo 630 4860</w:t>
      </w:r>
      <w:r w:rsidR="002637E7" w:rsidRPr="00F63CF9">
        <w:rPr>
          <w:rFonts w:eastAsia="Times New Roman"/>
          <w:kern w:val="0"/>
          <w:lang w:eastAsia="en-US" w:bidi="ar-SA"/>
        </w:rPr>
        <w:t xml:space="preserve"> </w:t>
      </w:r>
      <w:hyperlink r:id="rId10" w:history="1">
        <w:r w:rsidR="00F63CF9" w:rsidRPr="00F63CF9">
          <w:rPr>
            <w:rStyle w:val="Hperlink"/>
            <w:rFonts w:eastAsia="Times New Roman"/>
            <w:kern w:val="0"/>
            <w:lang w:eastAsia="en-US" w:bidi="ar-SA"/>
          </w:rPr>
          <w:t>Marge.Kelgo@mnt.ee</w:t>
        </w:r>
      </w:hyperlink>
    </w:p>
    <w:sectPr w:rsidR="00F63CF9" w:rsidRPr="00F63CF9" w:rsidSect="001C28BA">
      <w:headerReference w:type="even" r:id="rId11"/>
      <w:headerReference w:type="default" r:id="rId12"/>
      <w:footerReference w:type="even" r:id="rId13"/>
      <w:footerReference w:type="default" r:id="rId14"/>
      <w:headerReference w:type="first" r:id="rId15"/>
      <w:footerReference w:type="first" r:id="rId16"/>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5686" w14:textId="77777777" w:rsidR="00744BCF" w:rsidRDefault="00744BCF" w:rsidP="00DF44DF">
      <w:r>
        <w:separator/>
      </w:r>
    </w:p>
  </w:endnote>
  <w:endnote w:type="continuationSeparator" w:id="0">
    <w:p w14:paraId="62D1A146" w14:textId="77777777" w:rsidR="00744BCF" w:rsidRDefault="00744BC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0822" w14:textId="77777777" w:rsidR="00C939EB" w:rsidRDefault="00C939E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2FCB" w14:textId="4E04274D"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F8741D">
      <w:rPr>
        <w:noProof/>
      </w:rPr>
      <w:t>2</w:t>
    </w:r>
    <w:r w:rsidRPr="00AD2EA7">
      <w:fldChar w:fldCharType="end"/>
    </w:r>
    <w:r w:rsidR="003B2A9C" w:rsidRPr="00AD2EA7">
      <w:t xml:space="preserve"> (</w:t>
    </w:r>
    <w:r w:rsidR="00744BCF">
      <w:fldChar w:fldCharType="begin"/>
    </w:r>
    <w:r w:rsidR="00744BCF">
      <w:instrText xml:space="preserve"> NUMPAGES </w:instrText>
    </w:r>
    <w:r w:rsidR="00744BCF">
      <w:fldChar w:fldCharType="separate"/>
    </w:r>
    <w:r w:rsidR="00F8741D">
      <w:rPr>
        <w:noProof/>
      </w:rPr>
      <w:t>3</w:t>
    </w:r>
    <w:r w:rsidR="00744BCF">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895E" w14:textId="77777777"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14:paraId="360BC253" w14:textId="77777777" w:rsidR="000A17B5" w:rsidRPr="000A17B5" w:rsidRDefault="000A17B5" w:rsidP="000A17B5">
    <w:pPr>
      <w:pStyle w:val="Jalus1"/>
    </w:pPr>
    <w:r w:rsidRPr="000A17B5">
      <w:t xml:space="preserve">Registrikood </w:t>
    </w:r>
    <w:r w:rsidR="007E51C4">
      <w:t>70001490</w:t>
    </w:r>
  </w:p>
  <w:p w14:paraId="7C2AC88F"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818C" w14:textId="77777777" w:rsidR="00744BCF" w:rsidRDefault="00744BCF" w:rsidP="00DF44DF">
      <w:r>
        <w:separator/>
      </w:r>
    </w:p>
  </w:footnote>
  <w:footnote w:type="continuationSeparator" w:id="0">
    <w:p w14:paraId="360AE847" w14:textId="77777777" w:rsidR="00744BCF" w:rsidRDefault="00744BCF" w:rsidP="00DF44DF">
      <w:r>
        <w:continuationSeparator/>
      </w:r>
    </w:p>
  </w:footnote>
  <w:footnote w:type="separator" w:id="-1">
    <w:p w14:paraId="0C5C818C" w14:textId="77777777" w:rsidR="00744BCF" w:rsidRDefault="00744BCF" w:rsidP="00DF44DF">
      <w:r>
        <w:separator/>
      </w:r>
    </w:p>
  </w:footnote>
  <w:footnote w:type="continuationSeparator" w:id="0">
    <w:p w14:paraId="360AE847" w14:textId="77777777" w:rsidR="00744BCF" w:rsidRDefault="00744BCF"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893A" w14:textId="77777777" w:rsidR="00C939EB" w:rsidRDefault="00C939E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77A7" w14:textId="77777777" w:rsidR="00C939EB" w:rsidRDefault="00C939E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825A" w14:textId="77777777" w:rsidR="00C939EB" w:rsidRDefault="00C939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3C8"/>
    <w:multiLevelType w:val="hybridMultilevel"/>
    <w:tmpl w:val="F29AAD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F639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5A640B"/>
    <w:multiLevelType w:val="hybridMultilevel"/>
    <w:tmpl w:val="8D72BE8A"/>
    <w:lvl w:ilvl="0" w:tplc="08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372A3C"/>
    <w:multiLevelType w:val="hybridMultilevel"/>
    <w:tmpl w:val="EECA5C2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33D1CD6"/>
    <w:multiLevelType w:val="multilevel"/>
    <w:tmpl w:val="9710CE5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D95FD3"/>
    <w:multiLevelType w:val="multilevel"/>
    <w:tmpl w:val="9724D31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871E5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66A5116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CF1ED2"/>
    <w:multiLevelType w:val="hybridMultilevel"/>
    <w:tmpl w:val="2812C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74A0756B"/>
    <w:multiLevelType w:val="hybridMultilevel"/>
    <w:tmpl w:val="E662D1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AA0A28"/>
    <w:multiLevelType w:val="hybridMultilevel"/>
    <w:tmpl w:val="06A692D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4"/>
  </w:num>
  <w:num w:numId="6">
    <w:abstractNumId w:val="3"/>
  </w:num>
  <w:num w:numId="7">
    <w:abstractNumId w:val="9"/>
  </w:num>
  <w:num w:numId="8">
    <w:abstractNumId w:val="7"/>
  </w:num>
  <w:num w:numId="9">
    <w:abstractNumId w:val="2"/>
  </w:num>
  <w:num w:numId="10">
    <w:abstractNumId w:val="0"/>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 w:ilvl="0">
        <w:start w:val="1"/>
        <w:numFmt w:val="decimal"/>
        <w:lvlText w:val="%1."/>
        <w:lvlJc w:val="left"/>
        <w:pPr>
          <w:ind w:left="360" w:hanging="360"/>
        </w:pPr>
        <w:rPr>
          <w:rFonts w:hint="default"/>
          <w:i w:val="0"/>
        </w:rPr>
      </w:lvl>
    </w:lvlOverride>
    <w:lvlOverride w:ilvl="1">
      <w:lvl w:ilvl="1">
        <w:start w:val="1"/>
        <w:numFmt w:val="decimal"/>
        <w:lvlText w:val="%1.%2."/>
        <w:lvlJc w:val="left"/>
        <w:pPr>
          <w:ind w:left="1191" w:hanging="96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5"/>
    <w:lvlOverride w:ilvl="0">
      <w:lvl w:ilvl="0">
        <w:start w:val="1"/>
        <w:numFmt w:val="decimal"/>
        <w:lvlText w:val="%1."/>
        <w:lvlJc w:val="left"/>
        <w:pPr>
          <w:ind w:left="360" w:hanging="360"/>
        </w:pPr>
        <w:rPr>
          <w:rFonts w:hint="default"/>
          <w:i w:val="0"/>
        </w:rPr>
      </w:lvl>
    </w:lvlOverride>
    <w:lvlOverride w:ilvl="1">
      <w:lvl w:ilvl="1">
        <w:start w:val="1"/>
        <w:numFmt w:val="decimal"/>
        <w:lvlText w:val="%1.%2."/>
        <w:lvlJc w:val="left"/>
        <w:pPr>
          <w:ind w:left="794"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02FEC"/>
    <w:rsid w:val="00042F6C"/>
    <w:rsid w:val="00060947"/>
    <w:rsid w:val="0008669E"/>
    <w:rsid w:val="000913FC"/>
    <w:rsid w:val="000A17B5"/>
    <w:rsid w:val="00124999"/>
    <w:rsid w:val="001523BD"/>
    <w:rsid w:val="001A7D04"/>
    <w:rsid w:val="001C28BA"/>
    <w:rsid w:val="001C3071"/>
    <w:rsid w:val="001D4CFB"/>
    <w:rsid w:val="002008A2"/>
    <w:rsid w:val="002637E7"/>
    <w:rsid w:val="002835BB"/>
    <w:rsid w:val="00293449"/>
    <w:rsid w:val="002D5FF9"/>
    <w:rsid w:val="002F254F"/>
    <w:rsid w:val="00330C25"/>
    <w:rsid w:val="0034719C"/>
    <w:rsid w:val="00354059"/>
    <w:rsid w:val="00394DCB"/>
    <w:rsid w:val="003B2A9C"/>
    <w:rsid w:val="00435A13"/>
    <w:rsid w:val="0044084D"/>
    <w:rsid w:val="00442E94"/>
    <w:rsid w:val="00497104"/>
    <w:rsid w:val="004B216A"/>
    <w:rsid w:val="004C1391"/>
    <w:rsid w:val="00546204"/>
    <w:rsid w:val="00551E24"/>
    <w:rsid w:val="00557534"/>
    <w:rsid w:val="00560A92"/>
    <w:rsid w:val="00564569"/>
    <w:rsid w:val="005A3854"/>
    <w:rsid w:val="005B5CE1"/>
    <w:rsid w:val="005C48AD"/>
    <w:rsid w:val="005D2EC9"/>
    <w:rsid w:val="005E3AED"/>
    <w:rsid w:val="005E45BB"/>
    <w:rsid w:val="00602834"/>
    <w:rsid w:val="00680609"/>
    <w:rsid w:val="006A01AC"/>
    <w:rsid w:val="006A13FC"/>
    <w:rsid w:val="006E16BD"/>
    <w:rsid w:val="006F0FDC"/>
    <w:rsid w:val="006F3BB9"/>
    <w:rsid w:val="006F72D7"/>
    <w:rsid w:val="007056E1"/>
    <w:rsid w:val="00713327"/>
    <w:rsid w:val="0074023F"/>
    <w:rsid w:val="00744BCF"/>
    <w:rsid w:val="0075695A"/>
    <w:rsid w:val="00771C76"/>
    <w:rsid w:val="00781283"/>
    <w:rsid w:val="007A1DE8"/>
    <w:rsid w:val="007B3FE1"/>
    <w:rsid w:val="007D54FC"/>
    <w:rsid w:val="007E51C4"/>
    <w:rsid w:val="00835858"/>
    <w:rsid w:val="008919F2"/>
    <w:rsid w:val="008B041F"/>
    <w:rsid w:val="008D4634"/>
    <w:rsid w:val="008F0B50"/>
    <w:rsid w:val="0091786B"/>
    <w:rsid w:val="00923E50"/>
    <w:rsid w:val="009370A4"/>
    <w:rsid w:val="009B0553"/>
    <w:rsid w:val="009C52CC"/>
    <w:rsid w:val="009C74C9"/>
    <w:rsid w:val="009E7F4A"/>
    <w:rsid w:val="009F0DE4"/>
    <w:rsid w:val="00A011B1"/>
    <w:rsid w:val="00A0536F"/>
    <w:rsid w:val="00A10E66"/>
    <w:rsid w:val="00A1244E"/>
    <w:rsid w:val="00A13FDE"/>
    <w:rsid w:val="00A2342B"/>
    <w:rsid w:val="00A73A91"/>
    <w:rsid w:val="00AB0BB7"/>
    <w:rsid w:val="00AC4752"/>
    <w:rsid w:val="00AD2EA7"/>
    <w:rsid w:val="00AE02A8"/>
    <w:rsid w:val="00AE3320"/>
    <w:rsid w:val="00B908F8"/>
    <w:rsid w:val="00BC1A62"/>
    <w:rsid w:val="00BD078E"/>
    <w:rsid w:val="00BD3CCF"/>
    <w:rsid w:val="00BE0CC9"/>
    <w:rsid w:val="00BF0240"/>
    <w:rsid w:val="00BF4D7C"/>
    <w:rsid w:val="00C24F66"/>
    <w:rsid w:val="00C27B07"/>
    <w:rsid w:val="00C41FC5"/>
    <w:rsid w:val="00C83346"/>
    <w:rsid w:val="00C939EB"/>
    <w:rsid w:val="00CA583B"/>
    <w:rsid w:val="00CA5F0B"/>
    <w:rsid w:val="00CF2B77"/>
    <w:rsid w:val="00CF4303"/>
    <w:rsid w:val="00D40650"/>
    <w:rsid w:val="00D77DD0"/>
    <w:rsid w:val="00DF44DF"/>
    <w:rsid w:val="00DF4CC9"/>
    <w:rsid w:val="00E023F6"/>
    <w:rsid w:val="00E03DBB"/>
    <w:rsid w:val="00E117CC"/>
    <w:rsid w:val="00E51724"/>
    <w:rsid w:val="00EA230F"/>
    <w:rsid w:val="00EF1DFD"/>
    <w:rsid w:val="00F05EEA"/>
    <w:rsid w:val="00F63CF9"/>
    <w:rsid w:val="00F8741D"/>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D3D8FD"/>
  <w15:docId w15:val="{04F37B09-BAFB-4AD1-A18E-F97FDB1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rsid w:val="00A73A91"/>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EA230F"/>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styleId="Mainimine">
    <w:name w:val="Mention"/>
    <w:basedOn w:val="Liguvaikefont"/>
    <w:uiPriority w:val="99"/>
    <w:semiHidden/>
    <w:unhideWhenUsed/>
    <w:rsid w:val="009F0DE4"/>
    <w:rPr>
      <w:color w:val="2B579A"/>
      <w:shd w:val="clear" w:color="auto" w:fill="E6E6E6"/>
    </w:rPr>
  </w:style>
  <w:style w:type="character" w:styleId="Kommentaariviide">
    <w:name w:val="annotation reference"/>
    <w:basedOn w:val="Liguvaikefont"/>
    <w:uiPriority w:val="99"/>
    <w:semiHidden/>
    <w:unhideWhenUsed/>
    <w:rsid w:val="009F0DE4"/>
    <w:rPr>
      <w:sz w:val="16"/>
      <w:szCs w:val="16"/>
    </w:rPr>
  </w:style>
  <w:style w:type="paragraph" w:styleId="Kommentaaritekst">
    <w:name w:val="annotation text"/>
    <w:basedOn w:val="Normaallaad"/>
    <w:link w:val="KommentaaritekstMrk"/>
    <w:uiPriority w:val="99"/>
    <w:semiHidden/>
    <w:unhideWhenUsed/>
    <w:rsid w:val="009F0DE4"/>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9F0DE4"/>
    <w:rPr>
      <w:rFonts w:eastAsia="SimSun" w:cs="Mangal"/>
      <w:kern w:val="1"/>
      <w:szCs w:val="18"/>
      <w:lang w:eastAsia="zh-CN" w:bidi="hi-IN"/>
    </w:rPr>
  </w:style>
  <w:style w:type="paragraph" w:styleId="Loendilik">
    <w:name w:val="List Paragraph"/>
    <w:basedOn w:val="Normaallaad"/>
    <w:uiPriority w:val="34"/>
    <w:qFormat/>
    <w:rsid w:val="009F0DE4"/>
    <w:pPr>
      <w:ind w:left="720"/>
      <w:contextualSpacing/>
    </w:pPr>
    <w:rPr>
      <w:rFonts w:cs="Mangal"/>
      <w:szCs w:val="21"/>
    </w:rPr>
  </w:style>
  <w:style w:type="character" w:styleId="Klastatudhperlink">
    <w:name w:val="FollowedHyperlink"/>
    <w:basedOn w:val="Liguvaikefont"/>
    <w:uiPriority w:val="99"/>
    <w:semiHidden/>
    <w:unhideWhenUsed/>
    <w:rsid w:val="006A13FC"/>
    <w:rPr>
      <w:color w:val="800080" w:themeColor="followedHyperlink"/>
      <w:u w:val="single"/>
    </w:rPr>
  </w:style>
  <w:style w:type="character" w:customStyle="1" w:styleId="Pealkiri1Mrk">
    <w:name w:val="Pealkiri 1 Märk"/>
    <w:basedOn w:val="Liguvaikefont"/>
    <w:link w:val="Pealkiri1"/>
    <w:uiPriority w:val="9"/>
    <w:rsid w:val="00EA230F"/>
    <w:rPr>
      <w:rFonts w:asciiTheme="majorHAnsi" w:eastAsiaTheme="majorEastAsia" w:hAnsiTheme="majorHAnsi" w:cs="Mangal"/>
      <w:color w:val="365F91"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7991">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arge.Kelgo@mnt.ee"/>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maantee@mnt.e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E7D63B5-2A99-4BA9-A0E1-184D7E6C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453</TotalTime>
  <Pages>3</Pages>
  <Words>1523</Words>
  <Characters>8839</Characters>
  <Application>Microsoft Office Word</Application>
  <DocSecurity>0</DocSecurity>
  <Lines>73</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Maanteeamet</Company>
  <LinksUpToDate>false</LinksUpToDate>
  <CharactersWithSpaces>10342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2014-04-10T06:19:00Z</dcterms:created>
  <dc:creator>Kairit</dc:creator>
  <lastModifiedBy>Marge Kelgo</lastModifiedBy>
  <lastPrinted>2014-04-03T10:06:00Z</lastPrinted>
  <dcterms:modified xsi:type="dcterms:W3CDTF">2017-07-25T11:37:00Z</dcterms:modified>
  <revision>26</revision>
</coreProperties>
</file>