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237E" w14:textId="476BEC1F" w:rsidR="00415DAD" w:rsidRDefault="00415DAD" w:rsidP="00864C4C">
      <w:pPr>
        <w:jc w:val="right"/>
      </w:pPr>
      <w:r>
        <w:t xml:space="preserve">Versioon: </w:t>
      </w:r>
      <w:r w:rsidR="00D5238D">
        <w:t>12</w:t>
      </w:r>
      <w:r>
        <w:t>.</w:t>
      </w:r>
      <w:r w:rsidR="00D5238D">
        <w:t>10</w:t>
      </w:r>
      <w:r>
        <w:t>.2023</w:t>
      </w:r>
    </w:p>
    <w:p w14:paraId="4AD3BE69" w14:textId="6D01822B" w:rsidR="00415DAD" w:rsidRDefault="00415DAD" w:rsidP="00864C4C">
      <w:pPr>
        <w:ind w:left="2977"/>
        <w:jc w:val="right"/>
      </w:pPr>
      <w:r w:rsidRPr="00415DAD">
        <w:t>Teadus-, uurimis- ja arendustööd Riigi Infosüsteemi Ameti riigihankes „Sündmusteenuste analüüsi- ja arendushange“ (viitenumber 241499)</w:t>
      </w:r>
    </w:p>
    <w:p w14:paraId="6DEBA65A" w14:textId="0459B8EB" w:rsidR="00FC1811" w:rsidRDefault="00FC1811" w:rsidP="00415DAD">
      <w:pPr>
        <w:jc w:val="right"/>
      </w:pPr>
    </w:p>
    <w:p w14:paraId="0117CA58" w14:textId="77AFE8EC" w:rsidR="00FC1811" w:rsidRPr="00D5238D" w:rsidRDefault="00864C4C" w:rsidP="00D5238D">
      <w:pPr>
        <w:jc w:val="center"/>
        <w:rPr>
          <w:color w:val="2F5496" w:themeColor="accent1" w:themeShade="BF"/>
        </w:rPr>
      </w:pPr>
      <w:r w:rsidRPr="00D5238D">
        <w:rPr>
          <w:color w:val="2F5496" w:themeColor="accent1" w:themeShade="BF"/>
          <w:sz w:val="32"/>
        </w:rPr>
        <w:t>Sündmusteenuste mõju hindamise meetod ja valideerimine</w:t>
      </w:r>
    </w:p>
    <w:p w14:paraId="7016F1E3" w14:textId="77777777" w:rsidR="00864C4C" w:rsidRDefault="00864C4C" w:rsidP="00864C4C">
      <w:pPr>
        <w:jc w:val="center"/>
      </w:pPr>
    </w:p>
    <w:p w14:paraId="764B4DAE" w14:textId="488D4EDB" w:rsidR="00415DAD" w:rsidRDefault="00864C4C" w:rsidP="00864C4C">
      <w:pPr>
        <w:jc w:val="center"/>
      </w:pPr>
      <w:r>
        <w:t>Mihkel Solvak, Andres Võrk</w:t>
      </w:r>
    </w:p>
    <w:p w14:paraId="321754AB" w14:textId="40D5FFD7" w:rsidR="00864C4C" w:rsidRDefault="00864C4C" w:rsidP="00121379">
      <w:pPr>
        <w:jc w:val="center"/>
      </w:pPr>
      <w:r>
        <w:t>TÜ CITIS</w:t>
      </w:r>
    </w:p>
    <w:p w14:paraId="30C893E1" w14:textId="5D300946" w:rsidR="00415DAD" w:rsidRDefault="00415DAD" w:rsidP="00415DAD">
      <w:pPr>
        <w:jc w:val="right"/>
      </w:pPr>
    </w:p>
    <w:sdt>
      <w:sdtPr>
        <w:rPr>
          <w:rFonts w:asciiTheme="minorHAnsi" w:eastAsiaTheme="minorHAnsi" w:hAnsiTheme="minorHAnsi" w:cstheme="minorBidi"/>
          <w:color w:val="auto"/>
          <w:sz w:val="22"/>
          <w:szCs w:val="22"/>
          <w:lang w:val="et-EE"/>
        </w:rPr>
        <w:id w:val="-1132781386"/>
        <w:docPartObj>
          <w:docPartGallery w:val="Table of Contents"/>
          <w:docPartUnique/>
        </w:docPartObj>
      </w:sdtPr>
      <w:sdtEndPr>
        <w:rPr>
          <w:b/>
          <w:bCs/>
          <w:noProof/>
        </w:rPr>
      </w:sdtEndPr>
      <w:sdtContent>
        <w:p w14:paraId="6D50F26D" w14:textId="615E5967" w:rsidR="00D5238D" w:rsidRPr="00DA49F6" w:rsidRDefault="00D5238D">
          <w:pPr>
            <w:pStyle w:val="Sisukorrapealkiri"/>
            <w:rPr>
              <w:lang w:val="sv-SE"/>
            </w:rPr>
          </w:pPr>
          <w:r w:rsidRPr="00DA49F6">
            <w:rPr>
              <w:lang w:val="sv-SE"/>
            </w:rPr>
            <w:t>Sisukord</w:t>
          </w:r>
        </w:p>
        <w:p w14:paraId="457174FD" w14:textId="1EB78420" w:rsidR="00867CEA" w:rsidRDefault="00D5238D">
          <w:pPr>
            <w:pStyle w:val="SK2"/>
            <w:tabs>
              <w:tab w:val="right" w:leader="dot" w:pos="9016"/>
            </w:tabs>
            <w:rPr>
              <w:rFonts w:eastAsiaTheme="minorEastAsia"/>
              <w:noProof/>
              <w:lang w:eastAsia="et-EE"/>
            </w:rPr>
          </w:pPr>
          <w:r>
            <w:fldChar w:fldCharType="begin"/>
          </w:r>
          <w:r>
            <w:instrText xml:space="preserve"> TOC \o "1-3" \h \z \u </w:instrText>
          </w:r>
          <w:r>
            <w:fldChar w:fldCharType="separate"/>
          </w:r>
          <w:hyperlink w:anchor="_Toc148002080" w:history="1">
            <w:r w:rsidR="00867CEA" w:rsidRPr="00881B03">
              <w:rPr>
                <w:rStyle w:val="Hperlink"/>
                <w:noProof/>
              </w:rPr>
              <w:t>1. Lähteülesanne</w:t>
            </w:r>
            <w:r w:rsidR="00867CEA">
              <w:rPr>
                <w:noProof/>
                <w:webHidden/>
              </w:rPr>
              <w:tab/>
            </w:r>
            <w:r w:rsidR="00867CEA">
              <w:rPr>
                <w:noProof/>
                <w:webHidden/>
              </w:rPr>
              <w:fldChar w:fldCharType="begin"/>
            </w:r>
            <w:r w:rsidR="00867CEA">
              <w:rPr>
                <w:noProof/>
                <w:webHidden/>
              </w:rPr>
              <w:instrText xml:space="preserve"> PAGEREF _Toc148002080 \h </w:instrText>
            </w:r>
            <w:r w:rsidR="00867CEA">
              <w:rPr>
                <w:noProof/>
                <w:webHidden/>
              </w:rPr>
            </w:r>
            <w:r w:rsidR="00867CEA">
              <w:rPr>
                <w:noProof/>
                <w:webHidden/>
              </w:rPr>
              <w:fldChar w:fldCharType="separate"/>
            </w:r>
            <w:r w:rsidR="00867CEA">
              <w:rPr>
                <w:noProof/>
                <w:webHidden/>
              </w:rPr>
              <w:t>1</w:t>
            </w:r>
            <w:r w:rsidR="00867CEA">
              <w:rPr>
                <w:noProof/>
                <w:webHidden/>
              </w:rPr>
              <w:fldChar w:fldCharType="end"/>
            </w:r>
          </w:hyperlink>
        </w:p>
        <w:p w14:paraId="2CA1E8F3" w14:textId="5B783A2B" w:rsidR="00867CEA" w:rsidRDefault="00EC4AC9">
          <w:pPr>
            <w:pStyle w:val="SK2"/>
            <w:tabs>
              <w:tab w:val="right" w:leader="dot" w:pos="9016"/>
            </w:tabs>
            <w:rPr>
              <w:rFonts w:eastAsiaTheme="minorEastAsia"/>
              <w:noProof/>
              <w:lang w:eastAsia="et-EE"/>
            </w:rPr>
          </w:pPr>
          <w:hyperlink w:anchor="_Toc148002081" w:history="1">
            <w:r w:rsidR="00867CEA" w:rsidRPr="00881B03">
              <w:rPr>
                <w:rStyle w:val="Hperlink"/>
                <w:noProof/>
              </w:rPr>
              <w:t>2. Mõju dimensioonid ja võimalikud indikaatorid</w:t>
            </w:r>
            <w:r w:rsidR="00867CEA">
              <w:rPr>
                <w:noProof/>
                <w:webHidden/>
              </w:rPr>
              <w:tab/>
            </w:r>
            <w:r w:rsidR="00867CEA">
              <w:rPr>
                <w:noProof/>
                <w:webHidden/>
              </w:rPr>
              <w:fldChar w:fldCharType="begin"/>
            </w:r>
            <w:r w:rsidR="00867CEA">
              <w:rPr>
                <w:noProof/>
                <w:webHidden/>
              </w:rPr>
              <w:instrText xml:space="preserve"> PAGEREF _Toc148002081 \h </w:instrText>
            </w:r>
            <w:r w:rsidR="00867CEA">
              <w:rPr>
                <w:noProof/>
                <w:webHidden/>
              </w:rPr>
            </w:r>
            <w:r w:rsidR="00867CEA">
              <w:rPr>
                <w:noProof/>
                <w:webHidden/>
              </w:rPr>
              <w:fldChar w:fldCharType="separate"/>
            </w:r>
            <w:r w:rsidR="00867CEA">
              <w:rPr>
                <w:noProof/>
                <w:webHidden/>
              </w:rPr>
              <w:t>2</w:t>
            </w:r>
            <w:r w:rsidR="00867CEA">
              <w:rPr>
                <w:noProof/>
                <w:webHidden/>
              </w:rPr>
              <w:fldChar w:fldCharType="end"/>
            </w:r>
          </w:hyperlink>
        </w:p>
        <w:p w14:paraId="5A72805A" w14:textId="03E61AC4" w:rsidR="00867CEA" w:rsidRDefault="00EC4AC9">
          <w:pPr>
            <w:pStyle w:val="SK3"/>
            <w:tabs>
              <w:tab w:val="right" w:leader="dot" w:pos="9016"/>
            </w:tabs>
            <w:rPr>
              <w:rFonts w:eastAsiaTheme="minorEastAsia"/>
              <w:noProof/>
              <w:lang w:eastAsia="et-EE"/>
            </w:rPr>
          </w:pPr>
          <w:hyperlink w:anchor="_Toc148002082" w:history="1">
            <w:r w:rsidR="00867CEA" w:rsidRPr="00881B03">
              <w:rPr>
                <w:rStyle w:val="Hperlink"/>
                <w:noProof/>
              </w:rPr>
              <w:t>2.1 Majanduslik mõju</w:t>
            </w:r>
            <w:r w:rsidR="00867CEA">
              <w:rPr>
                <w:noProof/>
                <w:webHidden/>
              </w:rPr>
              <w:tab/>
            </w:r>
            <w:r w:rsidR="00867CEA">
              <w:rPr>
                <w:noProof/>
                <w:webHidden/>
              </w:rPr>
              <w:fldChar w:fldCharType="begin"/>
            </w:r>
            <w:r w:rsidR="00867CEA">
              <w:rPr>
                <w:noProof/>
                <w:webHidden/>
              </w:rPr>
              <w:instrText xml:space="preserve"> PAGEREF _Toc148002082 \h </w:instrText>
            </w:r>
            <w:r w:rsidR="00867CEA">
              <w:rPr>
                <w:noProof/>
                <w:webHidden/>
              </w:rPr>
            </w:r>
            <w:r w:rsidR="00867CEA">
              <w:rPr>
                <w:noProof/>
                <w:webHidden/>
              </w:rPr>
              <w:fldChar w:fldCharType="separate"/>
            </w:r>
            <w:r w:rsidR="00867CEA">
              <w:rPr>
                <w:noProof/>
                <w:webHidden/>
              </w:rPr>
              <w:t>2</w:t>
            </w:r>
            <w:r w:rsidR="00867CEA">
              <w:rPr>
                <w:noProof/>
                <w:webHidden/>
              </w:rPr>
              <w:fldChar w:fldCharType="end"/>
            </w:r>
          </w:hyperlink>
        </w:p>
        <w:p w14:paraId="75B2E0DF" w14:textId="5B3DD01D" w:rsidR="00867CEA" w:rsidRDefault="00EC4AC9">
          <w:pPr>
            <w:pStyle w:val="SK3"/>
            <w:tabs>
              <w:tab w:val="right" w:leader="dot" w:pos="9016"/>
            </w:tabs>
            <w:rPr>
              <w:rFonts w:eastAsiaTheme="minorEastAsia"/>
              <w:noProof/>
              <w:lang w:eastAsia="et-EE"/>
            </w:rPr>
          </w:pPr>
          <w:hyperlink w:anchor="_Toc148002083" w:history="1">
            <w:r w:rsidR="00867CEA" w:rsidRPr="00881B03">
              <w:rPr>
                <w:rStyle w:val="Hperlink"/>
                <w:noProof/>
              </w:rPr>
              <w:t>2.2. Sotsiaalne mõju</w:t>
            </w:r>
            <w:r w:rsidR="00867CEA">
              <w:rPr>
                <w:noProof/>
                <w:webHidden/>
              </w:rPr>
              <w:tab/>
            </w:r>
            <w:r w:rsidR="00867CEA">
              <w:rPr>
                <w:noProof/>
                <w:webHidden/>
              </w:rPr>
              <w:fldChar w:fldCharType="begin"/>
            </w:r>
            <w:r w:rsidR="00867CEA">
              <w:rPr>
                <w:noProof/>
                <w:webHidden/>
              </w:rPr>
              <w:instrText xml:space="preserve"> PAGEREF _Toc148002083 \h </w:instrText>
            </w:r>
            <w:r w:rsidR="00867CEA">
              <w:rPr>
                <w:noProof/>
                <w:webHidden/>
              </w:rPr>
            </w:r>
            <w:r w:rsidR="00867CEA">
              <w:rPr>
                <w:noProof/>
                <w:webHidden/>
              </w:rPr>
              <w:fldChar w:fldCharType="separate"/>
            </w:r>
            <w:r w:rsidR="00867CEA">
              <w:rPr>
                <w:noProof/>
                <w:webHidden/>
              </w:rPr>
              <w:t>3</w:t>
            </w:r>
            <w:r w:rsidR="00867CEA">
              <w:rPr>
                <w:noProof/>
                <w:webHidden/>
              </w:rPr>
              <w:fldChar w:fldCharType="end"/>
            </w:r>
          </w:hyperlink>
        </w:p>
        <w:p w14:paraId="6A69C598" w14:textId="77731DB4" w:rsidR="00867CEA" w:rsidRDefault="00EC4AC9">
          <w:pPr>
            <w:pStyle w:val="SK3"/>
            <w:tabs>
              <w:tab w:val="right" w:leader="dot" w:pos="9016"/>
            </w:tabs>
            <w:rPr>
              <w:rFonts w:eastAsiaTheme="minorEastAsia"/>
              <w:noProof/>
              <w:lang w:eastAsia="et-EE"/>
            </w:rPr>
          </w:pPr>
          <w:hyperlink w:anchor="_Toc148002084" w:history="1">
            <w:r w:rsidR="00867CEA" w:rsidRPr="00881B03">
              <w:rPr>
                <w:rStyle w:val="Hperlink"/>
                <w:noProof/>
              </w:rPr>
              <w:t>2.3. Keskkonnamõju</w:t>
            </w:r>
            <w:r w:rsidR="00867CEA">
              <w:rPr>
                <w:noProof/>
                <w:webHidden/>
              </w:rPr>
              <w:tab/>
            </w:r>
            <w:r w:rsidR="00867CEA">
              <w:rPr>
                <w:noProof/>
                <w:webHidden/>
              </w:rPr>
              <w:fldChar w:fldCharType="begin"/>
            </w:r>
            <w:r w:rsidR="00867CEA">
              <w:rPr>
                <w:noProof/>
                <w:webHidden/>
              </w:rPr>
              <w:instrText xml:space="preserve"> PAGEREF _Toc148002084 \h </w:instrText>
            </w:r>
            <w:r w:rsidR="00867CEA">
              <w:rPr>
                <w:noProof/>
                <w:webHidden/>
              </w:rPr>
            </w:r>
            <w:r w:rsidR="00867CEA">
              <w:rPr>
                <w:noProof/>
                <w:webHidden/>
              </w:rPr>
              <w:fldChar w:fldCharType="separate"/>
            </w:r>
            <w:r w:rsidR="00867CEA">
              <w:rPr>
                <w:noProof/>
                <w:webHidden/>
              </w:rPr>
              <w:t>3</w:t>
            </w:r>
            <w:r w:rsidR="00867CEA">
              <w:rPr>
                <w:noProof/>
                <w:webHidden/>
              </w:rPr>
              <w:fldChar w:fldCharType="end"/>
            </w:r>
          </w:hyperlink>
        </w:p>
        <w:p w14:paraId="76CE3859" w14:textId="6027EA9C" w:rsidR="00867CEA" w:rsidRDefault="00EC4AC9">
          <w:pPr>
            <w:pStyle w:val="SK3"/>
            <w:tabs>
              <w:tab w:val="right" w:leader="dot" w:pos="9016"/>
            </w:tabs>
            <w:rPr>
              <w:rFonts w:eastAsiaTheme="minorEastAsia"/>
              <w:noProof/>
              <w:lang w:eastAsia="et-EE"/>
            </w:rPr>
          </w:pPr>
          <w:hyperlink w:anchor="_Toc148002085" w:history="1">
            <w:r w:rsidR="00867CEA" w:rsidRPr="00881B03">
              <w:rPr>
                <w:rStyle w:val="Hperlink"/>
                <w:noProof/>
              </w:rPr>
              <w:t>2.4. Mittemateriaalsed mõjud</w:t>
            </w:r>
            <w:r w:rsidR="00867CEA">
              <w:rPr>
                <w:noProof/>
                <w:webHidden/>
              </w:rPr>
              <w:tab/>
            </w:r>
            <w:r w:rsidR="00867CEA">
              <w:rPr>
                <w:noProof/>
                <w:webHidden/>
              </w:rPr>
              <w:fldChar w:fldCharType="begin"/>
            </w:r>
            <w:r w:rsidR="00867CEA">
              <w:rPr>
                <w:noProof/>
                <w:webHidden/>
              </w:rPr>
              <w:instrText xml:space="preserve"> PAGEREF _Toc148002085 \h </w:instrText>
            </w:r>
            <w:r w:rsidR="00867CEA">
              <w:rPr>
                <w:noProof/>
                <w:webHidden/>
              </w:rPr>
            </w:r>
            <w:r w:rsidR="00867CEA">
              <w:rPr>
                <w:noProof/>
                <w:webHidden/>
              </w:rPr>
              <w:fldChar w:fldCharType="separate"/>
            </w:r>
            <w:r w:rsidR="00867CEA">
              <w:rPr>
                <w:noProof/>
                <w:webHidden/>
              </w:rPr>
              <w:t>3</w:t>
            </w:r>
            <w:r w:rsidR="00867CEA">
              <w:rPr>
                <w:noProof/>
                <w:webHidden/>
              </w:rPr>
              <w:fldChar w:fldCharType="end"/>
            </w:r>
          </w:hyperlink>
        </w:p>
        <w:p w14:paraId="6054B042" w14:textId="4455E10B" w:rsidR="00867CEA" w:rsidRDefault="00EC4AC9">
          <w:pPr>
            <w:pStyle w:val="SK2"/>
            <w:tabs>
              <w:tab w:val="right" w:leader="dot" w:pos="9016"/>
            </w:tabs>
            <w:rPr>
              <w:rFonts w:eastAsiaTheme="minorEastAsia"/>
              <w:noProof/>
              <w:lang w:eastAsia="et-EE"/>
            </w:rPr>
          </w:pPr>
          <w:hyperlink w:anchor="_Toc148002086" w:history="1">
            <w:r w:rsidR="00867CEA" w:rsidRPr="00881B03">
              <w:rPr>
                <w:rStyle w:val="Hperlink"/>
                <w:noProof/>
              </w:rPr>
              <w:t>3. Indikaatorite andmeallikate määramine ja väärtuste leidmine</w:t>
            </w:r>
            <w:r w:rsidR="00867CEA">
              <w:rPr>
                <w:noProof/>
                <w:webHidden/>
              </w:rPr>
              <w:tab/>
            </w:r>
            <w:r w:rsidR="00867CEA">
              <w:rPr>
                <w:noProof/>
                <w:webHidden/>
              </w:rPr>
              <w:fldChar w:fldCharType="begin"/>
            </w:r>
            <w:r w:rsidR="00867CEA">
              <w:rPr>
                <w:noProof/>
                <w:webHidden/>
              </w:rPr>
              <w:instrText xml:space="preserve"> PAGEREF _Toc148002086 \h </w:instrText>
            </w:r>
            <w:r w:rsidR="00867CEA">
              <w:rPr>
                <w:noProof/>
                <w:webHidden/>
              </w:rPr>
            </w:r>
            <w:r w:rsidR="00867CEA">
              <w:rPr>
                <w:noProof/>
                <w:webHidden/>
              </w:rPr>
              <w:fldChar w:fldCharType="separate"/>
            </w:r>
            <w:r w:rsidR="00867CEA">
              <w:rPr>
                <w:noProof/>
                <w:webHidden/>
              </w:rPr>
              <w:t>4</w:t>
            </w:r>
            <w:r w:rsidR="00867CEA">
              <w:rPr>
                <w:noProof/>
                <w:webHidden/>
              </w:rPr>
              <w:fldChar w:fldCharType="end"/>
            </w:r>
          </w:hyperlink>
        </w:p>
        <w:p w14:paraId="2BFAAC9E" w14:textId="29D61427" w:rsidR="00867CEA" w:rsidRDefault="00EC4AC9">
          <w:pPr>
            <w:pStyle w:val="SK2"/>
            <w:tabs>
              <w:tab w:val="right" w:leader="dot" w:pos="9016"/>
            </w:tabs>
            <w:rPr>
              <w:rFonts w:eastAsiaTheme="minorEastAsia"/>
              <w:noProof/>
              <w:lang w:eastAsia="et-EE"/>
            </w:rPr>
          </w:pPr>
          <w:hyperlink w:anchor="_Toc148002087" w:history="1">
            <w:r w:rsidR="00867CEA" w:rsidRPr="00881B03">
              <w:rPr>
                <w:rStyle w:val="Hperlink"/>
                <w:noProof/>
              </w:rPr>
              <w:t>4. Koondhinnangu arvutamise meetod</w:t>
            </w:r>
            <w:r w:rsidR="00867CEA">
              <w:rPr>
                <w:noProof/>
                <w:webHidden/>
              </w:rPr>
              <w:tab/>
            </w:r>
            <w:r w:rsidR="00867CEA">
              <w:rPr>
                <w:noProof/>
                <w:webHidden/>
              </w:rPr>
              <w:fldChar w:fldCharType="begin"/>
            </w:r>
            <w:r w:rsidR="00867CEA">
              <w:rPr>
                <w:noProof/>
                <w:webHidden/>
              </w:rPr>
              <w:instrText xml:space="preserve"> PAGEREF _Toc148002087 \h </w:instrText>
            </w:r>
            <w:r w:rsidR="00867CEA">
              <w:rPr>
                <w:noProof/>
                <w:webHidden/>
              </w:rPr>
            </w:r>
            <w:r w:rsidR="00867CEA">
              <w:rPr>
                <w:noProof/>
                <w:webHidden/>
              </w:rPr>
              <w:fldChar w:fldCharType="separate"/>
            </w:r>
            <w:r w:rsidR="00867CEA">
              <w:rPr>
                <w:noProof/>
                <w:webHidden/>
              </w:rPr>
              <w:t>4</w:t>
            </w:r>
            <w:r w:rsidR="00867CEA">
              <w:rPr>
                <w:noProof/>
                <w:webHidden/>
              </w:rPr>
              <w:fldChar w:fldCharType="end"/>
            </w:r>
          </w:hyperlink>
        </w:p>
        <w:p w14:paraId="4ABCFEAB" w14:textId="21DE0F06" w:rsidR="00867CEA" w:rsidRDefault="00EC4AC9">
          <w:pPr>
            <w:pStyle w:val="SK2"/>
            <w:tabs>
              <w:tab w:val="right" w:leader="dot" w:pos="9016"/>
            </w:tabs>
            <w:rPr>
              <w:rFonts w:eastAsiaTheme="minorEastAsia"/>
              <w:noProof/>
              <w:lang w:eastAsia="et-EE"/>
            </w:rPr>
          </w:pPr>
          <w:hyperlink w:anchor="_Toc148002088" w:history="1">
            <w:r w:rsidR="00867CEA" w:rsidRPr="00881B03">
              <w:rPr>
                <w:rStyle w:val="Hperlink"/>
                <w:noProof/>
              </w:rPr>
              <w:t>5. Valideerimine kahe sündmusteenusega</w:t>
            </w:r>
            <w:r w:rsidR="00867CEA">
              <w:rPr>
                <w:noProof/>
                <w:webHidden/>
              </w:rPr>
              <w:tab/>
            </w:r>
            <w:r w:rsidR="00867CEA">
              <w:rPr>
                <w:noProof/>
                <w:webHidden/>
              </w:rPr>
              <w:fldChar w:fldCharType="begin"/>
            </w:r>
            <w:r w:rsidR="00867CEA">
              <w:rPr>
                <w:noProof/>
                <w:webHidden/>
              </w:rPr>
              <w:instrText xml:space="preserve"> PAGEREF _Toc148002088 \h </w:instrText>
            </w:r>
            <w:r w:rsidR="00867CEA">
              <w:rPr>
                <w:noProof/>
                <w:webHidden/>
              </w:rPr>
            </w:r>
            <w:r w:rsidR="00867CEA">
              <w:rPr>
                <w:noProof/>
                <w:webHidden/>
              </w:rPr>
              <w:fldChar w:fldCharType="separate"/>
            </w:r>
            <w:r w:rsidR="00867CEA">
              <w:rPr>
                <w:noProof/>
                <w:webHidden/>
              </w:rPr>
              <w:t>4</w:t>
            </w:r>
            <w:r w:rsidR="00867CEA">
              <w:rPr>
                <w:noProof/>
                <w:webHidden/>
              </w:rPr>
              <w:fldChar w:fldCharType="end"/>
            </w:r>
          </w:hyperlink>
        </w:p>
        <w:p w14:paraId="4F82B4B8" w14:textId="16AACEAC" w:rsidR="00867CEA" w:rsidRDefault="00EC4AC9">
          <w:pPr>
            <w:pStyle w:val="SK2"/>
            <w:tabs>
              <w:tab w:val="right" w:leader="dot" w:pos="9016"/>
            </w:tabs>
            <w:rPr>
              <w:rFonts w:eastAsiaTheme="minorEastAsia"/>
              <w:noProof/>
              <w:lang w:eastAsia="et-EE"/>
            </w:rPr>
          </w:pPr>
          <w:hyperlink w:anchor="_Toc148002089" w:history="1">
            <w:r w:rsidR="00867CEA" w:rsidRPr="00881B03">
              <w:rPr>
                <w:rStyle w:val="Hperlink"/>
                <w:noProof/>
              </w:rPr>
              <w:t>7. Dokumenteerimine ja võimalik mõju kalkulaator</w:t>
            </w:r>
            <w:r w:rsidR="00867CEA">
              <w:rPr>
                <w:noProof/>
                <w:webHidden/>
              </w:rPr>
              <w:tab/>
            </w:r>
            <w:r w:rsidR="00867CEA">
              <w:rPr>
                <w:noProof/>
                <w:webHidden/>
              </w:rPr>
              <w:fldChar w:fldCharType="begin"/>
            </w:r>
            <w:r w:rsidR="00867CEA">
              <w:rPr>
                <w:noProof/>
                <w:webHidden/>
              </w:rPr>
              <w:instrText xml:space="preserve"> PAGEREF _Toc148002089 \h </w:instrText>
            </w:r>
            <w:r w:rsidR="00867CEA">
              <w:rPr>
                <w:noProof/>
                <w:webHidden/>
              </w:rPr>
            </w:r>
            <w:r w:rsidR="00867CEA">
              <w:rPr>
                <w:noProof/>
                <w:webHidden/>
              </w:rPr>
              <w:fldChar w:fldCharType="separate"/>
            </w:r>
            <w:r w:rsidR="00867CEA">
              <w:rPr>
                <w:noProof/>
                <w:webHidden/>
              </w:rPr>
              <w:t>5</w:t>
            </w:r>
            <w:r w:rsidR="00867CEA">
              <w:rPr>
                <w:noProof/>
                <w:webHidden/>
              </w:rPr>
              <w:fldChar w:fldCharType="end"/>
            </w:r>
          </w:hyperlink>
        </w:p>
        <w:p w14:paraId="645BE570" w14:textId="3470170A" w:rsidR="00867CEA" w:rsidRDefault="00EC4AC9">
          <w:pPr>
            <w:pStyle w:val="SK2"/>
            <w:tabs>
              <w:tab w:val="right" w:leader="dot" w:pos="9016"/>
            </w:tabs>
            <w:rPr>
              <w:rFonts w:eastAsiaTheme="minorEastAsia"/>
              <w:noProof/>
              <w:lang w:eastAsia="et-EE"/>
            </w:rPr>
          </w:pPr>
          <w:hyperlink w:anchor="_Toc148002090" w:history="1">
            <w:r w:rsidR="00867CEA" w:rsidRPr="00881B03">
              <w:rPr>
                <w:rStyle w:val="Hperlink"/>
                <w:noProof/>
              </w:rPr>
              <w:t>8. Töö tulemid</w:t>
            </w:r>
            <w:r w:rsidR="00867CEA">
              <w:rPr>
                <w:noProof/>
                <w:webHidden/>
              </w:rPr>
              <w:tab/>
            </w:r>
            <w:r w:rsidR="00867CEA">
              <w:rPr>
                <w:noProof/>
                <w:webHidden/>
              </w:rPr>
              <w:fldChar w:fldCharType="begin"/>
            </w:r>
            <w:r w:rsidR="00867CEA">
              <w:rPr>
                <w:noProof/>
                <w:webHidden/>
              </w:rPr>
              <w:instrText xml:space="preserve"> PAGEREF _Toc148002090 \h </w:instrText>
            </w:r>
            <w:r w:rsidR="00867CEA">
              <w:rPr>
                <w:noProof/>
                <w:webHidden/>
              </w:rPr>
            </w:r>
            <w:r w:rsidR="00867CEA">
              <w:rPr>
                <w:noProof/>
                <w:webHidden/>
              </w:rPr>
              <w:fldChar w:fldCharType="separate"/>
            </w:r>
            <w:r w:rsidR="00867CEA">
              <w:rPr>
                <w:noProof/>
                <w:webHidden/>
              </w:rPr>
              <w:t>6</w:t>
            </w:r>
            <w:r w:rsidR="00867CEA">
              <w:rPr>
                <w:noProof/>
                <w:webHidden/>
              </w:rPr>
              <w:fldChar w:fldCharType="end"/>
            </w:r>
          </w:hyperlink>
        </w:p>
        <w:p w14:paraId="347DD76C" w14:textId="5173ACFB" w:rsidR="00867CEA" w:rsidRDefault="00EC4AC9">
          <w:pPr>
            <w:pStyle w:val="SK2"/>
            <w:tabs>
              <w:tab w:val="right" w:leader="dot" w:pos="9016"/>
            </w:tabs>
            <w:rPr>
              <w:rFonts w:eastAsiaTheme="minorEastAsia"/>
              <w:noProof/>
              <w:lang w:eastAsia="et-EE"/>
            </w:rPr>
          </w:pPr>
          <w:hyperlink w:anchor="_Toc148002091" w:history="1">
            <w:r w:rsidR="00867CEA" w:rsidRPr="00881B03">
              <w:rPr>
                <w:rStyle w:val="Hperlink"/>
                <w:noProof/>
              </w:rPr>
              <w:t>9. Tegevusplaan, töömaht ja eelarve.</w:t>
            </w:r>
            <w:r w:rsidR="00867CEA">
              <w:rPr>
                <w:noProof/>
                <w:webHidden/>
              </w:rPr>
              <w:tab/>
            </w:r>
            <w:r w:rsidR="00867CEA">
              <w:rPr>
                <w:noProof/>
                <w:webHidden/>
              </w:rPr>
              <w:fldChar w:fldCharType="begin"/>
            </w:r>
            <w:r w:rsidR="00867CEA">
              <w:rPr>
                <w:noProof/>
                <w:webHidden/>
              </w:rPr>
              <w:instrText xml:space="preserve"> PAGEREF _Toc148002091 \h </w:instrText>
            </w:r>
            <w:r w:rsidR="00867CEA">
              <w:rPr>
                <w:noProof/>
                <w:webHidden/>
              </w:rPr>
            </w:r>
            <w:r w:rsidR="00867CEA">
              <w:rPr>
                <w:noProof/>
                <w:webHidden/>
              </w:rPr>
              <w:fldChar w:fldCharType="separate"/>
            </w:r>
            <w:r w:rsidR="00867CEA">
              <w:rPr>
                <w:noProof/>
                <w:webHidden/>
              </w:rPr>
              <w:t>6</w:t>
            </w:r>
            <w:r w:rsidR="00867CEA">
              <w:rPr>
                <w:noProof/>
                <w:webHidden/>
              </w:rPr>
              <w:fldChar w:fldCharType="end"/>
            </w:r>
          </w:hyperlink>
        </w:p>
        <w:p w14:paraId="557128DF" w14:textId="7FC50C2F" w:rsidR="00D5238D" w:rsidRDefault="00D5238D">
          <w:r>
            <w:rPr>
              <w:b/>
              <w:bCs/>
              <w:noProof/>
            </w:rPr>
            <w:fldChar w:fldCharType="end"/>
          </w:r>
        </w:p>
      </w:sdtContent>
    </w:sdt>
    <w:p w14:paraId="16E0BCDE" w14:textId="46BA3C7B" w:rsidR="00D5238D" w:rsidRDefault="00D5238D" w:rsidP="00D5238D"/>
    <w:p w14:paraId="71AF1E7C" w14:textId="66317926" w:rsidR="00D5238D" w:rsidRDefault="00D5238D" w:rsidP="00D5238D"/>
    <w:p w14:paraId="13019B9F" w14:textId="77777777" w:rsidR="00D5238D" w:rsidRDefault="00D5238D" w:rsidP="00415DAD">
      <w:pPr>
        <w:jc w:val="right"/>
      </w:pPr>
    </w:p>
    <w:p w14:paraId="45CAC367" w14:textId="063FFA5D" w:rsidR="00D7588B" w:rsidRDefault="008D6738" w:rsidP="00D7588B">
      <w:pPr>
        <w:pStyle w:val="Pealkiri2"/>
      </w:pPr>
      <w:bookmarkStart w:id="0" w:name="_Toc148002080"/>
      <w:r>
        <w:t xml:space="preserve">1. </w:t>
      </w:r>
      <w:r w:rsidR="00D7588B">
        <w:t>Lähteülesanne</w:t>
      </w:r>
      <w:bookmarkEnd w:id="0"/>
    </w:p>
    <w:p w14:paraId="05E775FF" w14:textId="6D9F1B9D" w:rsidR="00B9435E" w:rsidRDefault="00B9435E" w:rsidP="00E24445">
      <w:pPr>
        <w:jc w:val="both"/>
      </w:pPr>
      <w:r>
        <w:t>Konkreetsete sündmusteenuste arendamise prioritee</w:t>
      </w:r>
      <w:r w:rsidR="005F1A7F">
        <w:t>tide</w:t>
      </w:r>
      <w:r>
        <w:t xml:space="preserve"> valimiseks on vajalik saada võimalikult täpne eelhinnang, milline on antud teenuse või teenuste mõju. Mõistlik on arendada teenuseid</w:t>
      </w:r>
      <w:r w:rsidR="00DD0E95">
        <w:t>,</w:t>
      </w:r>
      <w:r>
        <w:t xml:space="preserve"> mille </w:t>
      </w:r>
      <w:r w:rsidR="00DD0E95">
        <w:t>koond</w:t>
      </w:r>
      <w:r>
        <w:t>mõju on võimalikult suur</w:t>
      </w:r>
      <w:r w:rsidR="00DD0E95">
        <w:t xml:space="preserve"> ja mille sündmusteenuse kujul ühtlustamine on saavutatav mõistliku aja- ja ressursikuluga. Hetkel on MKMi tellimusel PWC poolt 2020 aastal läbiviidud sündmusteenuste analüüsis välja toodud võimalikud teenuste kvaliteedi indikaatorid, mis sisaldavad endas ka mõju ja tõhususe indikaatoreid. Samas on need siiski eelkõige </w:t>
      </w:r>
      <w:r w:rsidR="005F1A7F">
        <w:t xml:space="preserve">tulevase </w:t>
      </w:r>
      <w:r w:rsidR="00DD0E95">
        <w:t xml:space="preserve">teenuse kvaliteedi </w:t>
      </w:r>
      <w:r w:rsidR="005F1A7F">
        <w:t xml:space="preserve">võrdlevaks hindamiseks </w:t>
      </w:r>
      <w:r w:rsidR="00DD0E95">
        <w:t>ja ei ütle ülemäära palju teenuse laiema sotsiaalmajandusliku mõju kohta. Lisaks ei ole indikaatorid sellisel kujul reaalsete andmetega valideeritud.</w:t>
      </w:r>
    </w:p>
    <w:p w14:paraId="39452B04" w14:textId="77777777" w:rsidR="00121379" w:rsidRDefault="00DD0E95" w:rsidP="00E24445">
      <w:pPr>
        <w:jc w:val="both"/>
      </w:pPr>
      <w:r>
        <w:lastRenderedPageBreak/>
        <w:t>Antud analüüsi eesmärk on minna tehtud töö</w:t>
      </w:r>
      <w:r w:rsidR="00121379">
        <w:t>ga</w:t>
      </w:r>
      <w:r>
        <w:t xml:space="preserve"> edasi </w:t>
      </w:r>
      <w:r w:rsidR="00121379">
        <w:t>ja luua reaalselt kasutatav numbrilisi väärtusi omav sündmusteenuse mõju hinnang koos viisiga selle replitseerimiseks teiste teenuste puhul. Selleks tuleb läbi viia järgmised tegevused:</w:t>
      </w:r>
    </w:p>
    <w:p w14:paraId="4E3A34F5" w14:textId="794862CE" w:rsidR="00121379" w:rsidRDefault="00121379" w:rsidP="00121379">
      <w:pPr>
        <w:pStyle w:val="Loendilik"/>
        <w:numPr>
          <w:ilvl w:val="0"/>
          <w:numId w:val="8"/>
        </w:numPr>
        <w:jc w:val="both"/>
      </w:pPr>
      <w:r>
        <w:t>s</w:t>
      </w:r>
      <w:r w:rsidR="00E24445">
        <w:t>ündmusteenuste majandusliku,</w:t>
      </w:r>
      <w:r w:rsidR="00881A42">
        <w:t xml:space="preserve"> sotsiaalse,</w:t>
      </w:r>
      <w:r w:rsidR="00E24445">
        <w:t xml:space="preserve"> keskkonna- ja mittemateriaalse mõju hindamise indikaatorite valik</w:t>
      </w:r>
      <w:r>
        <w:t>;</w:t>
      </w:r>
      <w:r w:rsidR="00E24445">
        <w:t xml:space="preserve"> </w:t>
      </w:r>
    </w:p>
    <w:p w14:paraId="45B16797" w14:textId="5DE4AA65" w:rsidR="00121379" w:rsidRDefault="00E24445" w:rsidP="00121379">
      <w:pPr>
        <w:pStyle w:val="Loendilik"/>
        <w:numPr>
          <w:ilvl w:val="0"/>
          <w:numId w:val="8"/>
        </w:numPr>
        <w:jc w:val="both"/>
      </w:pPr>
      <w:r>
        <w:t>indikaatorite andmeallikate määramine</w:t>
      </w:r>
      <w:r w:rsidR="00121379">
        <w:t xml:space="preserve"> ja väärtuste leidmine;</w:t>
      </w:r>
    </w:p>
    <w:p w14:paraId="46B5013D" w14:textId="0E1E0114" w:rsidR="00121379" w:rsidRDefault="00E24445" w:rsidP="00121379">
      <w:pPr>
        <w:pStyle w:val="Loendilik"/>
        <w:numPr>
          <w:ilvl w:val="0"/>
          <w:numId w:val="8"/>
        </w:numPr>
        <w:jc w:val="both"/>
      </w:pPr>
      <w:r>
        <w:t>koondhinnangu arvutamise meetodi valik</w:t>
      </w:r>
      <w:r w:rsidR="00121379">
        <w:t>;</w:t>
      </w:r>
    </w:p>
    <w:p w14:paraId="178B906F" w14:textId="77777777" w:rsidR="00121379" w:rsidRDefault="00121379" w:rsidP="00121379">
      <w:pPr>
        <w:pStyle w:val="Loendilik"/>
        <w:numPr>
          <w:ilvl w:val="0"/>
          <w:numId w:val="8"/>
        </w:numPr>
        <w:jc w:val="both"/>
      </w:pPr>
      <w:r>
        <w:t xml:space="preserve">punkti 1-3 </w:t>
      </w:r>
      <w:r w:rsidR="00E24445">
        <w:t>valideerim</w:t>
      </w:r>
      <w:r w:rsidR="00B9435E">
        <w:t xml:space="preserve">ine kahe sündmusteenuse </w:t>
      </w:r>
      <w:r>
        <w:t>mõju hindamise läbi;</w:t>
      </w:r>
    </w:p>
    <w:p w14:paraId="3606C44C" w14:textId="678CD47B" w:rsidR="00415DAD" w:rsidRDefault="00D47127" w:rsidP="00415DAD">
      <w:pPr>
        <w:pStyle w:val="Loendilik"/>
        <w:numPr>
          <w:ilvl w:val="0"/>
          <w:numId w:val="8"/>
        </w:numPr>
        <w:jc w:val="both"/>
      </w:pPr>
      <w:r>
        <w:t>tulemuste raportid ja sisend võimaliku kalkulaatori loomiseks</w:t>
      </w:r>
      <w:r w:rsidR="00121379">
        <w:t>.</w:t>
      </w:r>
      <w:r w:rsidR="00B9435E">
        <w:t xml:space="preserve"> </w:t>
      </w:r>
    </w:p>
    <w:p w14:paraId="7A115574" w14:textId="77777777" w:rsidR="00881A42" w:rsidRPr="00415DAD" w:rsidRDefault="00881A42" w:rsidP="00886730">
      <w:pPr>
        <w:ind w:left="360"/>
        <w:jc w:val="both"/>
      </w:pPr>
    </w:p>
    <w:p w14:paraId="54AD0671" w14:textId="3DC91429" w:rsidR="00D7588B" w:rsidRDefault="008D6738" w:rsidP="00D7588B">
      <w:pPr>
        <w:pStyle w:val="Pealkiri2"/>
      </w:pPr>
      <w:bookmarkStart w:id="1" w:name="_Toc148002081"/>
      <w:r>
        <w:t xml:space="preserve">2. </w:t>
      </w:r>
      <w:r w:rsidR="00D7588B">
        <w:t>Mõju dimensioonid</w:t>
      </w:r>
      <w:r w:rsidR="00886730">
        <w:t xml:space="preserve"> ja võimalikud indikaatorid</w:t>
      </w:r>
      <w:bookmarkEnd w:id="1"/>
    </w:p>
    <w:p w14:paraId="7F85F222" w14:textId="50A74CE7" w:rsidR="00FB6BB9" w:rsidRDefault="00121379" w:rsidP="00121379">
      <w:pPr>
        <w:jc w:val="both"/>
      </w:pPr>
      <w:r>
        <w:t>Mõju hindamisel võetakse aluseks PWC poolt koostatud sündmusteenuste analüüs</w:t>
      </w:r>
      <w:r w:rsidR="008D6738">
        <w:t>i indikaatorid</w:t>
      </w:r>
      <w:r>
        <w:t>, kuid täiendatakse seda olulisel määral uute dimensioonidega</w:t>
      </w:r>
      <w:r w:rsidR="008D6738">
        <w:t>.</w:t>
      </w:r>
      <w:r w:rsidR="00881A42">
        <w:t xml:space="preserve"> Esialgne dimensioonide valik on majanduslik, sotsiaalne, keskkonna ja mittemateriaalsed mõjud. Lõplik valik tehakse koos tellijaga pärast esialgse indikaatorite kogumi ja andmeallikatega olemasolu hinnangu järel kuna indikaatorite valiku juures on tõenäoline leida veel erinevate muude dimensioonide jaoks sobivate indikaatorite lähendeid või otsustada ümber indikaatorite dimensioonidesse liigitamine.</w:t>
      </w:r>
    </w:p>
    <w:p w14:paraId="273CFDA2" w14:textId="77777777" w:rsidR="00881A42" w:rsidRDefault="00881A42" w:rsidP="00121379">
      <w:pPr>
        <w:jc w:val="both"/>
      </w:pPr>
    </w:p>
    <w:p w14:paraId="50B39D31" w14:textId="1136835A" w:rsidR="008D6738" w:rsidRDefault="008D6738" w:rsidP="008D6738">
      <w:pPr>
        <w:pStyle w:val="Pealkiri3"/>
      </w:pPr>
      <w:bookmarkStart w:id="2" w:name="_Toc148002082"/>
      <w:r>
        <w:t xml:space="preserve">2.1 </w:t>
      </w:r>
      <w:r w:rsidRPr="00D7588B">
        <w:t>Majanduslik mõju</w:t>
      </w:r>
      <w:bookmarkEnd w:id="2"/>
    </w:p>
    <w:p w14:paraId="0FB70893" w14:textId="1CE3BDB2" w:rsidR="00B92745" w:rsidRDefault="008D6738" w:rsidP="00B92745">
      <w:r>
        <w:t>Majanduslik</w:t>
      </w:r>
      <w:r w:rsidR="00B92745">
        <w:t xml:space="preserve">ku mõju hindamisel valitakse indikaatorid, mis lubaksid hinnata majanduslikku mõju eelkõige läbi teenuse osutamise ja ka kliendipoolse teenuse tarbimise kulude </w:t>
      </w:r>
      <w:r w:rsidR="009B5E84">
        <w:t xml:space="preserve">tulevase </w:t>
      </w:r>
      <w:r w:rsidR="00B92745">
        <w:t>kokkuhoiu. Selleks on vaja leida:</w:t>
      </w:r>
    </w:p>
    <w:p w14:paraId="3B8F6EC8" w14:textId="7AFFA676" w:rsidR="00B92745" w:rsidRDefault="005F1A7F" w:rsidP="00B92745">
      <w:pPr>
        <w:pStyle w:val="Loendilik"/>
        <w:numPr>
          <w:ilvl w:val="0"/>
          <w:numId w:val="9"/>
        </w:numPr>
      </w:pPr>
      <w:r>
        <w:t>a</w:t>
      </w:r>
      <w:r w:rsidR="00B92745">
        <w:t>lamteenuste osutamise hinnanguline kulu hetkel ja sealt arvutatud ühikuhinna lähend</w:t>
      </w:r>
      <w:r>
        <w:t>;</w:t>
      </w:r>
    </w:p>
    <w:p w14:paraId="68CA54D5" w14:textId="74864226" w:rsidR="00B92745" w:rsidRDefault="005F1A7F" w:rsidP="00B92745">
      <w:pPr>
        <w:pStyle w:val="Loendilik"/>
        <w:numPr>
          <w:ilvl w:val="0"/>
          <w:numId w:val="9"/>
        </w:numPr>
      </w:pPr>
      <w:r>
        <w:t>t</w:t>
      </w:r>
      <w:r w:rsidR="00B92745">
        <w:t>eenuse tarbija hinnanguline kulu standardkulu mudeli abil</w:t>
      </w:r>
      <w:r w:rsidR="009B5E84">
        <w:t>, mis võtab arvesse ka tarbija töö- ja vabaaja väärtust eurodes</w:t>
      </w:r>
      <w:r>
        <w:t>.</w:t>
      </w:r>
    </w:p>
    <w:p w14:paraId="30623EA3" w14:textId="5DA4AC61" w:rsidR="00243F33" w:rsidRDefault="009B5E84" w:rsidP="009B5E84">
      <w:pPr>
        <w:jc w:val="both"/>
      </w:pPr>
      <w:r>
        <w:t>Kuna teenuseid sellisel kujul realiseeritud ei ole</w:t>
      </w:r>
      <w:r w:rsidR="005F1A7F">
        <w:t>,</w:t>
      </w:r>
      <w:r>
        <w:t xml:space="preserve"> on mõju numbrilise väärtuse hindamiseks vaja nn kontrafaktuaalse stsenaariumi loomine, mille vastu hinnates on võimalik aru saada, kas antud teenuste sündmusteenuseks arendamine on suure majandusliku mõjuga. </w:t>
      </w:r>
    </w:p>
    <w:p w14:paraId="75DEDF1C" w14:textId="1DC35EC1" w:rsidR="00243F33" w:rsidRDefault="009B5E84" w:rsidP="009B5E84">
      <w:pPr>
        <w:jc w:val="both"/>
        <w:rPr>
          <w:rFonts w:eastAsiaTheme="minorEastAsia"/>
        </w:rPr>
      </w:pPr>
      <w:r>
        <w:t>Näiteks teenuse</w:t>
      </w:r>
      <w:r w:rsidR="00243F33">
        <w:t xml:space="preserve"> tarbija puhul tähendaks see reeglina arvutust kujul: </w:t>
      </w:r>
      <m:oMath>
        <m:r>
          <w:rPr>
            <w:rFonts w:ascii="Cambria Math" w:hAnsi="Cambria Math"/>
          </w:rPr>
          <m:t>tarbijate arv ×tarbimise kulu</m:t>
        </m:r>
      </m:oMath>
      <w:r w:rsidR="00243F33">
        <w:rPr>
          <w:rFonts w:eastAsiaTheme="minorEastAsia"/>
        </w:rPr>
        <w:t xml:space="preserve">. Kontrafaktuaal oleks kulu kokkuhoid </w:t>
      </w:r>
      <w:r w:rsidR="00243F33">
        <w:rPr>
          <w:rFonts w:eastAsiaTheme="minorEastAsia"/>
          <w:i/>
        </w:rPr>
        <w:t xml:space="preserve">x </w:t>
      </w:r>
      <w:r w:rsidR="00243F33">
        <w:rPr>
          <w:rFonts w:eastAsiaTheme="minorEastAsia"/>
        </w:rPr>
        <w:t xml:space="preserve">ühiku võrra. Samas on võimalik osateenuste tegelike tarbimisnumbrite alusel </w:t>
      </w:r>
      <w:r w:rsidR="00B543CC">
        <w:rPr>
          <w:rFonts w:eastAsiaTheme="minorEastAsia"/>
        </w:rPr>
        <w:t>võtta arvesse tarbijate ja neid iseloomustavate parameetrite jaotusi (vanus, sugu, regioon jne) ning vastavalt sellele opereerida nominaalse kogutarbijate arvu asemel jaotustega, kelle puhul on kulude kokkuhoid omakord sõltuv sellest, millises jaotuse osas nad on. Näiteks on standardkulu mudeli alusel palgatööl oleva inimese aja kokkuhoiul suurem rahaline väärtus kui pensionäril või ülalpeetaval (näiteks lapsel). Tead</w:t>
      </w:r>
      <w:r w:rsidR="00E603D6">
        <w:rPr>
          <w:rFonts w:eastAsiaTheme="minorEastAsia"/>
        </w:rPr>
        <w:t>e</w:t>
      </w:r>
      <w:r w:rsidR="00B543CC">
        <w:rPr>
          <w:rFonts w:eastAsiaTheme="minorEastAsia"/>
        </w:rPr>
        <w:t xml:space="preserve">s tarbijate jaotusi saame nii arvutada täpsema </w:t>
      </w:r>
      <w:r w:rsidR="00E603D6">
        <w:rPr>
          <w:rFonts w:eastAsiaTheme="minorEastAsia"/>
        </w:rPr>
        <w:t>kulude kokkuhoiu isegi eeldusel, et kõikidel tuleb tõesti vaid</w:t>
      </w:r>
      <w:r w:rsidR="00E603D6" w:rsidRPr="00E603D6">
        <w:rPr>
          <w:rFonts w:eastAsiaTheme="minorEastAsia"/>
          <w:i/>
        </w:rPr>
        <w:t xml:space="preserve"> x</w:t>
      </w:r>
      <w:r w:rsidR="00E603D6">
        <w:rPr>
          <w:rFonts w:eastAsiaTheme="minorEastAsia"/>
        </w:rPr>
        <w:t xml:space="preserve"> ühikuline kokkuhoid. </w:t>
      </w:r>
    </w:p>
    <w:p w14:paraId="7383DA0A" w14:textId="08AADE17" w:rsidR="00E603D6" w:rsidRPr="00243F33" w:rsidRDefault="00E603D6" w:rsidP="009B5E84">
      <w:pPr>
        <w:jc w:val="both"/>
        <w:rPr>
          <w:rFonts w:eastAsiaTheme="minorEastAsia"/>
        </w:rPr>
      </w:pPr>
      <w:r>
        <w:rPr>
          <w:rFonts w:eastAsiaTheme="minorEastAsia"/>
        </w:rPr>
        <w:t>Teenuse osutaja vaatepunktist tuleks alamteenuste kulud hinnata ja liita. Kontrafaktuaaliks oleks võimalikud teenuse osutamise kulude kokkuhoiud, kas töölõikude kadumise, töötajate arvu vähenemise või teenuse osutamise muutusest tulenevate struktuuride muutusest (klienditeenindaja kulu asenduks osaliselt IT kuluga jne).</w:t>
      </w:r>
    </w:p>
    <w:p w14:paraId="614B1185" w14:textId="77777777" w:rsidR="009B5E84" w:rsidRDefault="009B5E84" w:rsidP="009B5E84">
      <w:pPr>
        <w:jc w:val="both"/>
      </w:pPr>
    </w:p>
    <w:p w14:paraId="718A9F95" w14:textId="1E033B85" w:rsidR="008D6738" w:rsidRPr="00D7588B" w:rsidRDefault="00283810" w:rsidP="00283810">
      <w:pPr>
        <w:pStyle w:val="Pealkiri3"/>
      </w:pPr>
      <w:bookmarkStart w:id="3" w:name="_Toc148002083"/>
      <w:r>
        <w:lastRenderedPageBreak/>
        <w:t>2.2. Sotsiaalne mõju</w:t>
      </w:r>
      <w:bookmarkEnd w:id="3"/>
      <w:r>
        <w:t xml:space="preserve"> </w:t>
      </w:r>
    </w:p>
    <w:p w14:paraId="572FC0ED" w14:textId="77777777" w:rsidR="00886730" w:rsidRDefault="00283810" w:rsidP="00121379">
      <w:pPr>
        <w:jc w:val="both"/>
      </w:pPr>
      <w:r>
        <w:t>Sotsiaalse mõju puhul hinnatakse eelkõige</w:t>
      </w:r>
      <w:r w:rsidR="00886730">
        <w:t>:</w:t>
      </w:r>
    </w:p>
    <w:p w14:paraId="0FA208E9" w14:textId="3A20650D" w:rsidR="00886730" w:rsidRDefault="00283810" w:rsidP="00886730">
      <w:pPr>
        <w:pStyle w:val="Loendilik"/>
        <w:numPr>
          <w:ilvl w:val="0"/>
          <w:numId w:val="10"/>
        </w:numPr>
        <w:jc w:val="both"/>
      </w:pPr>
      <w:r>
        <w:t>teenuse kättesaadavuse lävendite esinem</w:t>
      </w:r>
      <w:r w:rsidR="00886730">
        <w:t>ist;</w:t>
      </w:r>
    </w:p>
    <w:p w14:paraId="31AEBF80" w14:textId="1D404854" w:rsidR="00886730" w:rsidRDefault="00886730" w:rsidP="00886730">
      <w:pPr>
        <w:pStyle w:val="Loendilik"/>
        <w:numPr>
          <w:ilvl w:val="0"/>
          <w:numId w:val="10"/>
        </w:numPr>
        <w:jc w:val="both"/>
      </w:pPr>
      <w:r>
        <w:t xml:space="preserve">lävendite iseloomu ja </w:t>
      </w:r>
      <w:r w:rsidR="00283810">
        <w:t>kõrgust</w:t>
      </w:r>
      <w:r w:rsidR="005C5F86">
        <w:t>;</w:t>
      </w:r>
    </w:p>
    <w:p w14:paraId="4623730A" w14:textId="1B890E36" w:rsidR="005C5F86" w:rsidRDefault="005C5F86" w:rsidP="00886730">
      <w:pPr>
        <w:pStyle w:val="Loendilik"/>
        <w:numPr>
          <w:ilvl w:val="0"/>
          <w:numId w:val="10"/>
        </w:numPr>
        <w:jc w:val="both"/>
      </w:pPr>
      <w:r>
        <w:t>sihtgrupi</w:t>
      </w:r>
      <w:r w:rsidR="00653FAF">
        <w:t xml:space="preserve"> võimekust lävendite ületamiseks</w:t>
      </w:r>
      <w:r>
        <w:t>.</w:t>
      </w:r>
    </w:p>
    <w:p w14:paraId="5961D402" w14:textId="7C783C07" w:rsidR="008D6738" w:rsidRDefault="00283810" w:rsidP="00121379">
      <w:pPr>
        <w:jc w:val="both"/>
      </w:pPr>
      <w:r>
        <w:t xml:space="preserve">Üheks </w:t>
      </w:r>
      <w:r w:rsidR="00653FAF">
        <w:t xml:space="preserve">lävendi </w:t>
      </w:r>
      <w:r>
        <w:t xml:space="preserve">indikaatoriks on alamteenuste hulk ja nende kättesaamise tehnilisus hetkel. Olenevalt teenuse sihtgruppide sotsiodemograafilisest jaotusest on ka siin võimalik vastava sotsiaalse kulu koguhinnang täpsustada kui on olemas  tarbijaprofiili pilt või jaotused erinevate parameetrite lõikes. </w:t>
      </w:r>
    </w:p>
    <w:p w14:paraId="45FC1923" w14:textId="4B4C6744" w:rsidR="00F939CA" w:rsidRPr="00653FAF" w:rsidRDefault="00F939CA" w:rsidP="00121379">
      <w:pPr>
        <w:jc w:val="both"/>
      </w:pPr>
      <w:r>
        <w:t>Parim viis sotsiaalse mõju hindamiseks oleks teenuse sihtgrupi</w:t>
      </w:r>
      <w:r w:rsidR="005C5F86">
        <w:t>s</w:t>
      </w:r>
      <w:r>
        <w:t xml:space="preserve"> kasutuse määra tõus, veel rakendamata teenuse puhul oleks sellisel juhul vajalik hinnata kuivõrd sündmusteenuse kujul realiseeritud teenus suurendaks kasutu</w:t>
      </w:r>
      <w:r w:rsidR="00653FAF">
        <w:t xml:space="preserve">st </w:t>
      </w:r>
      <w:r w:rsidR="00653FAF">
        <w:rPr>
          <w:i/>
        </w:rPr>
        <w:t xml:space="preserve"> x </w:t>
      </w:r>
      <w:r w:rsidR="00653FAF">
        <w:t xml:space="preserve">protsendi võrra. </w:t>
      </w:r>
    </w:p>
    <w:p w14:paraId="159DBB57" w14:textId="5F28C64E" w:rsidR="00283810" w:rsidRDefault="00283810" w:rsidP="00121379">
      <w:pPr>
        <w:jc w:val="both"/>
      </w:pPr>
    </w:p>
    <w:p w14:paraId="3A4C860A" w14:textId="37CF2BAA" w:rsidR="00283810" w:rsidRDefault="00886730" w:rsidP="00886730">
      <w:pPr>
        <w:pStyle w:val="Pealkiri3"/>
      </w:pPr>
      <w:bookmarkStart w:id="4" w:name="_Toc148002084"/>
      <w:r>
        <w:t>2.3. Keskkonnamõju</w:t>
      </w:r>
      <w:bookmarkEnd w:id="4"/>
    </w:p>
    <w:p w14:paraId="3E1E37AF" w14:textId="514F8D1C" w:rsidR="00653FAF" w:rsidRDefault="00653FAF" w:rsidP="00653FAF">
      <w:pPr>
        <w:rPr>
          <w:bCs/>
        </w:rPr>
      </w:pPr>
      <w:r>
        <w:rPr>
          <w:bCs/>
        </w:rPr>
        <w:t>Digitaliseerimise keskkonnamõju hindamine on küll veel kasvav eriala, samas on siin võimalik katsetada indikaatoreid, mida muudes riikides ilmselt nii lihtne kasutada pole. Keskkonnamõju hinnatakse kaheti:</w:t>
      </w:r>
    </w:p>
    <w:p w14:paraId="73E556D7" w14:textId="37464B01" w:rsidR="00653FAF" w:rsidRDefault="00653FAF" w:rsidP="00653FAF">
      <w:pPr>
        <w:pStyle w:val="Loendilik"/>
        <w:numPr>
          <w:ilvl w:val="0"/>
          <w:numId w:val="16"/>
        </w:numPr>
        <w:rPr>
          <w:bCs/>
        </w:rPr>
      </w:pPr>
      <w:r>
        <w:rPr>
          <w:bCs/>
        </w:rPr>
        <w:t>otsene teenuse digitaalse komponendi poolt tekitatavat energiakulu – näiteks x-tee sõnumite arvu, sõnumi keskmi</w:t>
      </w:r>
      <w:r w:rsidR="00BB40EF">
        <w:rPr>
          <w:bCs/>
        </w:rPr>
        <w:t>ne</w:t>
      </w:r>
      <w:r>
        <w:rPr>
          <w:bCs/>
        </w:rPr>
        <w:t xml:space="preserve"> suurus ja teenuse osutamiseks vajalike andmete hoiustamise kulu – leides antud kulu lähendi teatud riistvara </w:t>
      </w:r>
      <w:r w:rsidR="00D22715">
        <w:rPr>
          <w:bCs/>
        </w:rPr>
        <w:t xml:space="preserve">parameetrite </w:t>
      </w:r>
      <w:r>
        <w:rPr>
          <w:bCs/>
        </w:rPr>
        <w:t>puhul;</w:t>
      </w:r>
    </w:p>
    <w:p w14:paraId="75CBC7B2" w14:textId="313DE184" w:rsidR="00886730" w:rsidRPr="00952615" w:rsidRDefault="00D22715" w:rsidP="00952615">
      <w:pPr>
        <w:pStyle w:val="Loendilik"/>
        <w:numPr>
          <w:ilvl w:val="0"/>
          <w:numId w:val="16"/>
        </w:numPr>
      </w:pPr>
      <w:r>
        <w:rPr>
          <w:bCs/>
        </w:rPr>
        <w:t xml:space="preserve">teenuse </w:t>
      </w:r>
      <w:r w:rsidR="00952615">
        <w:rPr>
          <w:bCs/>
        </w:rPr>
        <w:t xml:space="preserve">osutamise ja </w:t>
      </w:r>
      <w:r>
        <w:rPr>
          <w:bCs/>
        </w:rPr>
        <w:t>tarbimise</w:t>
      </w:r>
      <w:r w:rsidR="00952615">
        <w:rPr>
          <w:bCs/>
        </w:rPr>
        <w:t>ga</w:t>
      </w:r>
      <w:r>
        <w:rPr>
          <w:bCs/>
        </w:rPr>
        <w:t xml:space="preserve"> seotud </w:t>
      </w:r>
      <w:r w:rsidR="00952615">
        <w:rPr>
          <w:bCs/>
        </w:rPr>
        <w:t>kaudsed keskkonnakulud – eelkõige transpordikulud.</w:t>
      </w:r>
    </w:p>
    <w:p w14:paraId="2E016204" w14:textId="1E82B260" w:rsidR="00952615" w:rsidRDefault="00952615" w:rsidP="00BB40EF">
      <w:pPr>
        <w:jc w:val="both"/>
      </w:pPr>
      <w:r>
        <w:t>Näiteks osateenuste osutamisega seotud x-tee päringute arvu ja mahu hindamine on teoreetiliselt võimalik x-tee logide alusel</w:t>
      </w:r>
      <w:r w:rsidR="00BB40EF">
        <w:t>,</w:t>
      </w:r>
      <w:r>
        <w:t xml:space="preserve"> kus on näha ka sõnumi maht. Kontrafaktuaaliks siin on sündmusteenus, milles on sel juhul kas osade sõnumite vahetamine mittevajalik või teenuse osutamisel tekkiv digitaalse komponendi kulu kontsentreerumine vähemate osapoolte peale, mis annab mastaabiefekte, mis vähendavad kogu keskkkonnakulu kuigi teenuse teatud osapoolte puhul üksikult kulu suureneb.</w:t>
      </w:r>
    </w:p>
    <w:p w14:paraId="66719EA4" w14:textId="77777777" w:rsidR="00551764" w:rsidRDefault="00551764" w:rsidP="00952615"/>
    <w:p w14:paraId="3CC9F9BF" w14:textId="03B5D958" w:rsidR="009E520B" w:rsidRPr="00D7588B" w:rsidRDefault="00886730" w:rsidP="00886730">
      <w:pPr>
        <w:pStyle w:val="Pealkiri3"/>
      </w:pPr>
      <w:bookmarkStart w:id="5" w:name="_Toc148002085"/>
      <w:r>
        <w:t xml:space="preserve">2.4. </w:t>
      </w:r>
      <w:r w:rsidR="009E520B" w:rsidRPr="00D7588B">
        <w:t>Mittemateriaalsed mõjud</w:t>
      </w:r>
      <w:bookmarkEnd w:id="5"/>
    </w:p>
    <w:p w14:paraId="15010B98" w14:textId="01826E4E" w:rsidR="00952615" w:rsidRDefault="00C07721" w:rsidP="00886730">
      <w:r>
        <w:t>Mittemateriaalsete mõjude all hinnatakse eelkõige teoreetilist potentsiaali need saavutada. Näiteks riigi rahvusvahelise maine tõus teatud valdkonnas olulise mõjuga sündmusteenuse realiseerumine annab mainekasvu vaid sellega seotud kommunikatsioonitegevuste kaudu või juhul kui see panustab otseselt mingisse dimensiooni, mille alusel mõõdetakse erinevaid digitaliseerituse tasemeid. Selleks hinnatakse:</w:t>
      </w:r>
    </w:p>
    <w:p w14:paraId="03CE5120" w14:textId="1701C18D" w:rsidR="00C07721" w:rsidRDefault="00C07721" w:rsidP="00C07721">
      <w:pPr>
        <w:pStyle w:val="Loendilik"/>
        <w:numPr>
          <w:ilvl w:val="0"/>
          <w:numId w:val="17"/>
        </w:numPr>
      </w:pPr>
      <w:r>
        <w:t>kas sündmusteenus mõjutab mõnda indikaatorit</w:t>
      </w:r>
      <w:r w:rsidR="00BB40EF">
        <w:t>,</w:t>
      </w:r>
      <w:r>
        <w:t xml:space="preserve"> mille alusel mõõdetakse Eesti digitaliseerituse taset rahvusvahelistes indeksites;</w:t>
      </w:r>
    </w:p>
    <w:p w14:paraId="3EFFE0A5" w14:textId="5EAEE96C" w:rsidR="00C07721" w:rsidRDefault="00C07721" w:rsidP="00C07721">
      <w:pPr>
        <w:pStyle w:val="Loendilik"/>
        <w:numPr>
          <w:ilvl w:val="0"/>
          <w:numId w:val="17"/>
        </w:numPr>
      </w:pPr>
      <w:r>
        <w:t>kas sündmusteenuse realiseerimine mõjutaks baasindikaatori väärtust positiivselt või negatiivselt;</w:t>
      </w:r>
    </w:p>
    <w:p w14:paraId="773DC765" w14:textId="45F5BDF2" w:rsidR="00C07721" w:rsidRDefault="00C07721" w:rsidP="00C07721">
      <w:pPr>
        <w:pStyle w:val="Loendilik"/>
        <w:numPr>
          <w:ilvl w:val="0"/>
          <w:numId w:val="17"/>
        </w:numPr>
      </w:pPr>
      <w:r>
        <w:t>kas sündmusteenuse valdkond või realiseerimise viis kattub Eesti digitaalse mainekujunduse kommunikatsiooni kesksete põhimõtetega.</w:t>
      </w:r>
    </w:p>
    <w:p w14:paraId="4AE88AB7" w14:textId="2E41C292" w:rsidR="00A4342E" w:rsidRDefault="00BB40EF" w:rsidP="00C07721">
      <w:r>
        <w:t>Kuivõrd maine kasv sõltub otseselt teenuse arendamisega mitteseotud tegevustest, on selle hinnangu puhul tegemist tugevalt kvalitatiivse teoreetilise mainekasvu potentsiaali hinnanguga, mille realiseerimine sõltub muudest asjaoludest.</w:t>
      </w:r>
    </w:p>
    <w:p w14:paraId="092DA399" w14:textId="0626A770" w:rsidR="00415DAD" w:rsidRDefault="00415DAD" w:rsidP="00415DAD"/>
    <w:p w14:paraId="2FF3FBE3" w14:textId="795E2D27" w:rsidR="009178AA" w:rsidRDefault="00886730" w:rsidP="009178AA">
      <w:pPr>
        <w:pStyle w:val="Pealkiri2"/>
      </w:pPr>
      <w:bookmarkStart w:id="6" w:name="_Toc148002086"/>
      <w:r>
        <w:t>3. Indikaatorite andmeallikate määramine ja väärtuste leidmine</w:t>
      </w:r>
      <w:bookmarkEnd w:id="6"/>
    </w:p>
    <w:p w14:paraId="60034F38" w14:textId="4D3F529E" w:rsidR="009178AA" w:rsidRDefault="009178AA" w:rsidP="009178AA">
      <w:r>
        <w:t>Dimensioonide all defineeritakse vaid indikaatorid</w:t>
      </w:r>
      <w:r w:rsidR="00815D40">
        <w:t>,</w:t>
      </w:r>
      <w:r>
        <w:t xml:space="preserve"> mis vastavad ühele allolevatest tingimustest:</w:t>
      </w:r>
    </w:p>
    <w:p w14:paraId="52AD991B" w14:textId="6400A17C" w:rsidR="009178AA" w:rsidRDefault="009178AA" w:rsidP="009178AA">
      <w:pPr>
        <w:pStyle w:val="Loendilik"/>
        <w:numPr>
          <w:ilvl w:val="0"/>
          <w:numId w:val="13"/>
        </w:numPr>
      </w:pPr>
      <w:r>
        <w:t>arvuline väärtus on otseselt leitav avalikust statistikast;</w:t>
      </w:r>
    </w:p>
    <w:p w14:paraId="2CF7259C" w14:textId="3B57FC9D" w:rsidR="009178AA" w:rsidRDefault="009178AA" w:rsidP="009178AA">
      <w:pPr>
        <w:pStyle w:val="Loendilik"/>
        <w:numPr>
          <w:ilvl w:val="0"/>
          <w:numId w:val="13"/>
        </w:numPr>
      </w:pPr>
      <w:r>
        <w:t>päritav alamteenuse omanikult või muult andme</w:t>
      </w:r>
      <w:r w:rsidR="001B2B31">
        <w:t>te</w:t>
      </w:r>
      <w:r>
        <w:t xml:space="preserve"> omanikult korrataval kujul, mis ei riku teenuse tarbija privaatsust või andmete konfidentsiaalsust</w:t>
      </w:r>
      <w:r w:rsidR="001B2B31">
        <w:t xml:space="preserve"> (näiteks jaotused, mitte toorandmed juba olemasolevatest andmetest)</w:t>
      </w:r>
      <w:r>
        <w:t>;</w:t>
      </w:r>
    </w:p>
    <w:p w14:paraId="12155A15" w14:textId="4C0CA0A2" w:rsidR="001B2B31" w:rsidRDefault="001B2B31" w:rsidP="009178AA">
      <w:pPr>
        <w:pStyle w:val="Loendilik"/>
        <w:numPr>
          <w:ilvl w:val="0"/>
          <w:numId w:val="13"/>
        </w:numPr>
      </w:pPr>
      <w:r>
        <w:t>leitav perioodiliselt korratavast avalikust uuringust või andmekogust;</w:t>
      </w:r>
    </w:p>
    <w:p w14:paraId="68E4CCD2" w14:textId="124E3410" w:rsidR="001B2B31" w:rsidRDefault="001B2B31" w:rsidP="001B2B31">
      <w:pPr>
        <w:pStyle w:val="Loendilik"/>
        <w:numPr>
          <w:ilvl w:val="0"/>
          <w:numId w:val="13"/>
        </w:numPr>
      </w:pPr>
      <w:r>
        <w:t>vaadeldav ja mõõdetav ilma olulise halduskoormuseta alamteenuse omaniku või ka välise osapoole poolt</w:t>
      </w:r>
      <w:r w:rsidR="002F4882">
        <w:t xml:space="preserve"> </w:t>
      </w:r>
    </w:p>
    <w:p w14:paraId="2C402DDB" w14:textId="5DAF1197" w:rsidR="009178AA" w:rsidRDefault="002F4882" w:rsidP="00481B8C">
      <w:pPr>
        <w:jc w:val="both"/>
      </w:pPr>
      <w:r>
        <w:t xml:space="preserve">Eesmärk on minimeerida mõju hindamisel tehtavate eelduste hulk ja usaldusväärsus. Indikaatorite väärtuste leidmine peab asuma kuskil kahe äärmuse vahel, millest üheks on puhtalt teoreetiliselt põhjendatud numbriline väärtus ja teine on näiteks kogu kasutajagrupi individuaalsete väärtuste </w:t>
      </w:r>
      <w:r w:rsidR="00481B8C">
        <w:t>andmetabel. Esimene on liialt lai ja ebatõene eeldus, teine rikub privaatsust ja on ebaproportsionaalne andmekasutus võrreldes kasutamise eesmärgiga.</w:t>
      </w:r>
    </w:p>
    <w:p w14:paraId="70DF6E0C" w14:textId="77777777" w:rsidR="002F4882" w:rsidRPr="009178AA" w:rsidRDefault="002F4882" w:rsidP="009178AA"/>
    <w:p w14:paraId="1597722A" w14:textId="6E0384FB" w:rsidR="006219EB" w:rsidRDefault="00886730" w:rsidP="006219EB">
      <w:pPr>
        <w:pStyle w:val="Pealkiri2"/>
      </w:pPr>
      <w:bookmarkStart w:id="7" w:name="_Toc148002087"/>
      <w:r>
        <w:t>4. Koondhinnangu arvutamise meetod</w:t>
      </w:r>
      <w:bookmarkEnd w:id="7"/>
    </w:p>
    <w:p w14:paraId="07DEBD3A" w14:textId="23D3F62A" w:rsidR="00481B8C" w:rsidRDefault="00481B8C" w:rsidP="00481B8C">
      <w:r>
        <w:t xml:space="preserve">Igal alamdimensioonil antakse </w:t>
      </w:r>
      <w:r w:rsidR="00815D40">
        <w:t xml:space="preserve">indikaatoritele </w:t>
      </w:r>
      <w:r>
        <w:t>eraldi otsene arvuline väärtus</w:t>
      </w:r>
      <w:r w:rsidR="00815D40">
        <w:t xml:space="preserve">. </w:t>
      </w:r>
      <w:r w:rsidR="006219EB">
        <w:t>A</w:t>
      </w:r>
      <w:r w:rsidR="00815D40">
        <w:t xml:space="preserve">rvutatakse </w:t>
      </w:r>
      <w:r w:rsidR="006219EB">
        <w:t>ka mõju</w:t>
      </w:r>
      <w:r w:rsidR="00815D40">
        <w:t xml:space="preserve"> koondhinnang, kuna madala majandusliku mõjuga teenus võib olla suure sotsiaalse mõjuga ja vastupidi. </w:t>
      </w:r>
      <w:r w:rsidR="006219EB">
        <w:t>Koondhinnang leitakse kahel võimalikul viisil:</w:t>
      </w:r>
    </w:p>
    <w:p w14:paraId="11CF534B" w14:textId="7F5B5ED7" w:rsidR="006219EB" w:rsidRDefault="006219EB" w:rsidP="006219EB">
      <w:pPr>
        <w:pStyle w:val="Loendilik"/>
        <w:numPr>
          <w:ilvl w:val="0"/>
          <w:numId w:val="14"/>
        </w:numPr>
      </w:pPr>
      <w:r>
        <w:t>standardiseeritud kujul koondhinnang, kus kõik alamkom</w:t>
      </w:r>
      <w:r w:rsidR="00963B9D">
        <w:t>ponen</w:t>
      </w:r>
      <w:r>
        <w:t>did on võrdse kaaluga;</w:t>
      </w:r>
    </w:p>
    <w:p w14:paraId="2B1A1FE9" w14:textId="05C9A538" w:rsidR="006219EB" w:rsidRDefault="006219EB" w:rsidP="006219EB">
      <w:pPr>
        <w:pStyle w:val="Loendilik"/>
        <w:numPr>
          <w:ilvl w:val="0"/>
          <w:numId w:val="14"/>
        </w:numPr>
      </w:pPr>
      <w:r>
        <w:t>erinevate kaaludega koondhinnag, kus kaalude leidmise viis determineeritakse kas eksperthinnanguga või muul sobival viisil.</w:t>
      </w:r>
    </w:p>
    <w:p w14:paraId="41EDFCBD" w14:textId="7C7513ED" w:rsidR="00481B8C" w:rsidRDefault="00815D40" w:rsidP="006219EB">
      <w:pPr>
        <w:jc w:val="both"/>
      </w:pPr>
      <w:r>
        <w:t xml:space="preserve">Veel ehitamata teenuse puhul on tegemist nn </w:t>
      </w:r>
      <w:r w:rsidRPr="00881A42">
        <w:rPr>
          <w:i/>
        </w:rPr>
        <w:t>ex ante</w:t>
      </w:r>
      <w:r>
        <w:rPr>
          <w:i/>
        </w:rPr>
        <w:t xml:space="preserve"> </w:t>
      </w:r>
      <w:r>
        <w:t xml:space="preserve">mõju hindamisega. </w:t>
      </w:r>
      <w:r w:rsidR="006219EB">
        <w:t>Sellest tulenevalt tuleb iga dimensiooni suhtes leida kas mingi sihttase, millega võrreldes saab teenuse mõju kvantifitseerida või täpsem kontrafaktuaal, mis antud juhul on realiseeritud sündmusteenus mis mõjutab siis vastavat dimensiooni ja selle alamindikaatori väärtust mingis suunas. Kontrafaktuaalid või sihttasemed defineeritakse koos tellija ja alamteenuste omanikega.</w:t>
      </w:r>
    </w:p>
    <w:p w14:paraId="328A6E99" w14:textId="77777777" w:rsidR="00506A6D" w:rsidRPr="00481B8C" w:rsidRDefault="00506A6D" w:rsidP="006219EB">
      <w:pPr>
        <w:jc w:val="both"/>
      </w:pPr>
    </w:p>
    <w:p w14:paraId="421ADA5D" w14:textId="21839CAC" w:rsidR="009553E9" w:rsidRDefault="00886730" w:rsidP="009553E9">
      <w:pPr>
        <w:pStyle w:val="Pealkiri2"/>
      </w:pPr>
      <w:bookmarkStart w:id="8" w:name="_Toc148002088"/>
      <w:r>
        <w:t xml:space="preserve">5. Valideerimine </w:t>
      </w:r>
      <w:r w:rsidR="005060DB">
        <w:t>kahe sündmusteenusega</w:t>
      </w:r>
      <w:bookmarkEnd w:id="8"/>
    </w:p>
    <w:p w14:paraId="10C61615" w14:textId="44D6FF15" w:rsidR="00886730" w:rsidRDefault="00886730" w:rsidP="009553E9">
      <w:pPr>
        <w:jc w:val="both"/>
      </w:pPr>
      <w:r>
        <w:t>Valitud meetodi valideerimiseks viiakse kahe sündmusteenuse kandidaadi puhul läbi ülal</w:t>
      </w:r>
      <w:r w:rsidR="009553E9">
        <w:t xml:space="preserve"> </w:t>
      </w:r>
      <w:r>
        <w:t>defineeritud mõju hindamine ehk käiakse läbi kõik numbrilise hinnangu arvutamiseks vajalikud sammud</w:t>
      </w:r>
      <w:r w:rsidR="009553E9">
        <w:t xml:space="preserve">, leitakse igas valitud dimensioonis alamindikaatorite ja dimensiooni koguindikaatori väärtus ning agregeeritakse see koondhinnangu arvutamise meetodi alusel kokku. Hindamisel saadud õppetunnid dokumenteeritakse ning hinnangu adekvaatsus valideeritakse omakorda tellija ning osapoolte esindajatega. </w:t>
      </w:r>
    </w:p>
    <w:p w14:paraId="21E2FD0C" w14:textId="269F1579" w:rsidR="005060DB" w:rsidRDefault="005060DB" w:rsidP="005060DB">
      <w:r>
        <w:t>Valitud kaheks sündmusteenuseks on:</w:t>
      </w:r>
    </w:p>
    <w:p w14:paraId="1C1266E4" w14:textId="77777777" w:rsidR="005060DB" w:rsidRDefault="005060DB" w:rsidP="005060DB">
      <w:pPr>
        <w:pStyle w:val="Loendilik"/>
        <w:numPr>
          <w:ilvl w:val="0"/>
          <w:numId w:val="18"/>
        </w:numPr>
      </w:pPr>
      <w:r>
        <w:t>abiellumise sündmusteenus;</w:t>
      </w:r>
    </w:p>
    <w:p w14:paraId="0901EEC8" w14:textId="77777777" w:rsidR="005060DB" w:rsidRDefault="005060DB" w:rsidP="005060DB">
      <w:pPr>
        <w:pStyle w:val="Loendilik"/>
        <w:numPr>
          <w:ilvl w:val="0"/>
          <w:numId w:val="18"/>
        </w:numPr>
      </w:pPr>
      <w:r>
        <w:t>Eestis kohanemise sündmusteenus.</w:t>
      </w:r>
    </w:p>
    <w:p w14:paraId="2A3219BE" w14:textId="77777777" w:rsidR="005060DB" w:rsidRDefault="005060DB" w:rsidP="005060DB">
      <w:pPr>
        <w:jc w:val="both"/>
      </w:pPr>
      <w:r>
        <w:t xml:space="preserve">Antud sündmusteenuste puhul tehakse järgmist: </w:t>
      </w:r>
    </w:p>
    <w:p w14:paraId="5F125282" w14:textId="77777777" w:rsidR="005060DB" w:rsidRDefault="005060DB" w:rsidP="005060DB">
      <w:pPr>
        <w:pStyle w:val="Loendilik"/>
        <w:numPr>
          <w:ilvl w:val="0"/>
          <w:numId w:val="20"/>
        </w:numPr>
        <w:jc w:val="both"/>
      </w:pPr>
      <w:r>
        <w:t>hinnatakse hetkel nende osateenuste mõju valitud dimensioonides numbriliselt;</w:t>
      </w:r>
    </w:p>
    <w:p w14:paraId="5CF41FD0" w14:textId="77777777" w:rsidR="005060DB" w:rsidRDefault="005060DB" w:rsidP="005060DB">
      <w:pPr>
        <w:pStyle w:val="Loendilik"/>
        <w:numPr>
          <w:ilvl w:val="0"/>
          <w:numId w:val="20"/>
        </w:numPr>
        <w:jc w:val="both"/>
      </w:pPr>
      <w:r>
        <w:t>luuakse planeeritava sündmusteenuse protsessi ja tehnilise ülesehituse plaanide alusel kontrafaktuaalid;</w:t>
      </w:r>
    </w:p>
    <w:p w14:paraId="566B2165" w14:textId="07049296" w:rsidR="00D664D5" w:rsidRPr="00886730" w:rsidRDefault="005060DB" w:rsidP="009553E9">
      <w:pPr>
        <w:pStyle w:val="Loendilik"/>
        <w:numPr>
          <w:ilvl w:val="0"/>
          <w:numId w:val="20"/>
        </w:numPr>
        <w:jc w:val="both"/>
      </w:pPr>
      <w:r>
        <w:t>arvutatakse kontrafaktuaalidest tulenevalt erinevate kontrafaktuaalide parameetrite juures hinnatava sündmusteenuse realiseerimise kogumõju.</w:t>
      </w:r>
    </w:p>
    <w:p w14:paraId="45D2F4F2" w14:textId="740C5355" w:rsidR="00415DAD" w:rsidRDefault="00415DAD" w:rsidP="00415DAD"/>
    <w:p w14:paraId="10F3B6B3" w14:textId="0FEC1010" w:rsidR="00D5238D" w:rsidRDefault="00D5238D" w:rsidP="005060DB">
      <w:pPr>
        <w:pStyle w:val="Pealkiri2"/>
      </w:pPr>
      <w:bookmarkStart w:id="9" w:name="_Toc148002089"/>
      <w:r>
        <w:t xml:space="preserve">7. </w:t>
      </w:r>
      <w:r w:rsidR="005060DB">
        <w:t xml:space="preserve">Dokumenteerimine ja </w:t>
      </w:r>
      <w:r w:rsidR="00F77C4A">
        <w:t xml:space="preserve">võimalik </w:t>
      </w:r>
      <w:r w:rsidR="005060DB">
        <w:t>mõju</w:t>
      </w:r>
      <w:r w:rsidR="00F77C4A">
        <w:t xml:space="preserve"> </w:t>
      </w:r>
      <w:r w:rsidR="005060DB">
        <w:t>kalkulaator</w:t>
      </w:r>
      <w:bookmarkEnd w:id="9"/>
    </w:p>
    <w:p w14:paraId="4DF1712C" w14:textId="772F1F49" w:rsidR="005060DB" w:rsidRDefault="005060DB" w:rsidP="005060DB">
      <w:pPr>
        <w:jc w:val="both"/>
      </w:pPr>
      <w:r>
        <w:t xml:space="preserve">Analüüsi tulemused dokumenteeritakse ja esitatakse tellijale vaheraportite ja lõppraportina. Töö käigus esitatakse vahetulemusi dünaamiliste HMTL dokumentidena, mis sisaldavad endas: </w:t>
      </w:r>
    </w:p>
    <w:p w14:paraId="6686153C" w14:textId="51C08E12" w:rsidR="005060DB" w:rsidRDefault="005060DB" w:rsidP="005060DB">
      <w:pPr>
        <w:pStyle w:val="Loendilik"/>
        <w:numPr>
          <w:ilvl w:val="0"/>
          <w:numId w:val="22"/>
        </w:numPr>
        <w:jc w:val="both"/>
      </w:pPr>
      <w:r>
        <w:t>vajalikku tekstilist osa (definitsioonid, kirjeldused jne);</w:t>
      </w:r>
    </w:p>
    <w:p w14:paraId="5F1918AE" w14:textId="416FBDF2" w:rsidR="005060DB" w:rsidRDefault="005060DB" w:rsidP="005060DB">
      <w:pPr>
        <w:pStyle w:val="Loendilik"/>
        <w:numPr>
          <w:ilvl w:val="0"/>
          <w:numId w:val="22"/>
        </w:numPr>
        <w:jc w:val="both"/>
      </w:pPr>
      <w:r>
        <w:t>osateenuste andmete alusel arvutatud mõjusid ning nende visualiseeringuid graafide ja tabelite kujul, mida klient saab antud dokumendis eraldi vaadata ja teatud ulatuses soovi korral töödelda (aktiveerida ja deaktiveerida filtreid jne) nägemaks muutusi;</w:t>
      </w:r>
    </w:p>
    <w:p w14:paraId="76D6CFE4" w14:textId="108F63B6" w:rsidR="005060DB" w:rsidRDefault="005060DB" w:rsidP="005060DB">
      <w:pPr>
        <w:pStyle w:val="Loendilik"/>
        <w:numPr>
          <w:ilvl w:val="0"/>
          <w:numId w:val="22"/>
        </w:numPr>
        <w:jc w:val="both"/>
      </w:pPr>
      <w:r>
        <w:t>lingitud andmekogusid, mis on mõju hindamise arvutuste aluseks.</w:t>
      </w:r>
    </w:p>
    <w:p w14:paraId="09C917D9" w14:textId="26269829" w:rsidR="005060DB" w:rsidRDefault="005060DB" w:rsidP="005060DB">
      <w:pPr>
        <w:jc w:val="both"/>
      </w:pPr>
      <w:r>
        <w:t>Dokumenteerimiseks kasutataks R Markdown tarkvara, mis võimaldab antud dokumentidest genereerida ka staatilisi PDF formaadis dokumente vastavalt kliendi soovile ja tulemuste laiemaks jagamiseks.</w:t>
      </w:r>
    </w:p>
    <w:p w14:paraId="31A81EC2" w14:textId="2DA78BEF" w:rsidR="005060DB" w:rsidRDefault="005060DB" w:rsidP="005060DB">
      <w:pPr>
        <w:jc w:val="both"/>
      </w:pPr>
      <w:r>
        <w:t xml:space="preserve">Sellisel viisil dokumenteerimise eeliseks on võimalik mõju hindamise kalkulaatorile sisendi genereerimisel. Kuna dokumendi aluseks on juba andmetöötlus skript R tarkvaras lisatakse sinna ka mõju arvutuste skriptid, mida saab soovi korral hiljem otse kalkulaatori loomiseks kasutada. </w:t>
      </w:r>
    </w:p>
    <w:p w14:paraId="71445292" w14:textId="1D9A3AE0" w:rsidR="00FE5E7D" w:rsidRDefault="00FE5E7D" w:rsidP="00FE5E7D">
      <w:r>
        <w:t>Mõju kalkulaatori vajalikkus ja tehniline realisatsioon otsustatakse selle töö tulemusena ja ei sisaldu otse antud projektis. Tuleviku kasu huvides hinnatakse väljatöötatud mõju hindamise meetodi realiseerimist prototüübi tasemel kalkulaatorina. Kalkulaatori mõte oleks:</w:t>
      </w:r>
    </w:p>
    <w:p w14:paraId="65209237" w14:textId="77777777" w:rsidR="00FE5E7D" w:rsidRDefault="00FE5E7D" w:rsidP="00FE5E7D">
      <w:pPr>
        <w:pStyle w:val="Loendilik"/>
        <w:numPr>
          <w:ilvl w:val="0"/>
          <w:numId w:val="12"/>
        </w:numPr>
      </w:pPr>
      <w:r>
        <w:t>asendada staatilise mõju hinnangu raport, milles ei saa arvväärtusi uuendada ega täpsustada;</w:t>
      </w:r>
    </w:p>
    <w:p w14:paraId="2D962677" w14:textId="77777777" w:rsidR="00FE5E7D" w:rsidRDefault="00FE5E7D" w:rsidP="00FE5E7D">
      <w:pPr>
        <w:pStyle w:val="Loendilik"/>
        <w:numPr>
          <w:ilvl w:val="0"/>
          <w:numId w:val="12"/>
        </w:numPr>
      </w:pPr>
      <w:r>
        <w:t>võimaldada kasutajal lisada eri dimensioonides kulu arvutamise alusväärtuste tabeleid või konstante;</w:t>
      </w:r>
    </w:p>
    <w:p w14:paraId="744E7EF1" w14:textId="77777777" w:rsidR="00FE5E7D" w:rsidRDefault="00FE5E7D" w:rsidP="00FE5E7D">
      <w:pPr>
        <w:pStyle w:val="Loendilik"/>
        <w:numPr>
          <w:ilvl w:val="0"/>
          <w:numId w:val="12"/>
        </w:numPr>
      </w:pPr>
      <w:r>
        <w:t>võimaldada kasutajal muuta kontrafaktuaalse stsenaariumi sisendparameetreid, nägemaks milliste väärtuste juures muutuks sündmusteenuse arendamine kulutõhusamaks;</w:t>
      </w:r>
    </w:p>
    <w:p w14:paraId="0268C9FB" w14:textId="77777777" w:rsidR="00FE5E7D" w:rsidRDefault="00FE5E7D" w:rsidP="00FE5E7D">
      <w:pPr>
        <w:pStyle w:val="Loendilik"/>
        <w:numPr>
          <w:ilvl w:val="0"/>
          <w:numId w:val="12"/>
        </w:numPr>
      </w:pPr>
      <w:r>
        <w:t xml:space="preserve">näha mõju dimensioonides koos ning visualiseerida milliste teenuste juures domineerivad millised dimensioonid lõpphinnangus rohkem; </w:t>
      </w:r>
    </w:p>
    <w:p w14:paraId="7F61CBD5" w14:textId="71AED62C" w:rsidR="00F77C4A" w:rsidRDefault="00FE5E7D" w:rsidP="00D5238D">
      <w:pPr>
        <w:pStyle w:val="Loendilik"/>
        <w:numPr>
          <w:ilvl w:val="0"/>
          <w:numId w:val="12"/>
        </w:numPr>
      </w:pPr>
      <w:r>
        <w:t>automatiseerida kogumõju arvutmine tasemele, kus teatud dimensioonide indikaatorite puudumisel antud teenuse puhul skaleeritakse mõju arvutamine automaatselt ümber ilma kasutaja sekkumiseta.</w:t>
      </w:r>
    </w:p>
    <w:p w14:paraId="581AB739" w14:textId="77777777" w:rsidR="00DA49F6" w:rsidRDefault="00DA49F6" w:rsidP="00DA49F6">
      <w:pPr>
        <w:pStyle w:val="Loendilik"/>
      </w:pPr>
    </w:p>
    <w:p w14:paraId="6C874E70" w14:textId="77777777" w:rsidR="00DA49F6" w:rsidRPr="00D5238D" w:rsidRDefault="00DA49F6" w:rsidP="00DA49F6">
      <w:pPr>
        <w:pStyle w:val="Loendilik"/>
      </w:pPr>
    </w:p>
    <w:p w14:paraId="6E27BFB1" w14:textId="615188DC" w:rsidR="00D7588B" w:rsidRDefault="00D5238D" w:rsidP="00D7588B">
      <w:pPr>
        <w:pStyle w:val="Pealkiri2"/>
      </w:pPr>
      <w:bookmarkStart w:id="10" w:name="_Toc148002090"/>
      <w:r>
        <w:t xml:space="preserve">8. </w:t>
      </w:r>
      <w:r w:rsidR="00D7588B">
        <w:t xml:space="preserve">Töö </w:t>
      </w:r>
      <w:r w:rsidR="00D47127">
        <w:t>tulemid</w:t>
      </w:r>
      <w:bookmarkEnd w:id="10"/>
    </w:p>
    <w:p w14:paraId="4FF6F121" w14:textId="1C1388D3" w:rsidR="00D7588B" w:rsidRDefault="00D47127" w:rsidP="006219EB">
      <w:r>
        <w:t>Mõju hindamise</w:t>
      </w:r>
      <w:r w:rsidR="00FE5E7D">
        <w:t xml:space="preserve"> töö</w:t>
      </w:r>
      <w:r>
        <w:t xml:space="preserve"> tulemid on järgmised</w:t>
      </w:r>
      <w:r w:rsidR="006219EB">
        <w:t>:</w:t>
      </w:r>
    </w:p>
    <w:p w14:paraId="2A90E13D" w14:textId="4E05AAA0" w:rsidR="001F47DC" w:rsidRDefault="00BB40EF" w:rsidP="006219EB">
      <w:pPr>
        <w:pStyle w:val="Loendilik"/>
        <w:numPr>
          <w:ilvl w:val="0"/>
          <w:numId w:val="15"/>
        </w:numPr>
      </w:pPr>
      <w:r>
        <w:t>s</w:t>
      </w:r>
      <w:r w:rsidR="006219EB">
        <w:t>ündmusteenuse mõju</w:t>
      </w:r>
      <w:r w:rsidR="001F47DC">
        <w:t xml:space="preserve"> definitsioonid eri dimensioonides</w:t>
      </w:r>
      <w:r w:rsidR="005060DB">
        <w:t xml:space="preserve"> ja selle dokumentatsioon</w:t>
      </w:r>
      <w:r w:rsidR="001F47DC">
        <w:t>;</w:t>
      </w:r>
      <w:r w:rsidR="006219EB">
        <w:t xml:space="preserve"> </w:t>
      </w:r>
    </w:p>
    <w:p w14:paraId="0B36BC53" w14:textId="0D26FA62" w:rsidR="006219EB" w:rsidRDefault="00BB40EF" w:rsidP="006219EB">
      <w:pPr>
        <w:pStyle w:val="Loendilik"/>
        <w:numPr>
          <w:ilvl w:val="0"/>
          <w:numId w:val="15"/>
        </w:numPr>
      </w:pPr>
      <w:r>
        <w:t>m</w:t>
      </w:r>
      <w:r w:rsidR="001F47DC">
        <w:t xml:space="preserve">õju </w:t>
      </w:r>
      <w:r w:rsidR="006219EB">
        <w:t xml:space="preserve">hindamise indikaatorite </w:t>
      </w:r>
      <w:r w:rsidR="001F47DC">
        <w:t>ja nende andemallikate kogu lühikirjeldus</w:t>
      </w:r>
      <w:r w:rsidR="005060DB">
        <w:t xml:space="preserve"> ja selle dokumentatsioon</w:t>
      </w:r>
      <w:r w:rsidR="001F47DC">
        <w:t>;</w:t>
      </w:r>
    </w:p>
    <w:p w14:paraId="5900F2FF" w14:textId="65D6AEF2" w:rsidR="001F47DC" w:rsidRDefault="00BB40EF" w:rsidP="006219EB">
      <w:pPr>
        <w:pStyle w:val="Loendilik"/>
        <w:numPr>
          <w:ilvl w:val="0"/>
          <w:numId w:val="15"/>
        </w:numPr>
      </w:pPr>
      <w:r>
        <w:t>k</w:t>
      </w:r>
      <w:r w:rsidR="001F47DC">
        <w:t>ogumõju hindamise meetod</w:t>
      </w:r>
      <w:r w:rsidR="005060DB">
        <w:t xml:space="preserve"> ja selle dokumentatsioon</w:t>
      </w:r>
      <w:r w:rsidR="001F47DC">
        <w:t>;</w:t>
      </w:r>
    </w:p>
    <w:p w14:paraId="00E29B2D" w14:textId="40D173A0" w:rsidR="001F47DC" w:rsidRDefault="00BB40EF" w:rsidP="006219EB">
      <w:pPr>
        <w:pStyle w:val="Loendilik"/>
        <w:numPr>
          <w:ilvl w:val="0"/>
          <w:numId w:val="15"/>
        </w:numPr>
      </w:pPr>
      <w:r>
        <w:t>k</w:t>
      </w:r>
      <w:r w:rsidR="001F47DC">
        <w:t xml:space="preserve">ahe sündmusteenuse läbiviidud </w:t>
      </w:r>
      <w:r w:rsidR="005060DB">
        <w:t xml:space="preserve">ja dokumenteeritud </w:t>
      </w:r>
      <w:r w:rsidR="001F47DC">
        <w:t>mõju</w:t>
      </w:r>
      <w:r w:rsidR="00977ECF">
        <w:t xml:space="preserve"> </w:t>
      </w:r>
      <w:r w:rsidR="001F47DC">
        <w:t>hinnang;</w:t>
      </w:r>
    </w:p>
    <w:p w14:paraId="3E4D8935" w14:textId="6495A178" w:rsidR="00FE5E7D" w:rsidRDefault="00FE5E7D" w:rsidP="006219EB">
      <w:pPr>
        <w:pStyle w:val="Loendilik"/>
        <w:numPr>
          <w:ilvl w:val="0"/>
          <w:numId w:val="15"/>
        </w:numPr>
      </w:pPr>
      <w:r>
        <w:t>hinnang kalkulaatori loomise mõistlikkusele koos võimaliku tehnilisele ülesehituse variantidega;</w:t>
      </w:r>
    </w:p>
    <w:p w14:paraId="55D28A07" w14:textId="04DC2232" w:rsidR="001F47DC" w:rsidRDefault="00D47127" w:rsidP="006219EB">
      <w:pPr>
        <w:pStyle w:val="Loendilik"/>
        <w:numPr>
          <w:ilvl w:val="0"/>
          <w:numId w:val="15"/>
        </w:numPr>
      </w:pPr>
      <w:r>
        <w:t>tulemuste vaheraport</w:t>
      </w:r>
      <w:r w:rsidR="005060DB">
        <w:t>id</w:t>
      </w:r>
      <w:r>
        <w:t xml:space="preserve"> ja lõppraport</w:t>
      </w:r>
      <w:r w:rsidR="005060DB">
        <w:t xml:space="preserve"> .html ja .pdf formaadis</w:t>
      </w:r>
      <w:r w:rsidR="001F47DC">
        <w:t>.</w:t>
      </w:r>
    </w:p>
    <w:p w14:paraId="1E0A072A" w14:textId="2A4C3DF9" w:rsidR="00FE5E7D" w:rsidRDefault="00FE5E7D" w:rsidP="00DA49F6">
      <w:pPr>
        <w:pStyle w:val="Pealkiri2"/>
      </w:pPr>
    </w:p>
    <w:sectPr w:rsidR="00FE5E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A86B" w14:textId="77777777" w:rsidR="000E3F3E" w:rsidRDefault="000E3F3E" w:rsidP="00886730">
      <w:pPr>
        <w:spacing w:after="0" w:line="240" w:lineRule="auto"/>
      </w:pPr>
      <w:r>
        <w:separator/>
      </w:r>
    </w:p>
  </w:endnote>
  <w:endnote w:type="continuationSeparator" w:id="0">
    <w:p w14:paraId="65996982" w14:textId="77777777" w:rsidR="000E3F3E" w:rsidRDefault="000E3F3E" w:rsidP="0088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791445"/>
      <w:docPartObj>
        <w:docPartGallery w:val="Page Numbers (Bottom of Page)"/>
        <w:docPartUnique/>
      </w:docPartObj>
    </w:sdtPr>
    <w:sdtEndPr/>
    <w:sdtContent>
      <w:p w14:paraId="4EFEBE10" w14:textId="0DF3E21A" w:rsidR="00886730" w:rsidRDefault="00886730">
        <w:pPr>
          <w:pStyle w:val="Jalus"/>
          <w:jc w:val="right"/>
        </w:pPr>
        <w:r>
          <w:fldChar w:fldCharType="begin"/>
        </w:r>
        <w:r>
          <w:instrText>PAGE   \* MERGEFORMAT</w:instrText>
        </w:r>
        <w:r>
          <w:fldChar w:fldCharType="separate"/>
        </w:r>
        <w:r>
          <w:t>2</w:t>
        </w:r>
        <w:r>
          <w:fldChar w:fldCharType="end"/>
        </w:r>
      </w:p>
    </w:sdtContent>
  </w:sdt>
  <w:p w14:paraId="4325F494" w14:textId="77777777" w:rsidR="00886730" w:rsidRDefault="0088673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0056" w14:textId="77777777" w:rsidR="000E3F3E" w:rsidRDefault="000E3F3E" w:rsidP="00886730">
      <w:pPr>
        <w:spacing w:after="0" w:line="240" w:lineRule="auto"/>
      </w:pPr>
      <w:r>
        <w:separator/>
      </w:r>
    </w:p>
  </w:footnote>
  <w:footnote w:type="continuationSeparator" w:id="0">
    <w:p w14:paraId="6ECF05FE" w14:textId="77777777" w:rsidR="000E3F3E" w:rsidRDefault="000E3F3E" w:rsidP="00886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BD"/>
    <w:multiLevelType w:val="hybridMultilevel"/>
    <w:tmpl w:val="29F2A416"/>
    <w:lvl w:ilvl="0" w:tplc="BFA4A6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227DC3"/>
    <w:multiLevelType w:val="hybridMultilevel"/>
    <w:tmpl w:val="F3163FAA"/>
    <w:lvl w:ilvl="0" w:tplc="BC6C1104">
      <w:start w:val="1"/>
      <w:numFmt w:val="bullet"/>
      <w:lvlText w:val="•"/>
      <w:lvlJc w:val="left"/>
      <w:pPr>
        <w:tabs>
          <w:tab w:val="num" w:pos="720"/>
        </w:tabs>
        <w:ind w:left="720" w:hanging="360"/>
      </w:pPr>
      <w:rPr>
        <w:rFonts w:ascii="Arial" w:hAnsi="Arial" w:hint="default"/>
      </w:rPr>
    </w:lvl>
    <w:lvl w:ilvl="1" w:tplc="2F9A75F8" w:tentative="1">
      <w:start w:val="1"/>
      <w:numFmt w:val="bullet"/>
      <w:lvlText w:val="•"/>
      <w:lvlJc w:val="left"/>
      <w:pPr>
        <w:tabs>
          <w:tab w:val="num" w:pos="1440"/>
        </w:tabs>
        <w:ind w:left="1440" w:hanging="360"/>
      </w:pPr>
      <w:rPr>
        <w:rFonts w:ascii="Arial" w:hAnsi="Arial" w:hint="default"/>
      </w:rPr>
    </w:lvl>
    <w:lvl w:ilvl="2" w:tplc="12F80C30" w:tentative="1">
      <w:start w:val="1"/>
      <w:numFmt w:val="bullet"/>
      <w:lvlText w:val="•"/>
      <w:lvlJc w:val="left"/>
      <w:pPr>
        <w:tabs>
          <w:tab w:val="num" w:pos="2160"/>
        </w:tabs>
        <w:ind w:left="2160" w:hanging="360"/>
      </w:pPr>
      <w:rPr>
        <w:rFonts w:ascii="Arial" w:hAnsi="Arial" w:hint="default"/>
      </w:rPr>
    </w:lvl>
    <w:lvl w:ilvl="3" w:tplc="EC58963C" w:tentative="1">
      <w:start w:val="1"/>
      <w:numFmt w:val="bullet"/>
      <w:lvlText w:val="•"/>
      <w:lvlJc w:val="left"/>
      <w:pPr>
        <w:tabs>
          <w:tab w:val="num" w:pos="2880"/>
        </w:tabs>
        <w:ind w:left="2880" w:hanging="360"/>
      </w:pPr>
      <w:rPr>
        <w:rFonts w:ascii="Arial" w:hAnsi="Arial" w:hint="default"/>
      </w:rPr>
    </w:lvl>
    <w:lvl w:ilvl="4" w:tplc="F51A9B40" w:tentative="1">
      <w:start w:val="1"/>
      <w:numFmt w:val="bullet"/>
      <w:lvlText w:val="•"/>
      <w:lvlJc w:val="left"/>
      <w:pPr>
        <w:tabs>
          <w:tab w:val="num" w:pos="3600"/>
        </w:tabs>
        <w:ind w:left="3600" w:hanging="360"/>
      </w:pPr>
      <w:rPr>
        <w:rFonts w:ascii="Arial" w:hAnsi="Arial" w:hint="default"/>
      </w:rPr>
    </w:lvl>
    <w:lvl w:ilvl="5" w:tplc="7C4E5CE8" w:tentative="1">
      <w:start w:val="1"/>
      <w:numFmt w:val="bullet"/>
      <w:lvlText w:val="•"/>
      <w:lvlJc w:val="left"/>
      <w:pPr>
        <w:tabs>
          <w:tab w:val="num" w:pos="4320"/>
        </w:tabs>
        <w:ind w:left="4320" w:hanging="360"/>
      </w:pPr>
      <w:rPr>
        <w:rFonts w:ascii="Arial" w:hAnsi="Arial" w:hint="default"/>
      </w:rPr>
    </w:lvl>
    <w:lvl w:ilvl="6" w:tplc="900E0D5E" w:tentative="1">
      <w:start w:val="1"/>
      <w:numFmt w:val="bullet"/>
      <w:lvlText w:val="•"/>
      <w:lvlJc w:val="left"/>
      <w:pPr>
        <w:tabs>
          <w:tab w:val="num" w:pos="5040"/>
        </w:tabs>
        <w:ind w:left="5040" w:hanging="360"/>
      </w:pPr>
      <w:rPr>
        <w:rFonts w:ascii="Arial" w:hAnsi="Arial" w:hint="default"/>
      </w:rPr>
    </w:lvl>
    <w:lvl w:ilvl="7" w:tplc="25E0620E" w:tentative="1">
      <w:start w:val="1"/>
      <w:numFmt w:val="bullet"/>
      <w:lvlText w:val="•"/>
      <w:lvlJc w:val="left"/>
      <w:pPr>
        <w:tabs>
          <w:tab w:val="num" w:pos="5760"/>
        </w:tabs>
        <w:ind w:left="5760" w:hanging="360"/>
      </w:pPr>
      <w:rPr>
        <w:rFonts w:ascii="Arial" w:hAnsi="Arial" w:hint="default"/>
      </w:rPr>
    </w:lvl>
    <w:lvl w:ilvl="8" w:tplc="097E71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53DD5"/>
    <w:multiLevelType w:val="hybridMultilevel"/>
    <w:tmpl w:val="A776C6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DC4CAC"/>
    <w:multiLevelType w:val="hybridMultilevel"/>
    <w:tmpl w:val="3D4610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D0A456F"/>
    <w:multiLevelType w:val="hybridMultilevel"/>
    <w:tmpl w:val="D1E6F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D4294B"/>
    <w:multiLevelType w:val="hybridMultilevel"/>
    <w:tmpl w:val="B502A5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367E13"/>
    <w:multiLevelType w:val="hybridMultilevel"/>
    <w:tmpl w:val="098EDFF6"/>
    <w:lvl w:ilvl="0" w:tplc="81063F32">
      <w:start w:val="1"/>
      <w:numFmt w:val="decimal"/>
      <w:lvlText w:val="%1."/>
      <w:lvlJc w:val="left"/>
      <w:pPr>
        <w:tabs>
          <w:tab w:val="num" w:pos="720"/>
        </w:tabs>
        <w:ind w:left="720" w:hanging="360"/>
      </w:pPr>
    </w:lvl>
    <w:lvl w:ilvl="1" w:tplc="D5D29772">
      <w:numFmt w:val="bullet"/>
      <w:lvlText w:val="–"/>
      <w:lvlJc w:val="left"/>
      <w:pPr>
        <w:tabs>
          <w:tab w:val="num" w:pos="1440"/>
        </w:tabs>
        <w:ind w:left="1440" w:hanging="360"/>
      </w:pPr>
      <w:rPr>
        <w:rFonts w:ascii="Arial" w:hAnsi="Arial" w:hint="default"/>
      </w:rPr>
    </w:lvl>
    <w:lvl w:ilvl="2" w:tplc="570E155C" w:tentative="1">
      <w:start w:val="1"/>
      <w:numFmt w:val="decimal"/>
      <w:lvlText w:val="%3."/>
      <w:lvlJc w:val="left"/>
      <w:pPr>
        <w:tabs>
          <w:tab w:val="num" w:pos="2160"/>
        </w:tabs>
        <w:ind w:left="2160" w:hanging="360"/>
      </w:pPr>
    </w:lvl>
    <w:lvl w:ilvl="3" w:tplc="DC903F82" w:tentative="1">
      <w:start w:val="1"/>
      <w:numFmt w:val="decimal"/>
      <w:lvlText w:val="%4."/>
      <w:lvlJc w:val="left"/>
      <w:pPr>
        <w:tabs>
          <w:tab w:val="num" w:pos="2880"/>
        </w:tabs>
        <w:ind w:left="2880" w:hanging="360"/>
      </w:pPr>
    </w:lvl>
    <w:lvl w:ilvl="4" w:tplc="CE3A3D4C" w:tentative="1">
      <w:start w:val="1"/>
      <w:numFmt w:val="decimal"/>
      <w:lvlText w:val="%5."/>
      <w:lvlJc w:val="left"/>
      <w:pPr>
        <w:tabs>
          <w:tab w:val="num" w:pos="3600"/>
        </w:tabs>
        <w:ind w:left="3600" w:hanging="360"/>
      </w:pPr>
    </w:lvl>
    <w:lvl w:ilvl="5" w:tplc="DFCE789C" w:tentative="1">
      <w:start w:val="1"/>
      <w:numFmt w:val="decimal"/>
      <w:lvlText w:val="%6."/>
      <w:lvlJc w:val="left"/>
      <w:pPr>
        <w:tabs>
          <w:tab w:val="num" w:pos="4320"/>
        </w:tabs>
        <w:ind w:left="4320" w:hanging="360"/>
      </w:pPr>
    </w:lvl>
    <w:lvl w:ilvl="6" w:tplc="5B64692C" w:tentative="1">
      <w:start w:val="1"/>
      <w:numFmt w:val="decimal"/>
      <w:lvlText w:val="%7."/>
      <w:lvlJc w:val="left"/>
      <w:pPr>
        <w:tabs>
          <w:tab w:val="num" w:pos="5040"/>
        </w:tabs>
        <w:ind w:left="5040" w:hanging="360"/>
      </w:pPr>
    </w:lvl>
    <w:lvl w:ilvl="7" w:tplc="445E3B6A" w:tentative="1">
      <w:start w:val="1"/>
      <w:numFmt w:val="decimal"/>
      <w:lvlText w:val="%8."/>
      <w:lvlJc w:val="left"/>
      <w:pPr>
        <w:tabs>
          <w:tab w:val="num" w:pos="5760"/>
        </w:tabs>
        <w:ind w:left="5760" w:hanging="360"/>
      </w:pPr>
    </w:lvl>
    <w:lvl w:ilvl="8" w:tplc="9CD4F782" w:tentative="1">
      <w:start w:val="1"/>
      <w:numFmt w:val="decimal"/>
      <w:lvlText w:val="%9."/>
      <w:lvlJc w:val="left"/>
      <w:pPr>
        <w:tabs>
          <w:tab w:val="num" w:pos="6480"/>
        </w:tabs>
        <w:ind w:left="6480" w:hanging="360"/>
      </w:pPr>
    </w:lvl>
  </w:abstractNum>
  <w:abstractNum w:abstractNumId="7" w15:restartNumberingAfterBreak="0">
    <w:nsid w:val="2DEC6787"/>
    <w:multiLevelType w:val="hybridMultilevel"/>
    <w:tmpl w:val="D6702C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AB25CB"/>
    <w:multiLevelType w:val="hybridMultilevel"/>
    <w:tmpl w:val="2280DA6A"/>
    <w:lvl w:ilvl="0" w:tplc="8FC852BC">
      <w:start w:val="1"/>
      <w:numFmt w:val="decimal"/>
      <w:lvlText w:val="%1."/>
      <w:lvlJc w:val="left"/>
      <w:pPr>
        <w:tabs>
          <w:tab w:val="num" w:pos="720"/>
        </w:tabs>
        <w:ind w:left="720" w:hanging="360"/>
      </w:pPr>
    </w:lvl>
    <w:lvl w:ilvl="1" w:tplc="69AEA584">
      <w:numFmt w:val="bullet"/>
      <w:lvlText w:val="–"/>
      <w:lvlJc w:val="left"/>
      <w:pPr>
        <w:tabs>
          <w:tab w:val="num" w:pos="1440"/>
        </w:tabs>
        <w:ind w:left="1440" w:hanging="360"/>
      </w:pPr>
      <w:rPr>
        <w:rFonts w:ascii="Arial" w:hAnsi="Arial" w:hint="default"/>
      </w:rPr>
    </w:lvl>
    <w:lvl w:ilvl="2" w:tplc="3EBE56AC" w:tentative="1">
      <w:start w:val="1"/>
      <w:numFmt w:val="decimal"/>
      <w:lvlText w:val="%3."/>
      <w:lvlJc w:val="left"/>
      <w:pPr>
        <w:tabs>
          <w:tab w:val="num" w:pos="2160"/>
        </w:tabs>
        <w:ind w:left="2160" w:hanging="360"/>
      </w:pPr>
    </w:lvl>
    <w:lvl w:ilvl="3" w:tplc="7A546BB6" w:tentative="1">
      <w:start w:val="1"/>
      <w:numFmt w:val="decimal"/>
      <w:lvlText w:val="%4."/>
      <w:lvlJc w:val="left"/>
      <w:pPr>
        <w:tabs>
          <w:tab w:val="num" w:pos="2880"/>
        </w:tabs>
        <w:ind w:left="2880" w:hanging="360"/>
      </w:pPr>
    </w:lvl>
    <w:lvl w:ilvl="4" w:tplc="C360C80A" w:tentative="1">
      <w:start w:val="1"/>
      <w:numFmt w:val="decimal"/>
      <w:lvlText w:val="%5."/>
      <w:lvlJc w:val="left"/>
      <w:pPr>
        <w:tabs>
          <w:tab w:val="num" w:pos="3600"/>
        </w:tabs>
        <w:ind w:left="3600" w:hanging="360"/>
      </w:pPr>
    </w:lvl>
    <w:lvl w:ilvl="5" w:tplc="C07AC28C" w:tentative="1">
      <w:start w:val="1"/>
      <w:numFmt w:val="decimal"/>
      <w:lvlText w:val="%6."/>
      <w:lvlJc w:val="left"/>
      <w:pPr>
        <w:tabs>
          <w:tab w:val="num" w:pos="4320"/>
        </w:tabs>
        <w:ind w:left="4320" w:hanging="360"/>
      </w:pPr>
    </w:lvl>
    <w:lvl w:ilvl="6" w:tplc="04044970" w:tentative="1">
      <w:start w:val="1"/>
      <w:numFmt w:val="decimal"/>
      <w:lvlText w:val="%7."/>
      <w:lvlJc w:val="left"/>
      <w:pPr>
        <w:tabs>
          <w:tab w:val="num" w:pos="5040"/>
        </w:tabs>
        <w:ind w:left="5040" w:hanging="360"/>
      </w:pPr>
    </w:lvl>
    <w:lvl w:ilvl="7" w:tplc="CF56BE8E" w:tentative="1">
      <w:start w:val="1"/>
      <w:numFmt w:val="decimal"/>
      <w:lvlText w:val="%8."/>
      <w:lvlJc w:val="left"/>
      <w:pPr>
        <w:tabs>
          <w:tab w:val="num" w:pos="5760"/>
        </w:tabs>
        <w:ind w:left="5760" w:hanging="360"/>
      </w:pPr>
    </w:lvl>
    <w:lvl w:ilvl="8" w:tplc="01068066" w:tentative="1">
      <w:start w:val="1"/>
      <w:numFmt w:val="decimal"/>
      <w:lvlText w:val="%9."/>
      <w:lvlJc w:val="left"/>
      <w:pPr>
        <w:tabs>
          <w:tab w:val="num" w:pos="6480"/>
        </w:tabs>
        <w:ind w:left="6480" w:hanging="360"/>
      </w:pPr>
    </w:lvl>
  </w:abstractNum>
  <w:abstractNum w:abstractNumId="9" w15:restartNumberingAfterBreak="0">
    <w:nsid w:val="38AE33D0"/>
    <w:multiLevelType w:val="hybridMultilevel"/>
    <w:tmpl w:val="FD6CB1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F6B2B53"/>
    <w:multiLevelType w:val="hybridMultilevel"/>
    <w:tmpl w:val="9D346B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0402A7E"/>
    <w:multiLevelType w:val="hybridMultilevel"/>
    <w:tmpl w:val="9BF821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0792386"/>
    <w:multiLevelType w:val="hybridMultilevel"/>
    <w:tmpl w:val="9FAC074E"/>
    <w:lvl w:ilvl="0" w:tplc="BFA4A6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3B40D3D"/>
    <w:multiLevelType w:val="hybridMultilevel"/>
    <w:tmpl w:val="FEC0A3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DE22A4C"/>
    <w:multiLevelType w:val="hybridMultilevel"/>
    <w:tmpl w:val="A5949D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F040DBA"/>
    <w:multiLevelType w:val="hybridMultilevel"/>
    <w:tmpl w:val="88B4D0B6"/>
    <w:lvl w:ilvl="0" w:tplc="6D16542C">
      <w:start w:val="1"/>
      <w:numFmt w:val="bullet"/>
      <w:lvlText w:val="•"/>
      <w:lvlJc w:val="left"/>
      <w:pPr>
        <w:tabs>
          <w:tab w:val="num" w:pos="720"/>
        </w:tabs>
        <w:ind w:left="720" w:hanging="360"/>
      </w:pPr>
      <w:rPr>
        <w:rFonts w:ascii="Arial" w:hAnsi="Arial" w:hint="default"/>
      </w:rPr>
    </w:lvl>
    <w:lvl w:ilvl="1" w:tplc="925C6CE2" w:tentative="1">
      <w:start w:val="1"/>
      <w:numFmt w:val="bullet"/>
      <w:lvlText w:val="•"/>
      <w:lvlJc w:val="left"/>
      <w:pPr>
        <w:tabs>
          <w:tab w:val="num" w:pos="1440"/>
        </w:tabs>
        <w:ind w:left="1440" w:hanging="360"/>
      </w:pPr>
      <w:rPr>
        <w:rFonts w:ascii="Arial" w:hAnsi="Arial" w:hint="default"/>
      </w:rPr>
    </w:lvl>
    <w:lvl w:ilvl="2" w:tplc="75BC0E5E" w:tentative="1">
      <w:start w:val="1"/>
      <w:numFmt w:val="bullet"/>
      <w:lvlText w:val="•"/>
      <w:lvlJc w:val="left"/>
      <w:pPr>
        <w:tabs>
          <w:tab w:val="num" w:pos="2160"/>
        </w:tabs>
        <w:ind w:left="2160" w:hanging="360"/>
      </w:pPr>
      <w:rPr>
        <w:rFonts w:ascii="Arial" w:hAnsi="Arial" w:hint="default"/>
      </w:rPr>
    </w:lvl>
    <w:lvl w:ilvl="3" w:tplc="8F7C2752" w:tentative="1">
      <w:start w:val="1"/>
      <w:numFmt w:val="bullet"/>
      <w:lvlText w:val="•"/>
      <w:lvlJc w:val="left"/>
      <w:pPr>
        <w:tabs>
          <w:tab w:val="num" w:pos="2880"/>
        </w:tabs>
        <w:ind w:left="2880" w:hanging="360"/>
      </w:pPr>
      <w:rPr>
        <w:rFonts w:ascii="Arial" w:hAnsi="Arial" w:hint="default"/>
      </w:rPr>
    </w:lvl>
    <w:lvl w:ilvl="4" w:tplc="FFF64466" w:tentative="1">
      <w:start w:val="1"/>
      <w:numFmt w:val="bullet"/>
      <w:lvlText w:val="•"/>
      <w:lvlJc w:val="left"/>
      <w:pPr>
        <w:tabs>
          <w:tab w:val="num" w:pos="3600"/>
        </w:tabs>
        <w:ind w:left="3600" w:hanging="360"/>
      </w:pPr>
      <w:rPr>
        <w:rFonts w:ascii="Arial" w:hAnsi="Arial" w:hint="default"/>
      </w:rPr>
    </w:lvl>
    <w:lvl w:ilvl="5" w:tplc="8DD6B3F4" w:tentative="1">
      <w:start w:val="1"/>
      <w:numFmt w:val="bullet"/>
      <w:lvlText w:val="•"/>
      <w:lvlJc w:val="left"/>
      <w:pPr>
        <w:tabs>
          <w:tab w:val="num" w:pos="4320"/>
        </w:tabs>
        <w:ind w:left="4320" w:hanging="360"/>
      </w:pPr>
      <w:rPr>
        <w:rFonts w:ascii="Arial" w:hAnsi="Arial" w:hint="default"/>
      </w:rPr>
    </w:lvl>
    <w:lvl w:ilvl="6" w:tplc="475E53E4" w:tentative="1">
      <w:start w:val="1"/>
      <w:numFmt w:val="bullet"/>
      <w:lvlText w:val="•"/>
      <w:lvlJc w:val="left"/>
      <w:pPr>
        <w:tabs>
          <w:tab w:val="num" w:pos="5040"/>
        </w:tabs>
        <w:ind w:left="5040" w:hanging="360"/>
      </w:pPr>
      <w:rPr>
        <w:rFonts w:ascii="Arial" w:hAnsi="Arial" w:hint="default"/>
      </w:rPr>
    </w:lvl>
    <w:lvl w:ilvl="7" w:tplc="AABA1376" w:tentative="1">
      <w:start w:val="1"/>
      <w:numFmt w:val="bullet"/>
      <w:lvlText w:val="•"/>
      <w:lvlJc w:val="left"/>
      <w:pPr>
        <w:tabs>
          <w:tab w:val="num" w:pos="5760"/>
        </w:tabs>
        <w:ind w:left="5760" w:hanging="360"/>
      </w:pPr>
      <w:rPr>
        <w:rFonts w:ascii="Arial" w:hAnsi="Arial" w:hint="default"/>
      </w:rPr>
    </w:lvl>
    <w:lvl w:ilvl="8" w:tplc="13AC23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F40F10"/>
    <w:multiLevelType w:val="hybridMultilevel"/>
    <w:tmpl w:val="2D4C1E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9F079D"/>
    <w:multiLevelType w:val="hybridMultilevel"/>
    <w:tmpl w:val="7116B87E"/>
    <w:lvl w:ilvl="0" w:tplc="4348A8C0">
      <w:start w:val="2"/>
      <w:numFmt w:val="decimal"/>
      <w:lvlText w:val="%1."/>
      <w:lvlJc w:val="left"/>
      <w:pPr>
        <w:tabs>
          <w:tab w:val="num" w:pos="720"/>
        </w:tabs>
        <w:ind w:left="720" w:hanging="360"/>
      </w:pPr>
    </w:lvl>
    <w:lvl w:ilvl="1" w:tplc="7B08740A">
      <w:numFmt w:val="bullet"/>
      <w:lvlText w:val="–"/>
      <w:lvlJc w:val="left"/>
      <w:pPr>
        <w:tabs>
          <w:tab w:val="num" w:pos="1440"/>
        </w:tabs>
        <w:ind w:left="1440" w:hanging="360"/>
      </w:pPr>
      <w:rPr>
        <w:rFonts w:ascii="Arial" w:hAnsi="Arial" w:hint="default"/>
      </w:rPr>
    </w:lvl>
    <w:lvl w:ilvl="2" w:tplc="120A8C2C" w:tentative="1">
      <w:start w:val="1"/>
      <w:numFmt w:val="decimal"/>
      <w:lvlText w:val="%3."/>
      <w:lvlJc w:val="left"/>
      <w:pPr>
        <w:tabs>
          <w:tab w:val="num" w:pos="2160"/>
        </w:tabs>
        <w:ind w:left="2160" w:hanging="360"/>
      </w:pPr>
    </w:lvl>
    <w:lvl w:ilvl="3" w:tplc="DB92F1D0" w:tentative="1">
      <w:start w:val="1"/>
      <w:numFmt w:val="decimal"/>
      <w:lvlText w:val="%4."/>
      <w:lvlJc w:val="left"/>
      <w:pPr>
        <w:tabs>
          <w:tab w:val="num" w:pos="2880"/>
        </w:tabs>
        <w:ind w:left="2880" w:hanging="360"/>
      </w:pPr>
    </w:lvl>
    <w:lvl w:ilvl="4" w:tplc="4B323982" w:tentative="1">
      <w:start w:val="1"/>
      <w:numFmt w:val="decimal"/>
      <w:lvlText w:val="%5."/>
      <w:lvlJc w:val="left"/>
      <w:pPr>
        <w:tabs>
          <w:tab w:val="num" w:pos="3600"/>
        </w:tabs>
        <w:ind w:left="3600" w:hanging="360"/>
      </w:pPr>
    </w:lvl>
    <w:lvl w:ilvl="5" w:tplc="A71C4B66" w:tentative="1">
      <w:start w:val="1"/>
      <w:numFmt w:val="decimal"/>
      <w:lvlText w:val="%6."/>
      <w:lvlJc w:val="left"/>
      <w:pPr>
        <w:tabs>
          <w:tab w:val="num" w:pos="4320"/>
        </w:tabs>
        <w:ind w:left="4320" w:hanging="360"/>
      </w:pPr>
    </w:lvl>
    <w:lvl w:ilvl="6" w:tplc="0C9076DC" w:tentative="1">
      <w:start w:val="1"/>
      <w:numFmt w:val="decimal"/>
      <w:lvlText w:val="%7."/>
      <w:lvlJc w:val="left"/>
      <w:pPr>
        <w:tabs>
          <w:tab w:val="num" w:pos="5040"/>
        </w:tabs>
        <w:ind w:left="5040" w:hanging="360"/>
      </w:pPr>
    </w:lvl>
    <w:lvl w:ilvl="7" w:tplc="5F941974" w:tentative="1">
      <w:start w:val="1"/>
      <w:numFmt w:val="decimal"/>
      <w:lvlText w:val="%8."/>
      <w:lvlJc w:val="left"/>
      <w:pPr>
        <w:tabs>
          <w:tab w:val="num" w:pos="5760"/>
        </w:tabs>
        <w:ind w:left="5760" w:hanging="360"/>
      </w:pPr>
    </w:lvl>
    <w:lvl w:ilvl="8" w:tplc="0018DC94" w:tentative="1">
      <w:start w:val="1"/>
      <w:numFmt w:val="decimal"/>
      <w:lvlText w:val="%9."/>
      <w:lvlJc w:val="left"/>
      <w:pPr>
        <w:tabs>
          <w:tab w:val="num" w:pos="6480"/>
        </w:tabs>
        <w:ind w:left="6480" w:hanging="360"/>
      </w:pPr>
    </w:lvl>
  </w:abstractNum>
  <w:abstractNum w:abstractNumId="18" w15:restartNumberingAfterBreak="0">
    <w:nsid w:val="5A9A1A8A"/>
    <w:multiLevelType w:val="hybridMultilevel"/>
    <w:tmpl w:val="C9567372"/>
    <w:lvl w:ilvl="0" w:tplc="72A6C800">
      <w:start w:val="1"/>
      <w:numFmt w:val="bullet"/>
      <w:lvlText w:val="•"/>
      <w:lvlJc w:val="left"/>
      <w:pPr>
        <w:tabs>
          <w:tab w:val="num" w:pos="720"/>
        </w:tabs>
        <w:ind w:left="720" w:hanging="360"/>
      </w:pPr>
      <w:rPr>
        <w:rFonts w:ascii="Arial" w:hAnsi="Arial" w:hint="default"/>
      </w:rPr>
    </w:lvl>
    <w:lvl w:ilvl="1" w:tplc="2B326EB0" w:tentative="1">
      <w:start w:val="1"/>
      <w:numFmt w:val="bullet"/>
      <w:lvlText w:val="•"/>
      <w:lvlJc w:val="left"/>
      <w:pPr>
        <w:tabs>
          <w:tab w:val="num" w:pos="1440"/>
        </w:tabs>
        <w:ind w:left="1440" w:hanging="360"/>
      </w:pPr>
      <w:rPr>
        <w:rFonts w:ascii="Arial" w:hAnsi="Arial" w:hint="default"/>
      </w:rPr>
    </w:lvl>
    <w:lvl w:ilvl="2" w:tplc="D8B052B2" w:tentative="1">
      <w:start w:val="1"/>
      <w:numFmt w:val="bullet"/>
      <w:lvlText w:val="•"/>
      <w:lvlJc w:val="left"/>
      <w:pPr>
        <w:tabs>
          <w:tab w:val="num" w:pos="2160"/>
        </w:tabs>
        <w:ind w:left="2160" w:hanging="360"/>
      </w:pPr>
      <w:rPr>
        <w:rFonts w:ascii="Arial" w:hAnsi="Arial" w:hint="default"/>
      </w:rPr>
    </w:lvl>
    <w:lvl w:ilvl="3" w:tplc="09149FEE" w:tentative="1">
      <w:start w:val="1"/>
      <w:numFmt w:val="bullet"/>
      <w:lvlText w:val="•"/>
      <w:lvlJc w:val="left"/>
      <w:pPr>
        <w:tabs>
          <w:tab w:val="num" w:pos="2880"/>
        </w:tabs>
        <w:ind w:left="2880" w:hanging="360"/>
      </w:pPr>
      <w:rPr>
        <w:rFonts w:ascii="Arial" w:hAnsi="Arial" w:hint="default"/>
      </w:rPr>
    </w:lvl>
    <w:lvl w:ilvl="4" w:tplc="E92606A6" w:tentative="1">
      <w:start w:val="1"/>
      <w:numFmt w:val="bullet"/>
      <w:lvlText w:val="•"/>
      <w:lvlJc w:val="left"/>
      <w:pPr>
        <w:tabs>
          <w:tab w:val="num" w:pos="3600"/>
        </w:tabs>
        <w:ind w:left="3600" w:hanging="360"/>
      </w:pPr>
      <w:rPr>
        <w:rFonts w:ascii="Arial" w:hAnsi="Arial" w:hint="default"/>
      </w:rPr>
    </w:lvl>
    <w:lvl w:ilvl="5" w:tplc="78DE68E0" w:tentative="1">
      <w:start w:val="1"/>
      <w:numFmt w:val="bullet"/>
      <w:lvlText w:val="•"/>
      <w:lvlJc w:val="left"/>
      <w:pPr>
        <w:tabs>
          <w:tab w:val="num" w:pos="4320"/>
        </w:tabs>
        <w:ind w:left="4320" w:hanging="360"/>
      </w:pPr>
      <w:rPr>
        <w:rFonts w:ascii="Arial" w:hAnsi="Arial" w:hint="default"/>
      </w:rPr>
    </w:lvl>
    <w:lvl w:ilvl="6" w:tplc="BECC128E" w:tentative="1">
      <w:start w:val="1"/>
      <w:numFmt w:val="bullet"/>
      <w:lvlText w:val="•"/>
      <w:lvlJc w:val="left"/>
      <w:pPr>
        <w:tabs>
          <w:tab w:val="num" w:pos="5040"/>
        </w:tabs>
        <w:ind w:left="5040" w:hanging="360"/>
      </w:pPr>
      <w:rPr>
        <w:rFonts w:ascii="Arial" w:hAnsi="Arial" w:hint="default"/>
      </w:rPr>
    </w:lvl>
    <w:lvl w:ilvl="7" w:tplc="0F1C234C" w:tentative="1">
      <w:start w:val="1"/>
      <w:numFmt w:val="bullet"/>
      <w:lvlText w:val="•"/>
      <w:lvlJc w:val="left"/>
      <w:pPr>
        <w:tabs>
          <w:tab w:val="num" w:pos="5760"/>
        </w:tabs>
        <w:ind w:left="5760" w:hanging="360"/>
      </w:pPr>
      <w:rPr>
        <w:rFonts w:ascii="Arial" w:hAnsi="Arial" w:hint="default"/>
      </w:rPr>
    </w:lvl>
    <w:lvl w:ilvl="8" w:tplc="7116E9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107FF2"/>
    <w:multiLevelType w:val="hybridMultilevel"/>
    <w:tmpl w:val="94E0FA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302554B"/>
    <w:multiLevelType w:val="hybridMultilevel"/>
    <w:tmpl w:val="C3645E5A"/>
    <w:lvl w:ilvl="0" w:tplc="BFA4A6C2">
      <w:start w:val="1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6AF596D"/>
    <w:multiLevelType w:val="hybridMultilevel"/>
    <w:tmpl w:val="C99E2D86"/>
    <w:lvl w:ilvl="0" w:tplc="BA722EC8">
      <w:start w:val="1"/>
      <w:numFmt w:val="bullet"/>
      <w:lvlText w:val="•"/>
      <w:lvlJc w:val="left"/>
      <w:pPr>
        <w:tabs>
          <w:tab w:val="num" w:pos="720"/>
        </w:tabs>
        <w:ind w:left="720" w:hanging="360"/>
      </w:pPr>
      <w:rPr>
        <w:rFonts w:ascii="Arial" w:hAnsi="Arial" w:hint="default"/>
      </w:rPr>
    </w:lvl>
    <w:lvl w:ilvl="1" w:tplc="2B82A42C" w:tentative="1">
      <w:start w:val="1"/>
      <w:numFmt w:val="bullet"/>
      <w:lvlText w:val="•"/>
      <w:lvlJc w:val="left"/>
      <w:pPr>
        <w:tabs>
          <w:tab w:val="num" w:pos="1440"/>
        </w:tabs>
        <w:ind w:left="1440" w:hanging="360"/>
      </w:pPr>
      <w:rPr>
        <w:rFonts w:ascii="Arial" w:hAnsi="Arial" w:hint="default"/>
      </w:rPr>
    </w:lvl>
    <w:lvl w:ilvl="2" w:tplc="B77A412A" w:tentative="1">
      <w:start w:val="1"/>
      <w:numFmt w:val="bullet"/>
      <w:lvlText w:val="•"/>
      <w:lvlJc w:val="left"/>
      <w:pPr>
        <w:tabs>
          <w:tab w:val="num" w:pos="2160"/>
        </w:tabs>
        <w:ind w:left="2160" w:hanging="360"/>
      </w:pPr>
      <w:rPr>
        <w:rFonts w:ascii="Arial" w:hAnsi="Arial" w:hint="default"/>
      </w:rPr>
    </w:lvl>
    <w:lvl w:ilvl="3" w:tplc="4DEE2E28" w:tentative="1">
      <w:start w:val="1"/>
      <w:numFmt w:val="bullet"/>
      <w:lvlText w:val="•"/>
      <w:lvlJc w:val="left"/>
      <w:pPr>
        <w:tabs>
          <w:tab w:val="num" w:pos="2880"/>
        </w:tabs>
        <w:ind w:left="2880" w:hanging="360"/>
      </w:pPr>
      <w:rPr>
        <w:rFonts w:ascii="Arial" w:hAnsi="Arial" w:hint="default"/>
      </w:rPr>
    </w:lvl>
    <w:lvl w:ilvl="4" w:tplc="1A88363C" w:tentative="1">
      <w:start w:val="1"/>
      <w:numFmt w:val="bullet"/>
      <w:lvlText w:val="•"/>
      <w:lvlJc w:val="left"/>
      <w:pPr>
        <w:tabs>
          <w:tab w:val="num" w:pos="3600"/>
        </w:tabs>
        <w:ind w:left="3600" w:hanging="360"/>
      </w:pPr>
      <w:rPr>
        <w:rFonts w:ascii="Arial" w:hAnsi="Arial" w:hint="default"/>
      </w:rPr>
    </w:lvl>
    <w:lvl w:ilvl="5" w:tplc="0DB08DEA" w:tentative="1">
      <w:start w:val="1"/>
      <w:numFmt w:val="bullet"/>
      <w:lvlText w:val="•"/>
      <w:lvlJc w:val="left"/>
      <w:pPr>
        <w:tabs>
          <w:tab w:val="num" w:pos="4320"/>
        </w:tabs>
        <w:ind w:left="4320" w:hanging="360"/>
      </w:pPr>
      <w:rPr>
        <w:rFonts w:ascii="Arial" w:hAnsi="Arial" w:hint="default"/>
      </w:rPr>
    </w:lvl>
    <w:lvl w:ilvl="6" w:tplc="D8CEFACE" w:tentative="1">
      <w:start w:val="1"/>
      <w:numFmt w:val="bullet"/>
      <w:lvlText w:val="•"/>
      <w:lvlJc w:val="left"/>
      <w:pPr>
        <w:tabs>
          <w:tab w:val="num" w:pos="5040"/>
        </w:tabs>
        <w:ind w:left="5040" w:hanging="360"/>
      </w:pPr>
      <w:rPr>
        <w:rFonts w:ascii="Arial" w:hAnsi="Arial" w:hint="default"/>
      </w:rPr>
    </w:lvl>
    <w:lvl w:ilvl="7" w:tplc="66C85E7E" w:tentative="1">
      <w:start w:val="1"/>
      <w:numFmt w:val="bullet"/>
      <w:lvlText w:val="•"/>
      <w:lvlJc w:val="left"/>
      <w:pPr>
        <w:tabs>
          <w:tab w:val="num" w:pos="5760"/>
        </w:tabs>
        <w:ind w:left="5760" w:hanging="360"/>
      </w:pPr>
      <w:rPr>
        <w:rFonts w:ascii="Arial" w:hAnsi="Arial" w:hint="default"/>
      </w:rPr>
    </w:lvl>
    <w:lvl w:ilvl="8" w:tplc="97644712" w:tentative="1">
      <w:start w:val="1"/>
      <w:numFmt w:val="bullet"/>
      <w:lvlText w:val="•"/>
      <w:lvlJc w:val="left"/>
      <w:pPr>
        <w:tabs>
          <w:tab w:val="num" w:pos="6480"/>
        </w:tabs>
        <w:ind w:left="6480" w:hanging="360"/>
      </w:pPr>
      <w:rPr>
        <w:rFonts w:ascii="Arial" w:hAnsi="Arial" w:hint="default"/>
      </w:rPr>
    </w:lvl>
  </w:abstractNum>
  <w:num w:numId="1" w16cid:durableId="1643346777">
    <w:abstractNumId w:val="8"/>
  </w:num>
  <w:num w:numId="2" w16cid:durableId="1701978707">
    <w:abstractNumId w:val="17"/>
  </w:num>
  <w:num w:numId="3" w16cid:durableId="122162487">
    <w:abstractNumId w:val="21"/>
  </w:num>
  <w:num w:numId="4" w16cid:durableId="1109013297">
    <w:abstractNumId w:val="15"/>
  </w:num>
  <w:num w:numId="5" w16cid:durableId="644940898">
    <w:abstractNumId w:val="18"/>
  </w:num>
  <w:num w:numId="6" w16cid:durableId="1112283504">
    <w:abstractNumId w:val="1"/>
  </w:num>
  <w:num w:numId="7" w16cid:durableId="85270767">
    <w:abstractNumId w:val="6"/>
  </w:num>
  <w:num w:numId="8" w16cid:durableId="2052803094">
    <w:abstractNumId w:val="9"/>
  </w:num>
  <w:num w:numId="9" w16cid:durableId="1987053404">
    <w:abstractNumId w:val="16"/>
  </w:num>
  <w:num w:numId="10" w16cid:durableId="1515194890">
    <w:abstractNumId w:val="2"/>
  </w:num>
  <w:num w:numId="11" w16cid:durableId="1907840887">
    <w:abstractNumId w:val="7"/>
  </w:num>
  <w:num w:numId="12" w16cid:durableId="1388340216">
    <w:abstractNumId w:val="13"/>
  </w:num>
  <w:num w:numId="13" w16cid:durableId="148982258">
    <w:abstractNumId w:val="3"/>
  </w:num>
  <w:num w:numId="14" w16cid:durableId="1515993693">
    <w:abstractNumId w:val="10"/>
  </w:num>
  <w:num w:numId="15" w16cid:durableId="1054082322">
    <w:abstractNumId w:val="14"/>
  </w:num>
  <w:num w:numId="16" w16cid:durableId="1718969614">
    <w:abstractNumId w:val="11"/>
  </w:num>
  <w:num w:numId="17" w16cid:durableId="360253526">
    <w:abstractNumId w:val="4"/>
  </w:num>
  <w:num w:numId="18" w16cid:durableId="108357941">
    <w:abstractNumId w:val="19"/>
  </w:num>
  <w:num w:numId="19" w16cid:durableId="1357464717">
    <w:abstractNumId w:val="5"/>
  </w:num>
  <w:num w:numId="20" w16cid:durableId="1625695938">
    <w:abstractNumId w:val="0"/>
  </w:num>
  <w:num w:numId="21" w16cid:durableId="56829485">
    <w:abstractNumId w:val="20"/>
  </w:num>
  <w:num w:numId="22" w16cid:durableId="1978132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E7"/>
    <w:rsid w:val="000E3F3E"/>
    <w:rsid w:val="00121379"/>
    <w:rsid w:val="001B2B31"/>
    <w:rsid w:val="001F47DC"/>
    <w:rsid w:val="00243F33"/>
    <w:rsid w:val="00283810"/>
    <w:rsid w:val="002F4882"/>
    <w:rsid w:val="00415DAD"/>
    <w:rsid w:val="004657B0"/>
    <w:rsid w:val="00481B8C"/>
    <w:rsid w:val="005060DB"/>
    <w:rsid w:val="00506A6D"/>
    <w:rsid w:val="00551764"/>
    <w:rsid w:val="005C5F86"/>
    <w:rsid w:val="005F1A7F"/>
    <w:rsid w:val="006204D5"/>
    <w:rsid w:val="006219EB"/>
    <w:rsid w:val="00653FAF"/>
    <w:rsid w:val="00680A2A"/>
    <w:rsid w:val="006D5E5B"/>
    <w:rsid w:val="006F33AC"/>
    <w:rsid w:val="007A0063"/>
    <w:rsid w:val="007E31A7"/>
    <w:rsid w:val="00815D40"/>
    <w:rsid w:val="00864C4C"/>
    <w:rsid w:val="00867CEA"/>
    <w:rsid w:val="00881A42"/>
    <w:rsid w:val="00886730"/>
    <w:rsid w:val="008D6738"/>
    <w:rsid w:val="009178AA"/>
    <w:rsid w:val="00940EE7"/>
    <w:rsid w:val="00952615"/>
    <w:rsid w:val="009553E9"/>
    <w:rsid w:val="00963B9D"/>
    <w:rsid w:val="00977ECF"/>
    <w:rsid w:val="009B5E84"/>
    <w:rsid w:val="009E520B"/>
    <w:rsid w:val="00A4342E"/>
    <w:rsid w:val="00B543CC"/>
    <w:rsid w:val="00B92745"/>
    <w:rsid w:val="00B9435E"/>
    <w:rsid w:val="00BA3210"/>
    <w:rsid w:val="00BB40EF"/>
    <w:rsid w:val="00BD0CAF"/>
    <w:rsid w:val="00BD17FA"/>
    <w:rsid w:val="00C07721"/>
    <w:rsid w:val="00C25FFF"/>
    <w:rsid w:val="00C65E05"/>
    <w:rsid w:val="00D22715"/>
    <w:rsid w:val="00D47127"/>
    <w:rsid w:val="00D5238D"/>
    <w:rsid w:val="00D61A01"/>
    <w:rsid w:val="00D664D5"/>
    <w:rsid w:val="00D7588B"/>
    <w:rsid w:val="00DA49F6"/>
    <w:rsid w:val="00DD0E95"/>
    <w:rsid w:val="00E24445"/>
    <w:rsid w:val="00E533EF"/>
    <w:rsid w:val="00E603D6"/>
    <w:rsid w:val="00EC4AC9"/>
    <w:rsid w:val="00F77C4A"/>
    <w:rsid w:val="00F939CA"/>
    <w:rsid w:val="00FA0FA8"/>
    <w:rsid w:val="00FB6BB9"/>
    <w:rsid w:val="00FC1811"/>
    <w:rsid w:val="00FE5E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D806"/>
  <w15:chartTrackingRefBased/>
  <w15:docId w15:val="{B1A9C669-80D1-4CC2-BB40-D9F740E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75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758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8D67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7588B"/>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D7588B"/>
    <w:rPr>
      <w:rFonts w:asciiTheme="majorHAnsi" w:eastAsiaTheme="majorEastAsia" w:hAnsiTheme="majorHAnsi" w:cstheme="majorBidi"/>
      <w:color w:val="2F5496" w:themeColor="accent1" w:themeShade="BF"/>
      <w:sz w:val="26"/>
      <w:szCs w:val="26"/>
    </w:rPr>
  </w:style>
  <w:style w:type="paragraph" w:styleId="Loendilik">
    <w:name w:val="List Paragraph"/>
    <w:basedOn w:val="Normaallaad"/>
    <w:uiPriority w:val="34"/>
    <w:qFormat/>
    <w:rsid w:val="00121379"/>
    <w:pPr>
      <w:ind w:left="720"/>
      <w:contextualSpacing/>
    </w:pPr>
  </w:style>
  <w:style w:type="character" w:customStyle="1" w:styleId="Pealkiri3Mrk">
    <w:name w:val="Pealkiri 3 Märk"/>
    <w:basedOn w:val="Liguvaikefont"/>
    <w:link w:val="Pealkiri3"/>
    <w:uiPriority w:val="9"/>
    <w:rsid w:val="008D6738"/>
    <w:rPr>
      <w:rFonts w:asciiTheme="majorHAnsi" w:eastAsiaTheme="majorEastAsia" w:hAnsiTheme="majorHAnsi" w:cstheme="majorBidi"/>
      <w:color w:val="1F3763" w:themeColor="accent1" w:themeShade="7F"/>
      <w:sz w:val="24"/>
      <w:szCs w:val="24"/>
    </w:rPr>
  </w:style>
  <w:style w:type="table" w:styleId="Kontuurtabel">
    <w:name w:val="Table Grid"/>
    <w:basedOn w:val="Normaaltabel"/>
    <w:uiPriority w:val="39"/>
    <w:rsid w:val="00B9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243F33"/>
    <w:rPr>
      <w:color w:val="808080"/>
    </w:rPr>
  </w:style>
  <w:style w:type="paragraph" w:styleId="Pis">
    <w:name w:val="header"/>
    <w:basedOn w:val="Normaallaad"/>
    <w:link w:val="PisMrk"/>
    <w:uiPriority w:val="99"/>
    <w:unhideWhenUsed/>
    <w:rsid w:val="00886730"/>
    <w:pPr>
      <w:tabs>
        <w:tab w:val="center" w:pos="4513"/>
        <w:tab w:val="right" w:pos="9026"/>
      </w:tabs>
      <w:spacing w:after="0" w:line="240" w:lineRule="auto"/>
    </w:pPr>
  </w:style>
  <w:style w:type="character" w:customStyle="1" w:styleId="PisMrk">
    <w:name w:val="Päis Märk"/>
    <w:basedOn w:val="Liguvaikefont"/>
    <w:link w:val="Pis"/>
    <w:uiPriority w:val="99"/>
    <w:rsid w:val="00886730"/>
  </w:style>
  <w:style w:type="paragraph" w:styleId="Jalus">
    <w:name w:val="footer"/>
    <w:basedOn w:val="Normaallaad"/>
    <w:link w:val="JalusMrk"/>
    <w:uiPriority w:val="99"/>
    <w:unhideWhenUsed/>
    <w:rsid w:val="00886730"/>
    <w:pPr>
      <w:tabs>
        <w:tab w:val="center" w:pos="4513"/>
        <w:tab w:val="right" w:pos="9026"/>
      </w:tabs>
      <w:spacing w:after="0" w:line="240" w:lineRule="auto"/>
    </w:pPr>
  </w:style>
  <w:style w:type="character" w:customStyle="1" w:styleId="JalusMrk">
    <w:name w:val="Jalus Märk"/>
    <w:basedOn w:val="Liguvaikefont"/>
    <w:link w:val="Jalus"/>
    <w:uiPriority w:val="99"/>
    <w:rsid w:val="00886730"/>
  </w:style>
  <w:style w:type="paragraph" w:styleId="Jutumullitekst">
    <w:name w:val="Balloon Text"/>
    <w:basedOn w:val="Normaallaad"/>
    <w:link w:val="JutumullitekstMrk"/>
    <w:uiPriority w:val="99"/>
    <w:semiHidden/>
    <w:unhideWhenUsed/>
    <w:rsid w:val="005F1A7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F1A7F"/>
    <w:rPr>
      <w:rFonts w:ascii="Segoe UI" w:hAnsi="Segoe UI" w:cs="Segoe UI"/>
      <w:sz w:val="18"/>
      <w:szCs w:val="18"/>
    </w:rPr>
  </w:style>
  <w:style w:type="paragraph" w:styleId="Sisukorrapealkiri">
    <w:name w:val="TOC Heading"/>
    <w:basedOn w:val="Pealkiri1"/>
    <w:next w:val="Normaallaad"/>
    <w:uiPriority w:val="39"/>
    <w:unhideWhenUsed/>
    <w:qFormat/>
    <w:rsid w:val="00D5238D"/>
    <w:pPr>
      <w:outlineLvl w:val="9"/>
    </w:pPr>
    <w:rPr>
      <w:lang w:val="en-US"/>
    </w:rPr>
  </w:style>
  <w:style w:type="paragraph" w:styleId="SK1">
    <w:name w:val="toc 1"/>
    <w:basedOn w:val="Normaallaad"/>
    <w:next w:val="Normaallaad"/>
    <w:autoRedefine/>
    <w:uiPriority w:val="39"/>
    <w:unhideWhenUsed/>
    <w:rsid w:val="00D5238D"/>
    <w:pPr>
      <w:spacing w:after="100"/>
    </w:pPr>
  </w:style>
  <w:style w:type="paragraph" w:styleId="SK2">
    <w:name w:val="toc 2"/>
    <w:basedOn w:val="Normaallaad"/>
    <w:next w:val="Normaallaad"/>
    <w:autoRedefine/>
    <w:uiPriority w:val="39"/>
    <w:unhideWhenUsed/>
    <w:rsid w:val="00D5238D"/>
    <w:pPr>
      <w:spacing w:after="100"/>
      <w:ind w:left="220"/>
    </w:pPr>
  </w:style>
  <w:style w:type="paragraph" w:styleId="SK3">
    <w:name w:val="toc 3"/>
    <w:basedOn w:val="Normaallaad"/>
    <w:next w:val="Normaallaad"/>
    <w:autoRedefine/>
    <w:uiPriority w:val="39"/>
    <w:unhideWhenUsed/>
    <w:rsid w:val="00D5238D"/>
    <w:pPr>
      <w:spacing w:after="100"/>
      <w:ind w:left="440"/>
    </w:pPr>
  </w:style>
  <w:style w:type="character" w:styleId="Hperlink">
    <w:name w:val="Hyperlink"/>
    <w:basedOn w:val="Liguvaikefont"/>
    <w:uiPriority w:val="99"/>
    <w:unhideWhenUsed/>
    <w:rsid w:val="00D52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690">
      <w:bodyDiv w:val="1"/>
      <w:marLeft w:val="0"/>
      <w:marRight w:val="0"/>
      <w:marTop w:val="0"/>
      <w:marBottom w:val="0"/>
      <w:divBdr>
        <w:top w:val="none" w:sz="0" w:space="0" w:color="auto"/>
        <w:left w:val="none" w:sz="0" w:space="0" w:color="auto"/>
        <w:bottom w:val="none" w:sz="0" w:space="0" w:color="auto"/>
        <w:right w:val="none" w:sz="0" w:space="0" w:color="auto"/>
      </w:divBdr>
      <w:divsChild>
        <w:div w:id="1621186162">
          <w:marLeft w:val="547"/>
          <w:marRight w:val="0"/>
          <w:marTop w:val="115"/>
          <w:marBottom w:val="0"/>
          <w:divBdr>
            <w:top w:val="none" w:sz="0" w:space="0" w:color="auto"/>
            <w:left w:val="none" w:sz="0" w:space="0" w:color="auto"/>
            <w:bottom w:val="none" w:sz="0" w:space="0" w:color="auto"/>
            <w:right w:val="none" w:sz="0" w:space="0" w:color="auto"/>
          </w:divBdr>
        </w:div>
      </w:divsChild>
    </w:div>
    <w:div w:id="104933171">
      <w:bodyDiv w:val="1"/>
      <w:marLeft w:val="0"/>
      <w:marRight w:val="0"/>
      <w:marTop w:val="0"/>
      <w:marBottom w:val="0"/>
      <w:divBdr>
        <w:top w:val="none" w:sz="0" w:space="0" w:color="auto"/>
        <w:left w:val="none" w:sz="0" w:space="0" w:color="auto"/>
        <w:bottom w:val="none" w:sz="0" w:space="0" w:color="auto"/>
        <w:right w:val="none" w:sz="0" w:space="0" w:color="auto"/>
      </w:divBdr>
    </w:div>
    <w:div w:id="218441086">
      <w:bodyDiv w:val="1"/>
      <w:marLeft w:val="0"/>
      <w:marRight w:val="0"/>
      <w:marTop w:val="0"/>
      <w:marBottom w:val="0"/>
      <w:divBdr>
        <w:top w:val="none" w:sz="0" w:space="0" w:color="auto"/>
        <w:left w:val="none" w:sz="0" w:space="0" w:color="auto"/>
        <w:bottom w:val="none" w:sz="0" w:space="0" w:color="auto"/>
        <w:right w:val="none" w:sz="0" w:space="0" w:color="auto"/>
      </w:divBdr>
    </w:div>
    <w:div w:id="321005276">
      <w:bodyDiv w:val="1"/>
      <w:marLeft w:val="0"/>
      <w:marRight w:val="0"/>
      <w:marTop w:val="0"/>
      <w:marBottom w:val="0"/>
      <w:divBdr>
        <w:top w:val="none" w:sz="0" w:space="0" w:color="auto"/>
        <w:left w:val="none" w:sz="0" w:space="0" w:color="auto"/>
        <w:bottom w:val="none" w:sz="0" w:space="0" w:color="auto"/>
        <w:right w:val="none" w:sz="0" w:space="0" w:color="auto"/>
      </w:divBdr>
      <w:divsChild>
        <w:div w:id="383068967">
          <w:marLeft w:val="720"/>
          <w:marRight w:val="0"/>
          <w:marTop w:val="82"/>
          <w:marBottom w:val="0"/>
          <w:divBdr>
            <w:top w:val="none" w:sz="0" w:space="0" w:color="auto"/>
            <w:left w:val="none" w:sz="0" w:space="0" w:color="auto"/>
            <w:bottom w:val="none" w:sz="0" w:space="0" w:color="auto"/>
            <w:right w:val="none" w:sz="0" w:space="0" w:color="auto"/>
          </w:divBdr>
        </w:div>
        <w:div w:id="1681619959">
          <w:marLeft w:val="1080"/>
          <w:marRight w:val="0"/>
          <w:marTop w:val="72"/>
          <w:marBottom w:val="0"/>
          <w:divBdr>
            <w:top w:val="none" w:sz="0" w:space="0" w:color="auto"/>
            <w:left w:val="none" w:sz="0" w:space="0" w:color="auto"/>
            <w:bottom w:val="none" w:sz="0" w:space="0" w:color="auto"/>
            <w:right w:val="none" w:sz="0" w:space="0" w:color="auto"/>
          </w:divBdr>
        </w:div>
        <w:div w:id="259489290">
          <w:marLeft w:val="1080"/>
          <w:marRight w:val="0"/>
          <w:marTop w:val="72"/>
          <w:marBottom w:val="0"/>
          <w:divBdr>
            <w:top w:val="none" w:sz="0" w:space="0" w:color="auto"/>
            <w:left w:val="none" w:sz="0" w:space="0" w:color="auto"/>
            <w:bottom w:val="none" w:sz="0" w:space="0" w:color="auto"/>
            <w:right w:val="none" w:sz="0" w:space="0" w:color="auto"/>
          </w:divBdr>
        </w:div>
        <w:div w:id="1560826562">
          <w:marLeft w:val="1080"/>
          <w:marRight w:val="0"/>
          <w:marTop w:val="72"/>
          <w:marBottom w:val="0"/>
          <w:divBdr>
            <w:top w:val="none" w:sz="0" w:space="0" w:color="auto"/>
            <w:left w:val="none" w:sz="0" w:space="0" w:color="auto"/>
            <w:bottom w:val="none" w:sz="0" w:space="0" w:color="auto"/>
            <w:right w:val="none" w:sz="0" w:space="0" w:color="auto"/>
          </w:divBdr>
        </w:div>
        <w:div w:id="314337898">
          <w:marLeft w:val="720"/>
          <w:marRight w:val="0"/>
          <w:marTop w:val="82"/>
          <w:marBottom w:val="0"/>
          <w:divBdr>
            <w:top w:val="none" w:sz="0" w:space="0" w:color="auto"/>
            <w:left w:val="none" w:sz="0" w:space="0" w:color="auto"/>
            <w:bottom w:val="none" w:sz="0" w:space="0" w:color="auto"/>
            <w:right w:val="none" w:sz="0" w:space="0" w:color="auto"/>
          </w:divBdr>
        </w:div>
        <w:div w:id="1912546775">
          <w:marLeft w:val="1080"/>
          <w:marRight w:val="0"/>
          <w:marTop w:val="72"/>
          <w:marBottom w:val="0"/>
          <w:divBdr>
            <w:top w:val="none" w:sz="0" w:space="0" w:color="auto"/>
            <w:left w:val="none" w:sz="0" w:space="0" w:color="auto"/>
            <w:bottom w:val="none" w:sz="0" w:space="0" w:color="auto"/>
            <w:right w:val="none" w:sz="0" w:space="0" w:color="auto"/>
          </w:divBdr>
        </w:div>
        <w:div w:id="695158614">
          <w:marLeft w:val="1080"/>
          <w:marRight w:val="0"/>
          <w:marTop w:val="72"/>
          <w:marBottom w:val="0"/>
          <w:divBdr>
            <w:top w:val="none" w:sz="0" w:space="0" w:color="auto"/>
            <w:left w:val="none" w:sz="0" w:space="0" w:color="auto"/>
            <w:bottom w:val="none" w:sz="0" w:space="0" w:color="auto"/>
            <w:right w:val="none" w:sz="0" w:space="0" w:color="auto"/>
          </w:divBdr>
        </w:div>
        <w:div w:id="1682731707">
          <w:marLeft w:val="1080"/>
          <w:marRight w:val="0"/>
          <w:marTop w:val="72"/>
          <w:marBottom w:val="0"/>
          <w:divBdr>
            <w:top w:val="none" w:sz="0" w:space="0" w:color="auto"/>
            <w:left w:val="none" w:sz="0" w:space="0" w:color="auto"/>
            <w:bottom w:val="none" w:sz="0" w:space="0" w:color="auto"/>
            <w:right w:val="none" w:sz="0" w:space="0" w:color="auto"/>
          </w:divBdr>
        </w:div>
      </w:divsChild>
    </w:div>
    <w:div w:id="475221936">
      <w:bodyDiv w:val="1"/>
      <w:marLeft w:val="0"/>
      <w:marRight w:val="0"/>
      <w:marTop w:val="0"/>
      <w:marBottom w:val="0"/>
      <w:divBdr>
        <w:top w:val="none" w:sz="0" w:space="0" w:color="auto"/>
        <w:left w:val="none" w:sz="0" w:space="0" w:color="auto"/>
        <w:bottom w:val="none" w:sz="0" w:space="0" w:color="auto"/>
        <w:right w:val="none" w:sz="0" w:space="0" w:color="auto"/>
      </w:divBdr>
      <w:divsChild>
        <w:div w:id="1991522803">
          <w:marLeft w:val="547"/>
          <w:marRight w:val="0"/>
          <w:marTop w:val="115"/>
          <w:marBottom w:val="0"/>
          <w:divBdr>
            <w:top w:val="none" w:sz="0" w:space="0" w:color="auto"/>
            <w:left w:val="none" w:sz="0" w:space="0" w:color="auto"/>
            <w:bottom w:val="none" w:sz="0" w:space="0" w:color="auto"/>
            <w:right w:val="none" w:sz="0" w:space="0" w:color="auto"/>
          </w:divBdr>
        </w:div>
        <w:div w:id="510411385">
          <w:marLeft w:val="547"/>
          <w:marRight w:val="0"/>
          <w:marTop w:val="115"/>
          <w:marBottom w:val="0"/>
          <w:divBdr>
            <w:top w:val="none" w:sz="0" w:space="0" w:color="auto"/>
            <w:left w:val="none" w:sz="0" w:space="0" w:color="auto"/>
            <w:bottom w:val="none" w:sz="0" w:space="0" w:color="auto"/>
            <w:right w:val="none" w:sz="0" w:space="0" w:color="auto"/>
          </w:divBdr>
        </w:div>
        <w:div w:id="864828798">
          <w:marLeft w:val="547"/>
          <w:marRight w:val="0"/>
          <w:marTop w:val="115"/>
          <w:marBottom w:val="0"/>
          <w:divBdr>
            <w:top w:val="none" w:sz="0" w:space="0" w:color="auto"/>
            <w:left w:val="none" w:sz="0" w:space="0" w:color="auto"/>
            <w:bottom w:val="none" w:sz="0" w:space="0" w:color="auto"/>
            <w:right w:val="none" w:sz="0" w:space="0" w:color="auto"/>
          </w:divBdr>
        </w:div>
      </w:divsChild>
    </w:div>
    <w:div w:id="632252472">
      <w:bodyDiv w:val="1"/>
      <w:marLeft w:val="0"/>
      <w:marRight w:val="0"/>
      <w:marTop w:val="0"/>
      <w:marBottom w:val="0"/>
      <w:divBdr>
        <w:top w:val="none" w:sz="0" w:space="0" w:color="auto"/>
        <w:left w:val="none" w:sz="0" w:space="0" w:color="auto"/>
        <w:bottom w:val="none" w:sz="0" w:space="0" w:color="auto"/>
        <w:right w:val="none" w:sz="0" w:space="0" w:color="auto"/>
      </w:divBdr>
      <w:divsChild>
        <w:div w:id="1917014183">
          <w:marLeft w:val="547"/>
          <w:marRight w:val="0"/>
          <w:marTop w:val="115"/>
          <w:marBottom w:val="0"/>
          <w:divBdr>
            <w:top w:val="none" w:sz="0" w:space="0" w:color="auto"/>
            <w:left w:val="none" w:sz="0" w:space="0" w:color="auto"/>
            <w:bottom w:val="none" w:sz="0" w:space="0" w:color="auto"/>
            <w:right w:val="none" w:sz="0" w:space="0" w:color="auto"/>
          </w:divBdr>
        </w:div>
        <w:div w:id="1000812676">
          <w:marLeft w:val="547"/>
          <w:marRight w:val="0"/>
          <w:marTop w:val="115"/>
          <w:marBottom w:val="0"/>
          <w:divBdr>
            <w:top w:val="none" w:sz="0" w:space="0" w:color="auto"/>
            <w:left w:val="none" w:sz="0" w:space="0" w:color="auto"/>
            <w:bottom w:val="none" w:sz="0" w:space="0" w:color="auto"/>
            <w:right w:val="none" w:sz="0" w:space="0" w:color="auto"/>
          </w:divBdr>
        </w:div>
        <w:div w:id="61831260">
          <w:marLeft w:val="547"/>
          <w:marRight w:val="0"/>
          <w:marTop w:val="115"/>
          <w:marBottom w:val="0"/>
          <w:divBdr>
            <w:top w:val="none" w:sz="0" w:space="0" w:color="auto"/>
            <w:left w:val="none" w:sz="0" w:space="0" w:color="auto"/>
            <w:bottom w:val="none" w:sz="0" w:space="0" w:color="auto"/>
            <w:right w:val="none" w:sz="0" w:space="0" w:color="auto"/>
          </w:divBdr>
        </w:div>
        <w:div w:id="1577207787">
          <w:marLeft w:val="547"/>
          <w:marRight w:val="0"/>
          <w:marTop w:val="115"/>
          <w:marBottom w:val="0"/>
          <w:divBdr>
            <w:top w:val="none" w:sz="0" w:space="0" w:color="auto"/>
            <w:left w:val="none" w:sz="0" w:space="0" w:color="auto"/>
            <w:bottom w:val="none" w:sz="0" w:space="0" w:color="auto"/>
            <w:right w:val="none" w:sz="0" w:space="0" w:color="auto"/>
          </w:divBdr>
        </w:div>
      </w:divsChild>
    </w:div>
    <w:div w:id="697045328">
      <w:bodyDiv w:val="1"/>
      <w:marLeft w:val="0"/>
      <w:marRight w:val="0"/>
      <w:marTop w:val="0"/>
      <w:marBottom w:val="0"/>
      <w:divBdr>
        <w:top w:val="none" w:sz="0" w:space="0" w:color="auto"/>
        <w:left w:val="none" w:sz="0" w:space="0" w:color="auto"/>
        <w:bottom w:val="none" w:sz="0" w:space="0" w:color="auto"/>
        <w:right w:val="none" w:sz="0" w:space="0" w:color="auto"/>
      </w:divBdr>
    </w:div>
    <w:div w:id="813714398">
      <w:bodyDiv w:val="1"/>
      <w:marLeft w:val="0"/>
      <w:marRight w:val="0"/>
      <w:marTop w:val="0"/>
      <w:marBottom w:val="0"/>
      <w:divBdr>
        <w:top w:val="none" w:sz="0" w:space="0" w:color="auto"/>
        <w:left w:val="none" w:sz="0" w:space="0" w:color="auto"/>
        <w:bottom w:val="none" w:sz="0" w:space="0" w:color="auto"/>
        <w:right w:val="none" w:sz="0" w:space="0" w:color="auto"/>
      </w:divBdr>
      <w:divsChild>
        <w:div w:id="713164213">
          <w:marLeft w:val="547"/>
          <w:marRight w:val="0"/>
          <w:marTop w:val="115"/>
          <w:marBottom w:val="0"/>
          <w:divBdr>
            <w:top w:val="none" w:sz="0" w:space="0" w:color="auto"/>
            <w:left w:val="none" w:sz="0" w:space="0" w:color="auto"/>
            <w:bottom w:val="none" w:sz="0" w:space="0" w:color="auto"/>
            <w:right w:val="none" w:sz="0" w:space="0" w:color="auto"/>
          </w:divBdr>
        </w:div>
        <w:div w:id="383794543">
          <w:marLeft w:val="547"/>
          <w:marRight w:val="0"/>
          <w:marTop w:val="115"/>
          <w:marBottom w:val="0"/>
          <w:divBdr>
            <w:top w:val="none" w:sz="0" w:space="0" w:color="auto"/>
            <w:left w:val="none" w:sz="0" w:space="0" w:color="auto"/>
            <w:bottom w:val="none" w:sz="0" w:space="0" w:color="auto"/>
            <w:right w:val="none" w:sz="0" w:space="0" w:color="auto"/>
          </w:divBdr>
        </w:div>
        <w:div w:id="1865709261">
          <w:marLeft w:val="547"/>
          <w:marRight w:val="0"/>
          <w:marTop w:val="115"/>
          <w:marBottom w:val="0"/>
          <w:divBdr>
            <w:top w:val="none" w:sz="0" w:space="0" w:color="auto"/>
            <w:left w:val="none" w:sz="0" w:space="0" w:color="auto"/>
            <w:bottom w:val="none" w:sz="0" w:space="0" w:color="auto"/>
            <w:right w:val="none" w:sz="0" w:space="0" w:color="auto"/>
          </w:divBdr>
        </w:div>
        <w:div w:id="754325210">
          <w:marLeft w:val="547"/>
          <w:marRight w:val="0"/>
          <w:marTop w:val="115"/>
          <w:marBottom w:val="0"/>
          <w:divBdr>
            <w:top w:val="none" w:sz="0" w:space="0" w:color="auto"/>
            <w:left w:val="none" w:sz="0" w:space="0" w:color="auto"/>
            <w:bottom w:val="none" w:sz="0" w:space="0" w:color="auto"/>
            <w:right w:val="none" w:sz="0" w:space="0" w:color="auto"/>
          </w:divBdr>
        </w:div>
      </w:divsChild>
    </w:div>
    <w:div w:id="1642734910">
      <w:bodyDiv w:val="1"/>
      <w:marLeft w:val="0"/>
      <w:marRight w:val="0"/>
      <w:marTop w:val="0"/>
      <w:marBottom w:val="0"/>
      <w:divBdr>
        <w:top w:val="none" w:sz="0" w:space="0" w:color="auto"/>
        <w:left w:val="none" w:sz="0" w:space="0" w:color="auto"/>
        <w:bottom w:val="none" w:sz="0" w:space="0" w:color="auto"/>
        <w:right w:val="none" w:sz="0" w:space="0" w:color="auto"/>
      </w:divBdr>
      <w:divsChild>
        <w:div w:id="1501383174">
          <w:marLeft w:val="547"/>
          <w:marRight w:val="0"/>
          <w:marTop w:val="106"/>
          <w:marBottom w:val="0"/>
          <w:divBdr>
            <w:top w:val="none" w:sz="0" w:space="0" w:color="auto"/>
            <w:left w:val="none" w:sz="0" w:space="0" w:color="auto"/>
            <w:bottom w:val="none" w:sz="0" w:space="0" w:color="auto"/>
            <w:right w:val="none" w:sz="0" w:space="0" w:color="auto"/>
          </w:divBdr>
        </w:div>
        <w:div w:id="1185636177">
          <w:marLeft w:val="1080"/>
          <w:marRight w:val="0"/>
          <w:marTop w:val="91"/>
          <w:marBottom w:val="0"/>
          <w:divBdr>
            <w:top w:val="none" w:sz="0" w:space="0" w:color="auto"/>
            <w:left w:val="none" w:sz="0" w:space="0" w:color="auto"/>
            <w:bottom w:val="none" w:sz="0" w:space="0" w:color="auto"/>
            <w:right w:val="none" w:sz="0" w:space="0" w:color="auto"/>
          </w:divBdr>
        </w:div>
        <w:div w:id="2106026637">
          <w:marLeft w:val="1080"/>
          <w:marRight w:val="0"/>
          <w:marTop w:val="91"/>
          <w:marBottom w:val="0"/>
          <w:divBdr>
            <w:top w:val="none" w:sz="0" w:space="0" w:color="auto"/>
            <w:left w:val="none" w:sz="0" w:space="0" w:color="auto"/>
            <w:bottom w:val="none" w:sz="0" w:space="0" w:color="auto"/>
            <w:right w:val="none" w:sz="0" w:space="0" w:color="auto"/>
          </w:divBdr>
        </w:div>
        <w:div w:id="1672953734">
          <w:marLeft w:val="547"/>
          <w:marRight w:val="0"/>
          <w:marTop w:val="106"/>
          <w:marBottom w:val="0"/>
          <w:divBdr>
            <w:top w:val="none" w:sz="0" w:space="0" w:color="auto"/>
            <w:left w:val="none" w:sz="0" w:space="0" w:color="auto"/>
            <w:bottom w:val="none" w:sz="0" w:space="0" w:color="auto"/>
            <w:right w:val="none" w:sz="0" w:space="0" w:color="auto"/>
          </w:divBdr>
        </w:div>
        <w:div w:id="1877504091">
          <w:marLeft w:val="1080"/>
          <w:marRight w:val="0"/>
          <w:marTop w:val="91"/>
          <w:marBottom w:val="0"/>
          <w:divBdr>
            <w:top w:val="none" w:sz="0" w:space="0" w:color="auto"/>
            <w:left w:val="none" w:sz="0" w:space="0" w:color="auto"/>
            <w:bottom w:val="none" w:sz="0" w:space="0" w:color="auto"/>
            <w:right w:val="none" w:sz="0" w:space="0" w:color="auto"/>
          </w:divBdr>
        </w:div>
        <w:div w:id="1340693236">
          <w:marLeft w:val="1080"/>
          <w:marRight w:val="0"/>
          <w:marTop w:val="91"/>
          <w:marBottom w:val="0"/>
          <w:divBdr>
            <w:top w:val="none" w:sz="0" w:space="0" w:color="auto"/>
            <w:left w:val="none" w:sz="0" w:space="0" w:color="auto"/>
            <w:bottom w:val="none" w:sz="0" w:space="0" w:color="auto"/>
            <w:right w:val="none" w:sz="0" w:space="0" w:color="auto"/>
          </w:divBdr>
        </w:div>
      </w:divsChild>
    </w:div>
    <w:div w:id="20212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00C2-0FE2-4AFB-A8A2-6B91AC38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1992</Words>
  <Characters>11558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Solvak</dc:creator>
  <cp:keywords/>
  <dc:description/>
  <cp:lastModifiedBy>Ingrid Kuusik</cp:lastModifiedBy>
  <cp:revision>2</cp:revision>
  <cp:lastPrinted>2023-09-20T05:26:00Z</cp:lastPrinted>
  <dcterms:created xsi:type="dcterms:W3CDTF">2024-01-12T09:35:00Z</dcterms:created>
  <dcterms:modified xsi:type="dcterms:W3CDTF">2024-01-12T09:35:00Z</dcterms:modified>
</cp:coreProperties>
</file>