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TableGrid"/>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Header"/>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a:graphic xmlns:a="http://schemas.openxmlformats.org/drawingml/2006/main">
                    <a:graphicData uri="http://schemas.openxmlformats.org/drawingml/2006/picture">
                      <pic:pic xmlns:pic="http://schemas.openxmlformats.org/drawingml/2006/picture">
                        <pic:nvPicPr>
                          <pic:cNvPr id="0" name="Pilt 3"/>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Header"/>
              <w:tabs>
                <w:tab w:pos="4536" w:val="clear" w:leader="none"/>
                <w:tab w:pos="9072" w:val="clear" w:leader="none"/>
              </w:tabs>
              <w:ind w:right="-108"/>
              <w:jc w:val="right"/>
              <w:rPr>
                <w:sz w:val="60"/>
              </w:rPr>
            </w:pPr>
          </w:p>
        </w:tc>
        <w:tc>
          <w:tcPr>
            <w:tcW w:w="3402" w:type="dxa"/>
            <w:vMerge w:val="restart"/>
          </w:tcPr>
          <w:p>
            <w:pPr>
              <w:pStyle w:val="Header"/>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Header"/>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Header"/>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p>
    <w:p>
      <w:pPr>
        <w:tabs>
          <w:tab w:pos="5529" w:val="left" w:leader="none"/>
        </w:tabs>
        <w:rPr/>
      </w:pPr>
      <w:r>
        <w:rPr/>
        <w:t>Päästeamet Lõuna Päästekeskus</w:t>
      </w:r>
    </w:p>
    <w:p>
      <w:pPr>
        <w:tabs>
          <w:tab w:pos="5954" w:val="left" w:leader="none"/>
        </w:tabs>
        <w:rPr/>
      </w:pPr>
    </w:p>
    <w:p>
      <w:pPr>
        <w:tabs>
          <w:tab w:pos="5954" w:val="left" w:leader="none"/>
        </w:tabs>
        <w:rPr/>
      </w:pPr>
      <w:r>
        <w:rPr/>
        <w:tab/>
      </w:r>
      <w:r>
        <w:rPr/>
        <w:t xml:space="preserve">Meie </w:t>
      </w:r>
      <w:r>
        <w:rPr/>
        <w:t>22.07.2025 nr 7-1/2084</w:t>
      </w:r>
    </w:p>
    <w:p>
      <w:pPr>
        <w:tabs>
          <w:tab w:pos="1591" w:val="left" w:leader="none"/>
        </w:tabs>
        <w:rPr/>
      </w:pPr>
    </w:p>
    <w:p>
      <w:pPr>
        <w:rPr/>
      </w:pPr>
    </w:p>
    <w:p>
      <w:pPr>
        <w:ind w:right="4677"/>
        <w:rPr/>
      </w:pPr>
      <w:r>
        <w:rPr/>
        <w:t>Kose tee 57 detailplaneeringu kehtestamine</w:t>
      </w:r>
    </w:p>
    <w:p>
      <w:pPr>
        <w:rPr/>
      </w:pPr>
    </w:p>
    <w:p>
      <w:pPr>
        <w:rPr/>
      </w:pPr>
    </w:p>
    <w:p>
      <w:pPr>
        <w:rPr>
          <w:shd w:fill="FFFFFF" w:color="auto" w:val="clear"/>
        </w:rPr>
      </w:pPr>
      <w:r>
        <w:rPr/>
        <w:t>Tuginedes planeerimisseaduse § 139 lg 6 p 4, anname teada, et</w:t>
      </w:r>
      <w:r>
        <w:rPr/>
        <w:t xml:space="preserve"> </w:t>
      </w:r>
      <w:r>
        <w:rPr>
          <w:shd w:fill="FFFFFF" w:color="auto" w:val="clear"/>
        </w:rPr>
        <w:t>Võru Vallavalitsus kehtestas</w:t>
      </w:r>
      <w:r>
        <w:rPr/>
        <w:t xml:space="preserve"> </w:t>
      </w:r>
      <w:r>
        <w:fldChar w:fldCharType="begin" w:fldLock="false" w:dirty="false"/>
      </w:r>
      <w:r>
        <w:rPr/>
        <w:instrText xml:space="preserve"> HYPERLINK "" </w:instrText>
      </w:r>
      <w:r>
        <w:fldChar w:fldCharType="separate"/>
      </w:r>
      <w:r>
        <w:rPr>
          <w:shd w:fill="FFFFFF" w:color="auto" w:val="clear"/>
        </w:rPr>
        <w:t>01.07.2025 korraldusega nr 427</w:t>
      </w:r>
      <w:r>
        <w:fldChar w:fldCharType="end"/>
      </w:r>
      <w:r>
        <w:rPr/>
        <w:t xml:space="preserve"> </w:t>
      </w:r>
      <w:r>
        <w:rPr>
          <w:shd w:fill="FFFFFF" w:color="auto" w:val="clear"/>
        </w:rPr>
        <w:t xml:space="preserve">(kättesaadav </w:t>
      </w:r>
      <w:r>
        <w:fldChar w:fldCharType="begin" w:fldLock="false" w:dirty="false"/>
      </w:r>
      <w:r>
        <w:rPr/>
        <w:instrText xml:space="preserve"> HYPERLINK "https://atp.amphora.ee/voruvv2017/index.aspx?itm=767309" </w:instrText>
      </w:r>
      <w:r>
        <w:fldChar w:fldCharType="separate"/>
      </w:r>
      <w:r>
        <w:rPr>
          <w:rStyle w:val="Hyperlink"/>
          <w:shd w:fill="FFFFFF" w:color="auto" w:val="clear"/>
        </w:rPr>
        <w:t>https://atp.amphora.ee/voruvv2017/index.aspx?itm=767309</w:t>
      </w:r>
      <w:r>
        <w:fldChar w:fldCharType="end"/>
      </w:r>
      <w:r>
        <w:rPr>
          <w:shd w:fill="FFFFFF" w:color="auto" w:val="clear"/>
        </w:rPr>
        <w:t>) Verijärve külas Kose tee 57 katastriüksuse detailplaneeringu. Detailplaneeringu ala asub Võru vallas Verijärve külas Kose tee 57 ja Reitsaku tee katastriüksustel. Detailplaneeringuala pindala on umbes 1,8 hektarit.</w:t>
      </w:r>
    </w:p>
    <w:p>
      <w:pPr>
        <w:rPr/>
      </w:pPr>
    </w:p>
    <w:p>
      <w:pPr>
        <w:spacing w:after="150"/>
        <w:jc w:val="both"/>
        <w:rPr/>
      </w:pPr>
      <w:r>
        <w:fldChar w:fldCharType="begin" w:fldLock="false" w:dirty="false"/>
      </w:r>
      <w:r>
        <w:rPr/>
        <w:instrText xml:space="preserve"> HYPERLINK "" </w:instrText>
      </w:r>
      <w:r>
        <w:fldChar w:fldCharType="separate"/>
      </w:r>
      <w:r>
        <w:rPr>
          <w:shd w:fill="FFFFFF" w:color="auto" w:val="clear"/>
        </w:rPr>
        <w:t>Detailplaneeringu</w:t>
      </w:r>
      <w:r>
        <w:fldChar w:fldCharType="end"/>
      </w:r>
      <w:r>
        <w:rPr/>
        <w:t xml:space="preserve"> </w:t>
      </w:r>
      <w:r>
        <w:rPr>
          <w:shd w:fill="FFFFFF" w:color="auto" w:val="clear"/>
        </w:rPr>
        <w:t xml:space="preserve">(vt </w:t>
      </w:r>
      <w:r>
        <w:fldChar w:fldCharType="begin" w:fldLock="false" w:dirty="false"/>
      </w:r>
      <w:r>
        <w:rPr/>
        <w:instrText xml:space="preserve"> HYPERLINK "https://atp.amphora.ee/voruvv2017/index.aspx?itm=745681" </w:instrText>
      </w:r>
      <w:r>
        <w:fldChar w:fldCharType="separate"/>
      </w:r>
      <w:r>
        <w:rPr>
          <w:rStyle w:val="Hyperlink"/>
          <w:shd w:fill="FFFFFF" w:color="auto" w:val="clear"/>
        </w:rPr>
        <w:t>https://atp.amphora.ee/voruvv2017/index.aspx?itm=745681</w:t>
      </w:r>
      <w:r>
        <w:fldChar w:fldCharType="end"/>
      </w:r>
      <w:r>
        <w:rPr>
          <w:shd w:fill="FFFFFF" w:color="auto" w:val="clear"/>
        </w:rPr>
        <w:t>) elluviimisel jagatakse maa-ala üheteistkümneks krundiks: üks krunt tänava rajamiseks ning kümme krunti üksikelamute ja nende abihoonete ehitamiseks. Moodustatavad elamumaa kruntide pindalad jäävad vahemikku 1467 m² kuni 1542 m². Elamukruntidele on õigus ehitada üks üksikelamu ja üks abihoone. Hoonete suurim lubatud ehitusalune pind krundil on 300 m². Suurim lubatud kõrgus elamul on 8 m ja abihoonel 5 m. Lisaks ehitusõigusega määratud hoonetele võib igale krundile ehitada kaks kuni 20 m² ehitisealuse pinna</w:t>
      </w:r>
      <w:r>
        <w:rPr>
          <w:shd w:fill="FFFFFF" w:color="auto" w:val="clear"/>
        </w:rPr>
        <w:t>ga hoonet. Kõik hooned peavad paiknema hoonestusalas.</w:t>
      </w:r>
    </w:p>
    <w:p>
      <w:pPr>
        <w:spacing w:after="150"/>
        <w:jc w:val="both"/>
        <w:rPr/>
      </w:pPr>
      <w:r>
        <w:rPr>
          <w:shd w:fill="FFFFFF" w:color="auto" w:val="clear"/>
        </w:rPr>
        <w:t>Kehtiva Võru valla üldplaneeringu (kehtestatud Võru Vallavolikogu 20.11.2024 otsusega nr 180) järgi asub detailplaneeringu ala väikeelamumaa juhtotstarbega alal. Kose tee 57 detailplaneeringu kehtestamise järgselt moodustatakse alale kümme elamumaa krunti üksikelamutele ja nende abihoonetele. Seega on detailplaneering koostatud kooskõlas kehtiva Võru valla üldplaneeringuga.</w:t>
      </w:r>
    </w:p>
    <w:p>
      <w:pPr>
        <w:spacing w:after="150"/>
        <w:jc w:val="both"/>
        <w:rPr/>
      </w:pPr>
      <w:r>
        <w:rPr>
          <w:shd w:fill="FFFFFF" w:color="auto" w:val="clear"/>
        </w:rPr>
        <w:t>Detailplaneeringuga ei näha ette keskkonnamõju hindamise ja keskkonnajuhtimissüsteemi seaduse §-s 6 nimetatud olulise keskkonnamõjuga tegevusi. Arvestades kavandatud tegevuse mahtu, iseloomu ja paiknemist ei saa eeldada, et detailplaneeringu elluviimisega ning rajatiste sihipärase kasutamisega kaasneks oluliselt negatiivseid majanduslikke, sotsiaalseid, kultuurilisi mõjusid ning olulist negatiivset mõju looduskeskkonnale.</w:t>
      </w:r>
    </w:p>
    <w:p>
      <w:pPr>
        <w:spacing w:after="150"/>
        <w:jc w:val="both"/>
        <w:rPr/>
      </w:pPr>
      <w:r>
        <w:rPr>
          <w:shd w:fill="FFFFFF" w:color="auto" w:val="clear"/>
        </w:rPr>
        <w:t>Kehtestatud detailplaneeringuga saab edaspidi tutvuda riiklikus planeeringute andmekogus (</w:t>
      </w:r>
      <w:r>
        <w:fldChar w:fldCharType="begin" w:fldLock="false" w:dirty="false"/>
      </w:r>
      <w:r>
        <w:rPr/>
        <w:instrText xml:space="preserve"> HYPERLINK "http://www.planeeringud.ee" </w:instrText>
      </w:r>
      <w:r>
        <w:fldChar w:fldCharType="separate"/>
      </w:r>
      <w:r>
        <w:rPr>
          <w:rStyle w:val="Hyperlink"/>
          <w:shd w:fill="FFFFFF" w:color="auto" w:val="clear"/>
        </w:rPr>
        <w:t>www.planeeringud.ee</w:t>
      </w:r>
      <w:r>
        <w:fldChar w:fldCharType="end"/>
      </w:r>
      <w:r>
        <w:rPr/>
        <w:t xml:space="preserve"> </w:t>
      </w:r>
      <w:r>
        <w:rPr>
          <w:shd w:fill="FFFFFF" w:color="auto" w:val="clear"/>
        </w:rPr>
        <w:t>).</w:t>
      </w:r>
    </w:p>
    <w:p>
      <w:pPr>
        <w:rPr/>
      </w:pPr>
    </w:p>
    <w:p>
      <w:pPr>
        <w:rPr/>
      </w:pPr>
    </w:p>
    <w:p>
      <w:pPr>
        <w:rPr/>
      </w:pPr>
      <w:r>
        <w:rPr/>
        <w:t>Lugupidamisega</w:t>
      </w:r>
    </w:p>
    <w:p>
      <w:pPr>
        <w:tabs>
          <w:tab w:pos="3540" w:val="left" w:leader="none"/>
        </w:tabs>
        <w:rPr/>
      </w:pPr>
    </w:p>
    <w:p>
      <w:pPr>
        <w:rPr/>
      </w:pPr>
    </w:p>
    <w:p>
      <w:pPr>
        <w:rPr/>
      </w:pPr>
      <w:r>
        <w:rPr/>
        <w:t>(allkirjastatud digitaalselt)</w:t>
      </w:r>
    </w:p>
    <w:p>
      <w:pPr>
        <w:rPr/>
      </w:pPr>
      <w:r>
        <w:rPr/>
        <w:t>Triinu Jürisaar</w:t>
      </w:r>
    </w:p>
    <w:p>
      <w:pPr>
        <w:rPr/>
      </w:pPr>
      <w:r>
        <w:rPr/>
        <w:t>planeeringuspetsialist</w:t>
      </w:r>
    </w:p>
    <w:p>
      <w:pPr>
        <w:rPr/>
      </w:pPr>
    </w:p>
    <w:p>
      <w:pPr>
        <w:rPr/>
      </w:pPr>
      <w:r>
        <w:rPr/>
        <w:t xml:space="preserve">5696 5750 triinu.jurisaar@voruvald.ee </w:t>
      </w:r>
    </w:p>
    <w:p>
      <w:pPr>
        <w:tabs>
          <w:tab w:pos="5954"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Footer"/>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TableGrid"/>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22.07.2025"/>
    <w:docVar w:name="CURDATE" w:val="22.07.2025"/>
    <w:docVar w:name="CURDATETIME" w:val="22.07.2025 11:10"/>
    <w:docVar w:name="CURTIME" w:val="11:10"/>
    <w:docVar w:name="CURUSER" w:val="Triinu Jürisaar"/>
    <w:docVar w:name="CURUSEREMAIL" w:val="triinu.jurisaar@voruvald.ee"/>
    <w:docVar w:name="CURUSERORG" w:val="Võru Vallavalitsus"/>
    <w:docVar w:name="CURUSERPHONE" w:val="5696 5750"/>
    <w:docVar w:name="EditorContent" w:val="Tuginedes planeerimisseaduse &amp;sect; 139 lg 6 p 4, anname teada, et&#13;&#10;&lt;p style=&quot;font-size: 16px; line-height: inherit; margin: 0px 0px 10px; padding: 0px; color: #333333; font-family: 'Open Sans', sans-serif; background-color: #ffffff; text-align: justify;&quot;&gt;V&amp;otilde;ru Vallavalitsus kehtestas&amp;nbsp;&lt;a href=&quot;https://atp.amphora.ee/voruvv2017/index.aspx?itm=767309&quot; style=&quot;font-size: inherit; line-height: inherit; background: transparent; color: #2b3990; font-weight: bold;&quot;&gt;01.07.2025 korraldusega nr 427&lt;/a&gt; (k&amp;auml;ttesaadav https://atp.amphora.ee/voruvv2017/index.aspx?itm=767309) Verij&amp;auml;rve k&amp;uuml;las Kose tee 57 katastri&amp;uuml;ksuse detailplaneeringu. Detailplaneeringu ala asub V&amp;otilde;ru vallas Verij&amp;auml;rve k&amp;uuml;las Kose tee 57 ja Reitsaku tee katastri&amp;uuml;ksustel. Detailplaneeringuala pindala on umbes 1,8 hektarit.&lt;/p&gt;&#13;&#10;&lt;p style=&quot;font-size: 16px; line-height: inherit; margin: 0px 0px 10px; padding: 0px; color: #333333; font-family: 'Open Sans', sans-serif; background-color: #ffffff; text-align: justify;&quot;&gt;&lt;a href=&quot;https://atp.amphora.ee/voruvv2017/index.aspx?itm=745681&quot; style=&quot;font-size: inherit; line-height: inherit; background: transparent; color: #2b3990; font-weight: bold;&quot;&gt;Detailplaneeringu&lt;/a&gt;&amp;nbsp;(vt https://atp.amphora.ee/voruvv2017/index.aspx?itm=745681) elluviimisel jagatakse maa-ala &amp;uuml;heteistk&amp;uuml;mneks krundiks: &amp;uuml;ks krunt t&amp;auml;nava rajamiseks ning k&amp;uuml;mme krunti &amp;uuml;ksikelamute ja nende abihoonete ehitamiseks. Moodustatavad elamumaa kruntide pindalad j&amp;auml;&amp;auml;vad vahemikku 1467 m&amp;sup2; kuni 1542 m&amp;sup2;. Elamukruntidele on &amp;otilde;igus ehitada &amp;uuml;ks &amp;uuml;ksikelamu ja &amp;uuml;ks abihoone. Hoonete suurim lubatud ehitusalune pind krundil on 300 m&amp;sup2;. Suurim lubatud k&amp;otilde;rgus elamul on 8 m ja abihoonel 5 m. Lisaks ehitus&amp;otilde;igusega m&amp;auml;&amp;auml;ratud hoonetele v&amp;otilde;ib igale krundile ehitada kaks kuni 20 m&amp;sup2; ehitisealuse pinnaga hoonet. K&amp;otilde;ik hooned peavad paiknema hoonestusalas.&lt;/p&gt;&#13;&#10;&lt;p style=&quot;font-size: 16px; line-height: inherit; margin: 0px 0px 10px; padding: 0px; color: #333333; font-family: 'Open Sans', sans-serif; background-color: #ffffff; text-align: justify;&quot;&gt;Kehtiva V&amp;otilde;ru valla &amp;uuml;ldplaneeringu (kehtestatud V&amp;otilde;ru Vallavolikogu 20.11.2024 otsusega nr 180) j&amp;auml;rgi asub detailplaneeringu ala v&amp;auml;ikeelamumaa juhtotstarbega alal. Kose tee 57 detailplaneeringu kehtestamise j&amp;auml;rgselt moodustatakse alale k&amp;uuml;mme elamumaa krunti &amp;uuml;ksikelamutele ja nende abihoonetele. Seega on detailplaneering koostatud koosk&amp;otilde;las kehtiva V&amp;otilde;ru valla &amp;uuml;ldplaneeringuga.&lt;/p&gt;&#13;&#10;&lt;p style=&quot;font-size: 16px; line-height: inherit; margin: 0px 0px 10px; padding: 0px; color: #333333; font-family: 'Open Sans', sans-serif; background-color: #ffffff; text-align: justify;&quot;&gt;Detailplaneeringuga ei n&amp;auml;ha ette keskkonnam&amp;otilde;ju hindamise ja keskkonnajuhtimiss&amp;uuml;steemi seaduse &amp;sect;-s 6 nimetatud olulise keskkonnam&amp;otilde;juga tegevusi. Arvestades kavandatud tegevuse mahtu, iseloomu ja paiknemist ei saa eeldada, et detailplaneeringu elluviimisega ning rajatiste sihip&amp;auml;rase kasutamisega kaasneks oluliselt negatiivseid majanduslikke, sotsiaalseid, kultuurilisi m&amp;otilde;jusid ning olulist negatiivset m&amp;otilde;ju looduskeskkonnale.&lt;/p&gt;&#13;&#10;&lt;p style=&quot;font-size: 16px; line-height: inherit; margin: 0px 0px 10px; padding: 0px; color: #333333; font-family: 'Open Sans', sans-serif; background-color: #ffffff; text-align: justify;&quot;&gt;Kehtestatud detailplaneeringuga saab edaspidi tutvuda riiklikus planeeringute andmekogus (&lt;a href=&quot;http://www.planeeringud.ee/&quot; style=&quot;font-size: inherit; line-height: inherit; background: transparent; color: #2b3990; font-weight: bold;&quot;&gt;www.planeeringud.ee&lt;/a&gt;).&lt;/p&gt;"/>
    <w:docVar w:name="KUUPAEV" w:val="22.07.2025"/>
    <w:docVar w:name="PEALKIRI" w:val="Kose tee 57 detailplaneeringu kehtestamine"/>
    <w:docVar w:name="VIIT" w:val="7-1/2084"/>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qFormat w:val="true"/>
    <w:pPr/>
    <w:rPr>
      <w:sz w:val="24"/>
    </w:rPr>
  </w:style>
  <w:style w:styleId="TableNormal" w:type="table" w:default="true" w:customStyle="false">
    <w:name w:val="Normal Table"/>
    <w:uiPriority w:val="99"/>
    <w:pPr/>
    <w:rPr/>
    <w:tblPr>
      <w:tblInd w:w="0" w:type="dxa"/>
      <w:tblCellMar>
        <w:top w:w="0" w:type="dxa"/>
        <w:left w:w="108" w:type="dxa"/>
        <w:bottom w:w="0" w:type="dxa"/>
        <w:right w:w="108" w:type="dxa"/>
      </w:tblCellMar>
    </w:tblPr>
    <w:trPr/>
    <w:tcPr/>
  </w:style>
  <w:style w:styleId="DefaultParagraphFont" w:type="character" w:default="true" w:customStyle="false">
    <w:name w:val="Default Paragraph Font"/>
    <w:uiPriority w:val="1"/>
    <w:pPr/>
    <w:rPr/>
  </w:style>
  <w:style w:styleId="NoList" w:type="numbering" w:default="true" w:customStyle="false">
    <w:name w:val="No List"/>
    <w:uiPriority w:val="99"/>
    <w:pPr/>
    <w:rPr/>
  </w:style>
  <w:style w:styleId="BalloonText" w:type="paragraph" w:default="false" w:customStyle="false">
    <w:name w:val="Balloon Text"/>
    <w:basedOn w:val="Normal"/>
    <w:link w:val="BalloonTextChar"/>
    <w:uiPriority w:val="99"/>
    <w:pPr/>
    <w:rPr>
      <w:rFonts w:ascii="Tahoma" w:hAnsi="Tahoma" w:cs="Tahoma"/>
      <w:sz w:val="16"/>
    </w:rPr>
  </w:style>
  <w:style w:styleId="BalloonTextChar" w:type="character" w:default="false" w:customStyle="true">
    <w:name w:val="Balloon Text Char"/>
    <w:basedOn w:val="DefaultParagraphFont"/>
    <w:link w:val="BalloonText"/>
    <w:uiPriority w:val="99"/>
    <w:pPr/>
    <w:rPr>
      <w:rFonts w:ascii="Tahoma" w:hAnsi="Tahoma" w:cs="Tahoma"/>
      <w:sz w:val="16"/>
    </w:rPr>
  </w:style>
  <w:style w:styleId="Header" w:type="paragraph" w:default="false" w:customStyle="false">
    <w:name w:val="header"/>
    <w:basedOn w:val="Normal"/>
    <w:link w:val="HeaderChar"/>
    <w:uiPriority w:val="99"/>
    <w:pPr>
      <w:tabs>
        <w:tab w:pos="4536" w:val="center" w:leader="none"/>
        <w:tab w:pos="9072" w:val="right" w:leader="none"/>
      </w:tabs>
    </w:pPr>
    <w:rPr/>
  </w:style>
  <w:style w:styleId="HeaderChar" w:type="character" w:default="false" w:customStyle="true">
    <w:name w:val="Header Char"/>
    <w:basedOn w:val="DefaultParagraphFont"/>
    <w:link w:val="Header"/>
    <w:uiPriority w:val="99"/>
    <w:pPr/>
    <w:rPr>
      <w:sz w:val="24"/>
    </w:rPr>
  </w:style>
  <w:style w:styleId="Footer" w:type="paragraph" w:default="false" w:customStyle="false">
    <w:name w:val="footer"/>
    <w:basedOn w:val="Normal"/>
    <w:link w:val="FooterChar"/>
    <w:uiPriority w:val="99"/>
    <w:pPr>
      <w:tabs>
        <w:tab w:pos="4536" w:val="center" w:leader="none"/>
        <w:tab w:pos="9072" w:val="right" w:leader="none"/>
      </w:tabs>
    </w:pPr>
    <w:rPr/>
  </w:style>
  <w:style w:styleId="FooterChar" w:type="character" w:default="false" w:customStyle="true">
    <w:name w:val="Footer Char"/>
    <w:basedOn w:val="DefaultParagraphFont"/>
    <w:link w:val="Footer"/>
    <w:uiPriority w:val="99"/>
    <w:pPr/>
    <w:rPr>
      <w:sz w:val="24"/>
    </w:rPr>
  </w:style>
  <w:style w:styleId="Strong" w:type="character" w:default="false" w:customStyle="false">
    <w:name w:val="Strong"/>
    <w:basedOn w:val="DefaultParagraphFont"/>
    <w:uiPriority w:val="22"/>
    <w:qFormat w:val="true"/>
    <w:pPr/>
    <w:rPr>
      <w:b w:val="true"/>
    </w:rPr>
  </w:style>
  <w:style w:styleId="Hyperlink" w:type="character" w:default="false" w:customStyle="false">
    <w:name w:val="Hyperlink"/>
    <w:basedOn w:val="DefaultParagraphFont"/>
    <w:uiPriority w:val="99"/>
    <w:pPr/>
    <w:rPr>
      <w:color w:val="0000FF"/>
      <w:u w:val="single"/>
    </w:rPr>
  </w:style>
  <w:style w:styleId="ListParagraph" w:type="paragraph" w:default="false" w:customStyle="false">
    <w:name w:val="List Paragraph"/>
    <w:basedOn w:val="Normal"/>
    <w:uiPriority w:val="34"/>
    <w:qFormat w:val="true"/>
    <w:pPr>
      <w:ind w:left="708"/>
    </w:pPr>
    <w:rPr/>
  </w:style>
  <w:style w:styleId="BodyText" w:type="paragraph" w:default="false" w:customStyle="false">
    <w:name w:val="Body Text"/>
    <w:basedOn w:val="Normal"/>
    <w:link w:val="BodyTextChar"/>
    <w:uiPriority w:val="99"/>
    <w:pPr>
      <w:spacing w:after="220" w:line="220" w:lineRule="atLeast"/>
      <w:jc w:val="both"/>
    </w:pPr>
    <w:rPr/>
  </w:style>
  <w:style w:styleId="BodyTextChar" w:type="character" w:default="false" w:customStyle="true">
    <w:name w:val="Body Text Char"/>
    <w:basedOn w:val="DefaultParagraphFont"/>
    <w:link w:val="BodyText"/>
    <w:uiPriority w:val="99"/>
    <w:pPr/>
    <w:rPr>
      <w:sz w:val="24"/>
    </w:rPr>
  </w:style>
  <w:style w:styleId="TableGrid" w:type="table" w:default="false" w:customStyle="false">
    <w:name w:val="Table Grid"/>
    <w:basedOn w:val="TableNorma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 w:styleId="UnresolvedMention" w:type="character" w:default="false" w:customStyle="false">
    <w:name w:val="Unresolved Mention"/>
    <w:basedOn w:val="DefaultParagraphFont"/>
    <w:uiPriority w:val="99"/>
    <w:pPr/>
    <w:rPr>
      <w:color w:val="605E5C"/>
      <w:shd w:fill="E1DFDD" w:color="auto" w:val="clea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