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C321" w14:textId="77777777" w:rsidR="005508E5" w:rsidRPr="003331EF" w:rsidRDefault="005508E5" w:rsidP="003331EF">
      <w:pPr>
        <w:spacing w:before="0"/>
        <w:ind w:right="-64"/>
        <w:rPr>
          <w:b/>
          <w:bCs/>
          <w:lang w:eastAsia="en-US"/>
        </w:rPr>
      </w:pPr>
    </w:p>
    <w:p w14:paraId="1D1FB530" w14:textId="45BDE150" w:rsidR="005508E5" w:rsidRPr="003331EF" w:rsidRDefault="005508E5" w:rsidP="003331EF">
      <w:pPr>
        <w:spacing w:before="0"/>
        <w:jc w:val="center"/>
        <w:rPr>
          <w:rFonts w:eastAsiaTheme="minorHAnsi"/>
          <w:b/>
          <w:sz w:val="32"/>
        </w:rPr>
      </w:pPr>
      <w:proofErr w:type="spellStart"/>
      <w:r w:rsidRPr="003331EF">
        <w:rPr>
          <w:rFonts w:eastAsiaTheme="minorHAnsi"/>
          <w:b/>
          <w:sz w:val="32"/>
        </w:rPr>
        <w:t>Krüptovara</w:t>
      </w:r>
      <w:r w:rsidR="00411E90" w:rsidRPr="003331EF">
        <w:rPr>
          <w:rFonts w:eastAsiaTheme="minorHAnsi"/>
          <w:b/>
          <w:sz w:val="32"/>
        </w:rPr>
        <w:t>turu</w:t>
      </w:r>
      <w:proofErr w:type="spellEnd"/>
      <w:r w:rsidRPr="003331EF">
        <w:rPr>
          <w:rFonts w:eastAsiaTheme="minorHAnsi"/>
          <w:b/>
          <w:sz w:val="32"/>
        </w:rPr>
        <w:t xml:space="preserve"> seaduse eelnõu </w:t>
      </w:r>
    </w:p>
    <w:p w14:paraId="6476B100" w14:textId="77777777" w:rsidR="005508E5" w:rsidRPr="003331EF" w:rsidRDefault="005508E5" w:rsidP="003331EF">
      <w:pPr>
        <w:spacing w:before="0"/>
        <w:jc w:val="center"/>
        <w:rPr>
          <w:rFonts w:eastAsiaTheme="minorHAnsi"/>
          <w:b/>
          <w:sz w:val="32"/>
        </w:rPr>
      </w:pPr>
      <w:r w:rsidRPr="003331EF">
        <w:rPr>
          <w:rFonts w:eastAsiaTheme="minorHAnsi"/>
          <w:b/>
          <w:sz w:val="32"/>
        </w:rPr>
        <w:t>seletuskiri</w:t>
      </w:r>
    </w:p>
    <w:p w14:paraId="3871408A" w14:textId="77777777" w:rsidR="005508E5" w:rsidRPr="003331EF" w:rsidRDefault="005508E5" w:rsidP="003331EF">
      <w:pPr>
        <w:spacing w:before="0"/>
        <w:ind w:right="-64"/>
        <w:jc w:val="center"/>
        <w:rPr>
          <w:b/>
          <w:bCs/>
          <w:lang w:eastAsia="en-US"/>
        </w:rPr>
      </w:pPr>
    </w:p>
    <w:p w14:paraId="6BC5CB6B" w14:textId="77777777" w:rsidR="005508E5" w:rsidRPr="003331EF" w:rsidRDefault="005508E5" w:rsidP="003331EF">
      <w:pPr>
        <w:spacing w:before="0"/>
        <w:ind w:right="-64"/>
        <w:jc w:val="center"/>
        <w:rPr>
          <w:b/>
          <w:bCs/>
          <w:lang w:eastAsia="en-US"/>
        </w:rPr>
      </w:pPr>
    </w:p>
    <w:p w14:paraId="1E19A72F" w14:textId="77777777" w:rsidR="005508E5" w:rsidRPr="003331EF" w:rsidRDefault="005508E5" w:rsidP="003331EF">
      <w:pPr>
        <w:pStyle w:val="Pealkiri1"/>
        <w:numPr>
          <w:ilvl w:val="0"/>
          <w:numId w:val="9"/>
        </w:numPr>
        <w:rPr>
          <w:caps/>
          <w:color w:val="auto"/>
          <w:sz w:val="24"/>
          <w:lang w:val="et-EE"/>
        </w:rPr>
      </w:pPr>
      <w:r w:rsidRPr="003331EF">
        <w:rPr>
          <w:caps/>
          <w:color w:val="auto"/>
          <w:sz w:val="24"/>
          <w:lang w:val="et-EE"/>
        </w:rPr>
        <w:t>Sissejuhatus</w:t>
      </w:r>
    </w:p>
    <w:p w14:paraId="0B3614CB" w14:textId="619038B6" w:rsidR="005508E5" w:rsidRPr="003331EF" w:rsidRDefault="00994139" w:rsidP="003331EF">
      <w:pPr>
        <w:spacing w:before="0"/>
        <w:rPr>
          <w:rFonts w:eastAsiaTheme="majorEastAsia"/>
          <w:b/>
          <w:bCs/>
        </w:rPr>
      </w:pPr>
      <w:r w:rsidRPr="003331EF">
        <w:rPr>
          <w:rFonts w:eastAsiaTheme="majorEastAsia"/>
          <w:b/>
          <w:bCs/>
        </w:rPr>
        <w:t xml:space="preserve">1.1. </w:t>
      </w:r>
      <w:r w:rsidR="005508E5" w:rsidRPr="003331EF">
        <w:rPr>
          <w:rFonts w:eastAsiaTheme="majorEastAsia"/>
          <w:b/>
          <w:bCs/>
        </w:rPr>
        <w:t>Sisukokkuvõte</w:t>
      </w:r>
    </w:p>
    <w:p w14:paraId="34C872F5" w14:textId="77777777" w:rsidR="005508E5" w:rsidRPr="003331EF" w:rsidRDefault="005508E5" w:rsidP="003331EF">
      <w:pPr>
        <w:spacing w:before="0"/>
        <w:ind w:left="810"/>
        <w:contextualSpacing/>
        <w:rPr>
          <w:rFonts w:eastAsiaTheme="majorEastAsia"/>
          <w:b/>
          <w:bCs/>
          <w:lang w:eastAsia="en-US"/>
        </w:rPr>
      </w:pPr>
    </w:p>
    <w:p w14:paraId="08EEF839" w14:textId="05D1E4FD" w:rsidR="005508E5" w:rsidRPr="003331EF" w:rsidRDefault="005508E5" w:rsidP="003331EF">
      <w:pPr>
        <w:spacing w:before="0"/>
        <w:rPr>
          <w:bCs/>
          <w:iCs/>
          <w:spacing w:val="-5"/>
          <w:lang w:eastAsia="en-US"/>
        </w:rPr>
      </w:pPr>
      <w:r w:rsidRPr="003331EF">
        <w:rPr>
          <w:bCs/>
          <w:iCs/>
          <w:spacing w:val="-5"/>
          <w:lang w:eastAsia="en-US"/>
        </w:rPr>
        <w:t xml:space="preserve">Käesolev eelnõu (edaspidi eelnõu) reguleerib </w:t>
      </w:r>
      <w:proofErr w:type="spellStart"/>
      <w:r w:rsidR="00416AB9" w:rsidRPr="003331EF">
        <w:rPr>
          <w:bCs/>
          <w:iCs/>
          <w:spacing w:val="-5"/>
          <w:lang w:eastAsia="en-US"/>
        </w:rPr>
        <w:t>krüptovaraturul</w:t>
      </w:r>
      <w:proofErr w:type="spellEnd"/>
      <w:r w:rsidR="00416AB9" w:rsidRPr="003331EF">
        <w:rPr>
          <w:bCs/>
          <w:iCs/>
          <w:spacing w:val="-5"/>
          <w:lang w:eastAsia="en-US"/>
        </w:rPr>
        <w:t xml:space="preserve"> tegutsemist ja järelevalvet </w:t>
      </w:r>
      <w:proofErr w:type="spellStart"/>
      <w:r w:rsidR="00416AB9" w:rsidRPr="003331EF">
        <w:rPr>
          <w:bCs/>
          <w:iCs/>
          <w:spacing w:val="-5"/>
          <w:lang w:eastAsia="en-US"/>
        </w:rPr>
        <w:t>krüptovaraturu</w:t>
      </w:r>
      <w:proofErr w:type="spellEnd"/>
      <w:r w:rsidR="00416AB9" w:rsidRPr="003331EF">
        <w:rPr>
          <w:bCs/>
          <w:iCs/>
          <w:spacing w:val="-5"/>
          <w:lang w:eastAsia="en-US"/>
        </w:rPr>
        <w:t xml:space="preserve"> osaliste üle. Eelnõuga tagatakse Euroopa Liidu</w:t>
      </w:r>
      <w:r w:rsidR="00416AB9" w:rsidRPr="003331EF">
        <w:t xml:space="preserve"> </w:t>
      </w:r>
      <w:r w:rsidR="00416AB9" w:rsidRPr="003331EF">
        <w:rPr>
          <w:b/>
          <w:bCs/>
          <w:i/>
          <w:iCs/>
        </w:rPr>
        <w:t>(EL</w:t>
      </w:r>
      <w:r w:rsidR="00416AB9" w:rsidRPr="003331EF">
        <w:t xml:space="preserve">) </w:t>
      </w:r>
      <w:r w:rsidR="00416AB9" w:rsidRPr="003331EF">
        <w:rPr>
          <w:bCs/>
          <w:iCs/>
          <w:spacing w:val="-5"/>
          <w:lang w:eastAsia="en-US"/>
        </w:rPr>
        <w:t xml:space="preserve">õiguse nõuetekohane riigisisene rakendamine. </w:t>
      </w:r>
    </w:p>
    <w:p w14:paraId="52B566AB" w14:textId="77777777" w:rsidR="005508E5" w:rsidRPr="003331EF" w:rsidRDefault="005508E5" w:rsidP="003331EF">
      <w:pPr>
        <w:spacing w:before="0"/>
        <w:rPr>
          <w:bCs/>
          <w:iCs/>
          <w:spacing w:val="-5"/>
          <w:lang w:eastAsia="en-US"/>
        </w:rPr>
      </w:pPr>
    </w:p>
    <w:p w14:paraId="14307E4C" w14:textId="66172165" w:rsidR="005508E5" w:rsidRPr="003331EF" w:rsidRDefault="005508E5" w:rsidP="003331EF">
      <w:pPr>
        <w:spacing w:before="0"/>
        <w:rPr>
          <w:bCs/>
          <w:iCs/>
          <w:spacing w:val="-5"/>
          <w:lang w:eastAsia="en-US"/>
        </w:rPr>
      </w:pPr>
      <w:r w:rsidRPr="003331EF">
        <w:rPr>
          <w:bCs/>
          <w:iCs/>
          <w:spacing w:val="-5"/>
          <w:lang w:eastAsia="en-US"/>
        </w:rPr>
        <w:t xml:space="preserve">Eelnõu kohaldamisalasse kuuluvad Eestis tegutsevad järgmised </w:t>
      </w:r>
      <w:proofErr w:type="spellStart"/>
      <w:r w:rsidR="00D704F6" w:rsidRPr="003331EF">
        <w:rPr>
          <w:bCs/>
          <w:iCs/>
          <w:spacing w:val="-5"/>
          <w:lang w:eastAsia="en-US"/>
        </w:rPr>
        <w:t>krüptovaraturu</w:t>
      </w:r>
      <w:proofErr w:type="spellEnd"/>
      <w:r w:rsidR="00D704F6" w:rsidRPr="003331EF">
        <w:rPr>
          <w:bCs/>
          <w:iCs/>
          <w:spacing w:val="-5"/>
          <w:lang w:eastAsia="en-US"/>
        </w:rPr>
        <w:t xml:space="preserve"> osalised</w:t>
      </w:r>
      <w:r w:rsidRPr="003331EF">
        <w:rPr>
          <w:bCs/>
          <w:iCs/>
          <w:spacing w:val="-5"/>
          <w:lang w:eastAsia="en-US"/>
        </w:rPr>
        <w:t>:</w:t>
      </w:r>
    </w:p>
    <w:p w14:paraId="315E8F21" w14:textId="604A810B" w:rsidR="005508E5" w:rsidRPr="003331EF" w:rsidRDefault="005508E5" w:rsidP="003331EF">
      <w:pPr>
        <w:numPr>
          <w:ilvl w:val="0"/>
          <w:numId w:val="12"/>
        </w:numPr>
        <w:spacing w:before="0"/>
        <w:ind w:left="284" w:hanging="284"/>
        <w:contextualSpacing/>
        <w:rPr>
          <w:bCs/>
          <w:iCs/>
          <w:spacing w:val="-5"/>
          <w:lang w:eastAsia="en-US"/>
        </w:rPr>
      </w:pPr>
      <w:proofErr w:type="spellStart"/>
      <w:r w:rsidRPr="003331EF">
        <w:rPr>
          <w:bCs/>
          <w:iCs/>
          <w:spacing w:val="-5"/>
          <w:lang w:eastAsia="en-US"/>
        </w:rPr>
        <w:t>krüptovarateenuse</w:t>
      </w:r>
      <w:proofErr w:type="spellEnd"/>
      <w:r w:rsidRPr="003331EF">
        <w:rPr>
          <w:bCs/>
          <w:iCs/>
          <w:spacing w:val="-5"/>
          <w:lang w:eastAsia="en-US"/>
        </w:rPr>
        <w:t xml:space="preserve"> osutajad;</w:t>
      </w:r>
    </w:p>
    <w:p w14:paraId="22D9E381" w14:textId="589EB74B" w:rsidR="00411E90" w:rsidRPr="003331EF" w:rsidRDefault="007413C2" w:rsidP="003331EF">
      <w:pPr>
        <w:numPr>
          <w:ilvl w:val="0"/>
          <w:numId w:val="12"/>
        </w:numPr>
        <w:spacing w:before="0"/>
        <w:ind w:left="284" w:hanging="284"/>
        <w:contextualSpacing/>
        <w:rPr>
          <w:bCs/>
          <w:iCs/>
          <w:spacing w:val="-5"/>
          <w:lang w:eastAsia="en-US"/>
        </w:rPr>
      </w:pPr>
      <w:proofErr w:type="spellStart"/>
      <w:r w:rsidRPr="003331EF">
        <w:rPr>
          <w:bCs/>
          <w:iCs/>
          <w:spacing w:val="-5"/>
          <w:lang w:eastAsia="en-US"/>
        </w:rPr>
        <w:t>krüptovara</w:t>
      </w:r>
      <w:proofErr w:type="spellEnd"/>
      <w:r w:rsidRPr="003331EF">
        <w:rPr>
          <w:bCs/>
          <w:iCs/>
          <w:spacing w:val="-5"/>
          <w:lang w:eastAsia="en-US"/>
        </w:rPr>
        <w:t xml:space="preserve"> emitendid</w:t>
      </w:r>
      <w:r w:rsidR="00EA7D84" w:rsidRPr="003331EF">
        <w:rPr>
          <w:bCs/>
          <w:iCs/>
          <w:spacing w:val="-5"/>
          <w:lang w:eastAsia="en-US"/>
        </w:rPr>
        <w:t xml:space="preserve">, kelleks on nii varapõhise </w:t>
      </w:r>
      <w:proofErr w:type="spellStart"/>
      <w:r w:rsidR="00EA7D84" w:rsidRPr="003331EF">
        <w:rPr>
          <w:bCs/>
          <w:iCs/>
          <w:spacing w:val="-5"/>
          <w:lang w:eastAsia="en-US"/>
        </w:rPr>
        <w:t>tokeni</w:t>
      </w:r>
      <w:proofErr w:type="spellEnd"/>
      <w:r w:rsidR="00EA7D84" w:rsidRPr="003331EF">
        <w:rPr>
          <w:bCs/>
          <w:iCs/>
          <w:spacing w:val="-5"/>
          <w:lang w:eastAsia="en-US"/>
        </w:rPr>
        <w:t xml:space="preserve"> emitendid</w:t>
      </w:r>
      <w:r w:rsidR="00D052FB" w:rsidRPr="003331EF">
        <w:rPr>
          <w:bCs/>
          <w:iCs/>
          <w:spacing w:val="-5"/>
          <w:lang w:eastAsia="en-US"/>
        </w:rPr>
        <w:t xml:space="preserve"> ja </w:t>
      </w:r>
      <w:r w:rsidR="00EA7D84" w:rsidRPr="003331EF">
        <w:rPr>
          <w:bCs/>
          <w:iCs/>
          <w:spacing w:val="-5"/>
          <w:lang w:eastAsia="en-US"/>
        </w:rPr>
        <w:t xml:space="preserve">e-raha </w:t>
      </w:r>
      <w:proofErr w:type="spellStart"/>
      <w:r w:rsidR="003D4C8C" w:rsidRPr="003331EF">
        <w:rPr>
          <w:bCs/>
          <w:iCs/>
          <w:spacing w:val="-5"/>
          <w:lang w:eastAsia="en-US"/>
        </w:rPr>
        <w:t>tokeni</w:t>
      </w:r>
      <w:proofErr w:type="spellEnd"/>
      <w:r w:rsidR="003D4C8C" w:rsidRPr="003331EF">
        <w:rPr>
          <w:bCs/>
          <w:iCs/>
          <w:spacing w:val="-5"/>
          <w:lang w:eastAsia="en-US"/>
        </w:rPr>
        <w:t xml:space="preserve"> </w:t>
      </w:r>
      <w:r w:rsidR="00EA7D84" w:rsidRPr="003331EF">
        <w:rPr>
          <w:bCs/>
          <w:iCs/>
          <w:spacing w:val="-5"/>
          <w:lang w:eastAsia="en-US"/>
        </w:rPr>
        <w:t xml:space="preserve">emitendid </w:t>
      </w:r>
      <w:r w:rsidR="00D052FB" w:rsidRPr="003331EF">
        <w:rPr>
          <w:bCs/>
          <w:iCs/>
          <w:spacing w:val="-5"/>
          <w:lang w:eastAsia="en-US"/>
        </w:rPr>
        <w:t xml:space="preserve">(nn </w:t>
      </w:r>
      <w:proofErr w:type="spellStart"/>
      <w:r w:rsidR="00D052FB" w:rsidRPr="00FD4E7E">
        <w:rPr>
          <w:bCs/>
          <w:i/>
          <w:spacing w:val="-5"/>
          <w:lang w:eastAsia="en-US"/>
        </w:rPr>
        <w:t>stablecoin</w:t>
      </w:r>
      <w:r w:rsidR="00D052FB" w:rsidRPr="003331EF">
        <w:rPr>
          <w:bCs/>
          <w:iCs/>
          <w:spacing w:val="-5"/>
          <w:lang w:eastAsia="en-US"/>
        </w:rPr>
        <w:t>’</w:t>
      </w:r>
      <w:r w:rsidR="00FD4E7E">
        <w:rPr>
          <w:bCs/>
          <w:iCs/>
          <w:spacing w:val="-5"/>
          <w:lang w:eastAsia="en-US"/>
        </w:rPr>
        <w:t>i</w:t>
      </w:r>
      <w:r w:rsidR="00D052FB" w:rsidRPr="003331EF">
        <w:rPr>
          <w:bCs/>
          <w:iCs/>
          <w:spacing w:val="-5"/>
          <w:lang w:eastAsia="en-US"/>
        </w:rPr>
        <w:t>de</w:t>
      </w:r>
      <w:proofErr w:type="spellEnd"/>
      <w:r w:rsidR="00D052FB" w:rsidRPr="003331EF">
        <w:rPr>
          <w:bCs/>
          <w:iCs/>
          <w:spacing w:val="-5"/>
          <w:lang w:eastAsia="en-US"/>
        </w:rPr>
        <w:t xml:space="preserve"> emitendid) </w:t>
      </w:r>
      <w:r w:rsidR="00EA7D84" w:rsidRPr="003331EF">
        <w:rPr>
          <w:bCs/>
          <w:iCs/>
          <w:spacing w:val="-5"/>
          <w:lang w:eastAsia="en-US"/>
        </w:rPr>
        <w:t xml:space="preserve">kui ka muu </w:t>
      </w:r>
      <w:proofErr w:type="spellStart"/>
      <w:r w:rsidR="00EA7D84" w:rsidRPr="003331EF">
        <w:rPr>
          <w:bCs/>
          <w:iCs/>
          <w:spacing w:val="-5"/>
          <w:lang w:eastAsia="en-US"/>
        </w:rPr>
        <w:t>krüptovara</w:t>
      </w:r>
      <w:proofErr w:type="spellEnd"/>
      <w:r w:rsidR="00EA7D84" w:rsidRPr="003331EF">
        <w:rPr>
          <w:bCs/>
          <w:iCs/>
          <w:spacing w:val="-5"/>
          <w:lang w:eastAsia="en-US"/>
        </w:rPr>
        <w:t xml:space="preserve"> emitendid.</w:t>
      </w:r>
    </w:p>
    <w:p w14:paraId="710980CD" w14:textId="77777777" w:rsidR="00801563" w:rsidRPr="003331EF" w:rsidRDefault="00801563" w:rsidP="003331EF">
      <w:pPr>
        <w:spacing w:before="0"/>
        <w:contextualSpacing/>
        <w:rPr>
          <w:bCs/>
          <w:iCs/>
          <w:spacing w:val="-5"/>
          <w:lang w:eastAsia="en-US"/>
        </w:rPr>
      </w:pPr>
    </w:p>
    <w:p w14:paraId="640EAD7A" w14:textId="208F5AF7" w:rsidR="00801563" w:rsidRPr="003331EF" w:rsidRDefault="00801563" w:rsidP="003331EF">
      <w:pPr>
        <w:spacing w:before="0"/>
        <w:contextualSpacing/>
        <w:rPr>
          <w:bCs/>
          <w:iCs/>
          <w:spacing w:val="-5"/>
          <w:lang w:eastAsia="en-US"/>
        </w:rPr>
      </w:pPr>
      <w:proofErr w:type="spellStart"/>
      <w:r w:rsidRPr="003331EF">
        <w:rPr>
          <w:bCs/>
          <w:iCs/>
          <w:spacing w:val="-5"/>
          <w:lang w:eastAsia="en-US"/>
        </w:rPr>
        <w:t>Krüptovara</w:t>
      </w:r>
      <w:proofErr w:type="spellEnd"/>
      <w:r w:rsidRPr="003331EF">
        <w:rPr>
          <w:bCs/>
          <w:iCs/>
          <w:spacing w:val="-5"/>
          <w:lang w:eastAsia="en-US"/>
        </w:rPr>
        <w:t xml:space="preserve"> </w:t>
      </w:r>
      <w:r w:rsidR="003D4C8C" w:rsidRPr="003331EF">
        <w:rPr>
          <w:bCs/>
          <w:iCs/>
          <w:spacing w:val="-5"/>
          <w:lang w:eastAsia="en-US"/>
        </w:rPr>
        <w:t xml:space="preserve">kõige laiemas tähenduses on </w:t>
      </w:r>
      <w:r w:rsidRPr="003331EF">
        <w:rPr>
          <w:bCs/>
          <w:iCs/>
          <w:spacing w:val="-5"/>
          <w:lang w:eastAsia="en-US"/>
        </w:rPr>
        <w:t xml:space="preserve">väärtuse või õiguste </w:t>
      </w:r>
      <w:r w:rsidR="003D4C8C" w:rsidRPr="003331EF">
        <w:rPr>
          <w:bCs/>
          <w:iCs/>
          <w:spacing w:val="-5"/>
          <w:lang w:eastAsia="en-US"/>
        </w:rPr>
        <w:t>esitamine digitaalsel kujul, sealjuures kasutatakse selle vara salvestamiseks üldjuhul hajusraamatu tehnoloogiat.</w:t>
      </w:r>
      <w:r w:rsidR="00E9457F" w:rsidRPr="003331EF">
        <w:rPr>
          <w:bCs/>
          <w:iCs/>
          <w:spacing w:val="-5"/>
          <w:lang w:eastAsia="en-US"/>
        </w:rPr>
        <w:t xml:space="preserve"> </w:t>
      </w:r>
      <w:r w:rsidR="00361738" w:rsidRPr="003331EF">
        <w:rPr>
          <w:bCs/>
          <w:iCs/>
          <w:spacing w:val="-5"/>
          <w:lang w:eastAsia="en-US"/>
        </w:rPr>
        <w:t xml:space="preserve">Sõltuvalt </w:t>
      </w:r>
      <w:proofErr w:type="spellStart"/>
      <w:r w:rsidR="00361738" w:rsidRPr="003331EF">
        <w:rPr>
          <w:bCs/>
          <w:iCs/>
          <w:spacing w:val="-5"/>
          <w:lang w:eastAsia="en-US"/>
        </w:rPr>
        <w:t>krüptovara</w:t>
      </w:r>
      <w:proofErr w:type="spellEnd"/>
      <w:r w:rsidR="00361738" w:rsidRPr="003331EF">
        <w:rPr>
          <w:bCs/>
          <w:iCs/>
          <w:spacing w:val="-5"/>
          <w:lang w:eastAsia="en-US"/>
        </w:rPr>
        <w:t xml:space="preserve"> funktsioonist </w:t>
      </w:r>
      <w:r w:rsidR="00E9457F" w:rsidRPr="003331EF">
        <w:rPr>
          <w:bCs/>
          <w:iCs/>
          <w:spacing w:val="-5"/>
          <w:lang w:eastAsia="en-US"/>
        </w:rPr>
        <w:t xml:space="preserve">nimetatakse selliseid varasid </w:t>
      </w:r>
      <w:r w:rsidR="00361738" w:rsidRPr="003331EF">
        <w:rPr>
          <w:bCs/>
          <w:iCs/>
          <w:spacing w:val="-5"/>
          <w:lang w:eastAsia="en-US"/>
        </w:rPr>
        <w:t>praktikas</w:t>
      </w:r>
      <w:r w:rsidR="00E9457F" w:rsidRPr="003331EF">
        <w:rPr>
          <w:bCs/>
          <w:iCs/>
          <w:spacing w:val="-5"/>
          <w:lang w:eastAsia="en-US"/>
        </w:rPr>
        <w:t xml:space="preserve"> kas </w:t>
      </w:r>
      <w:proofErr w:type="spellStart"/>
      <w:r w:rsidR="00E9457F" w:rsidRPr="003331EF">
        <w:rPr>
          <w:bCs/>
          <w:iCs/>
          <w:spacing w:val="-5"/>
          <w:lang w:eastAsia="en-US"/>
        </w:rPr>
        <w:t>tokeniteks</w:t>
      </w:r>
      <w:proofErr w:type="spellEnd"/>
      <w:r w:rsidR="00E9457F" w:rsidRPr="003331EF">
        <w:rPr>
          <w:bCs/>
          <w:iCs/>
          <w:spacing w:val="-5"/>
          <w:lang w:eastAsia="en-US"/>
        </w:rPr>
        <w:t xml:space="preserve"> või müntideks (</w:t>
      </w:r>
      <w:proofErr w:type="spellStart"/>
      <w:r w:rsidR="00E9457F" w:rsidRPr="00CD49F4">
        <w:rPr>
          <w:bCs/>
          <w:i/>
          <w:spacing w:val="-5"/>
          <w:lang w:eastAsia="en-US"/>
        </w:rPr>
        <w:t>coin</w:t>
      </w:r>
      <w:proofErr w:type="spellEnd"/>
      <w:r w:rsidR="00E9457F" w:rsidRPr="003331EF">
        <w:rPr>
          <w:bCs/>
          <w:iCs/>
          <w:spacing w:val="-5"/>
          <w:lang w:eastAsia="en-US"/>
        </w:rPr>
        <w:t xml:space="preserve">). </w:t>
      </w:r>
      <w:r w:rsidR="00D052FB" w:rsidRPr="003331EF">
        <w:rPr>
          <w:bCs/>
          <w:iCs/>
          <w:spacing w:val="-5"/>
          <w:lang w:eastAsia="en-US"/>
        </w:rPr>
        <w:t xml:space="preserve">Terminid nagu </w:t>
      </w:r>
      <w:proofErr w:type="spellStart"/>
      <w:r w:rsidR="00D052FB" w:rsidRPr="003331EF">
        <w:rPr>
          <w:bCs/>
          <w:iCs/>
          <w:spacing w:val="-5"/>
          <w:lang w:eastAsia="en-US"/>
        </w:rPr>
        <w:t>krüptoraha</w:t>
      </w:r>
      <w:proofErr w:type="spellEnd"/>
      <w:r w:rsidR="00D052FB" w:rsidRPr="003331EF">
        <w:rPr>
          <w:bCs/>
          <w:iCs/>
          <w:spacing w:val="-5"/>
          <w:lang w:eastAsia="en-US"/>
        </w:rPr>
        <w:t xml:space="preserve">, </w:t>
      </w:r>
      <w:proofErr w:type="spellStart"/>
      <w:r w:rsidR="00D052FB" w:rsidRPr="003331EF">
        <w:rPr>
          <w:bCs/>
          <w:iCs/>
          <w:spacing w:val="-5"/>
          <w:lang w:eastAsia="en-US"/>
        </w:rPr>
        <w:t>krüptovaluuta</w:t>
      </w:r>
      <w:proofErr w:type="spellEnd"/>
      <w:r w:rsidR="00D052FB" w:rsidRPr="003331EF">
        <w:rPr>
          <w:bCs/>
          <w:iCs/>
          <w:spacing w:val="-5"/>
          <w:lang w:eastAsia="en-US"/>
        </w:rPr>
        <w:t xml:space="preserve"> või virtuaalvääringud on kõik </w:t>
      </w:r>
      <w:r w:rsidR="00361738" w:rsidRPr="003331EF">
        <w:rPr>
          <w:bCs/>
          <w:iCs/>
          <w:spacing w:val="-5"/>
          <w:lang w:eastAsia="en-US"/>
        </w:rPr>
        <w:t>kvalifitseeritavad</w:t>
      </w:r>
      <w:r w:rsidR="00D052FB" w:rsidRPr="003331EF">
        <w:rPr>
          <w:bCs/>
          <w:iCs/>
          <w:spacing w:val="-5"/>
          <w:lang w:eastAsia="en-US"/>
        </w:rPr>
        <w:t xml:space="preserve"> kui </w:t>
      </w:r>
      <w:proofErr w:type="spellStart"/>
      <w:r w:rsidR="00D052FB" w:rsidRPr="003331EF">
        <w:rPr>
          <w:bCs/>
          <w:iCs/>
          <w:spacing w:val="-5"/>
          <w:lang w:eastAsia="en-US"/>
        </w:rPr>
        <w:t>krüp</w:t>
      </w:r>
      <w:r w:rsidR="003E72BA" w:rsidRPr="003331EF">
        <w:rPr>
          <w:bCs/>
          <w:iCs/>
          <w:spacing w:val="-5"/>
          <w:lang w:eastAsia="en-US"/>
        </w:rPr>
        <w:t>t</w:t>
      </w:r>
      <w:r w:rsidR="00D052FB" w:rsidRPr="003331EF">
        <w:rPr>
          <w:bCs/>
          <w:iCs/>
          <w:spacing w:val="-5"/>
          <w:lang w:eastAsia="en-US"/>
        </w:rPr>
        <w:t>ovara</w:t>
      </w:r>
      <w:proofErr w:type="spellEnd"/>
      <w:r w:rsidR="00D052FB" w:rsidRPr="003331EF">
        <w:rPr>
          <w:bCs/>
          <w:iCs/>
          <w:spacing w:val="-5"/>
          <w:lang w:eastAsia="en-US"/>
        </w:rPr>
        <w:t xml:space="preserve"> </w:t>
      </w:r>
      <w:r w:rsidR="00DB641E" w:rsidRPr="003331EF">
        <w:rPr>
          <w:bCs/>
          <w:iCs/>
          <w:spacing w:val="-5"/>
          <w:lang w:eastAsia="en-US"/>
        </w:rPr>
        <w:t xml:space="preserve">ning </w:t>
      </w:r>
      <w:proofErr w:type="spellStart"/>
      <w:r w:rsidR="00D052FB" w:rsidRPr="003331EF">
        <w:rPr>
          <w:bCs/>
          <w:iCs/>
          <w:spacing w:val="-5"/>
          <w:lang w:eastAsia="en-US"/>
        </w:rPr>
        <w:t>krüptovara</w:t>
      </w:r>
      <w:proofErr w:type="spellEnd"/>
      <w:r w:rsidR="00D052FB" w:rsidRPr="003331EF">
        <w:rPr>
          <w:bCs/>
          <w:iCs/>
          <w:spacing w:val="-5"/>
          <w:lang w:eastAsia="en-US"/>
        </w:rPr>
        <w:t xml:space="preserve"> alaliigid.</w:t>
      </w:r>
      <w:r w:rsidR="003D4C8C" w:rsidRPr="003331EF">
        <w:rPr>
          <w:bCs/>
          <w:iCs/>
          <w:spacing w:val="-5"/>
          <w:lang w:eastAsia="en-US"/>
        </w:rPr>
        <w:t xml:space="preserve">  </w:t>
      </w:r>
    </w:p>
    <w:p w14:paraId="0F1729C4" w14:textId="77777777" w:rsidR="00801563" w:rsidRPr="003331EF" w:rsidRDefault="00801563" w:rsidP="003331EF">
      <w:pPr>
        <w:spacing w:before="0"/>
        <w:contextualSpacing/>
        <w:rPr>
          <w:bCs/>
          <w:iCs/>
          <w:spacing w:val="-5"/>
          <w:lang w:eastAsia="en-US"/>
        </w:rPr>
      </w:pPr>
    </w:p>
    <w:p w14:paraId="13D6D7A0" w14:textId="61C4ADB8" w:rsidR="00D704F6" w:rsidRPr="003331EF" w:rsidRDefault="00F52F43" w:rsidP="003331EF">
      <w:pPr>
        <w:spacing w:before="0"/>
        <w:contextualSpacing/>
      </w:pPr>
      <w:proofErr w:type="spellStart"/>
      <w:r w:rsidRPr="003331EF">
        <w:rPr>
          <w:bCs/>
          <w:iCs/>
          <w:spacing w:val="-5"/>
          <w:lang w:eastAsia="en-US"/>
        </w:rPr>
        <w:t>Krüptovarat</w:t>
      </w:r>
      <w:r w:rsidR="00D704F6" w:rsidRPr="003331EF">
        <w:rPr>
          <w:bCs/>
          <w:iCs/>
          <w:spacing w:val="-5"/>
          <w:lang w:eastAsia="en-US"/>
        </w:rPr>
        <w:t>eenuse</w:t>
      </w:r>
      <w:proofErr w:type="spellEnd"/>
      <w:r w:rsidR="00D704F6" w:rsidRPr="003331EF">
        <w:rPr>
          <w:bCs/>
          <w:iCs/>
          <w:spacing w:val="-5"/>
          <w:lang w:eastAsia="en-US"/>
        </w:rPr>
        <w:t xml:space="preserve"> osuta</w:t>
      </w:r>
      <w:r w:rsidR="00485782" w:rsidRPr="003331EF">
        <w:rPr>
          <w:bCs/>
          <w:iCs/>
          <w:spacing w:val="-5"/>
          <w:lang w:eastAsia="en-US"/>
        </w:rPr>
        <w:t>misele</w:t>
      </w:r>
      <w:r w:rsidR="00D704F6" w:rsidRPr="003331EF">
        <w:rPr>
          <w:bCs/>
          <w:iCs/>
          <w:spacing w:val="-5"/>
          <w:lang w:eastAsia="en-US"/>
        </w:rPr>
        <w:t xml:space="preserve"> ja </w:t>
      </w:r>
      <w:proofErr w:type="spellStart"/>
      <w:r w:rsidR="00D704F6" w:rsidRPr="003331EF">
        <w:rPr>
          <w:bCs/>
          <w:iCs/>
          <w:spacing w:val="-5"/>
          <w:lang w:eastAsia="en-US"/>
        </w:rPr>
        <w:t>krüptovara</w:t>
      </w:r>
      <w:proofErr w:type="spellEnd"/>
      <w:r w:rsidR="00EC5B50" w:rsidRPr="003331EF">
        <w:rPr>
          <w:bCs/>
          <w:iCs/>
          <w:spacing w:val="-5"/>
          <w:lang w:eastAsia="en-US"/>
        </w:rPr>
        <w:t xml:space="preserve"> pakkumisele või kauplemisele võtmise taotlemisele</w:t>
      </w:r>
      <w:r w:rsidRPr="003331EF">
        <w:rPr>
          <w:bCs/>
          <w:iCs/>
          <w:spacing w:val="-5"/>
          <w:lang w:eastAsia="en-US"/>
        </w:rPr>
        <w:t xml:space="preserve"> suunatud nõuded </w:t>
      </w:r>
      <w:r w:rsidR="001666B0" w:rsidRPr="003331EF">
        <w:rPr>
          <w:bCs/>
          <w:iCs/>
          <w:spacing w:val="-5"/>
          <w:lang w:eastAsia="en-US"/>
        </w:rPr>
        <w:t>on</w:t>
      </w:r>
      <w:r w:rsidR="0033579D" w:rsidRPr="003331EF">
        <w:rPr>
          <w:bCs/>
          <w:iCs/>
          <w:spacing w:val="-5"/>
          <w:lang w:eastAsia="en-US"/>
        </w:rPr>
        <w:t xml:space="preserve"> EL tasandil</w:t>
      </w:r>
      <w:r w:rsidR="001666B0" w:rsidRPr="003331EF">
        <w:rPr>
          <w:bCs/>
          <w:iCs/>
          <w:spacing w:val="-5"/>
          <w:lang w:eastAsia="en-US"/>
        </w:rPr>
        <w:t xml:space="preserve"> reguleeritud</w:t>
      </w:r>
      <w:r w:rsidRPr="003331EF">
        <w:rPr>
          <w:bCs/>
          <w:iCs/>
          <w:spacing w:val="-5"/>
          <w:lang w:eastAsia="en-US"/>
        </w:rPr>
        <w:t xml:space="preserve"> Euroopa Parlamendi ja nõukogu määrus</w:t>
      </w:r>
      <w:r w:rsidR="00D704F6" w:rsidRPr="003331EF">
        <w:rPr>
          <w:bCs/>
          <w:iCs/>
          <w:spacing w:val="-5"/>
          <w:lang w:eastAsia="en-US"/>
        </w:rPr>
        <w:t>es</w:t>
      </w:r>
      <w:r w:rsidRPr="003331EF">
        <w:rPr>
          <w:bCs/>
          <w:iCs/>
          <w:spacing w:val="-5"/>
          <w:lang w:eastAsia="en-US"/>
        </w:rPr>
        <w:t xml:space="preserve"> (EL) </w:t>
      </w:r>
      <w:r w:rsidR="00DB641E" w:rsidRPr="003331EF">
        <w:rPr>
          <w:bCs/>
          <w:iCs/>
          <w:spacing w:val="-5"/>
          <w:lang w:eastAsia="en-US"/>
        </w:rPr>
        <w:t xml:space="preserve">2023/1114, 31. mai 2023, </w:t>
      </w:r>
      <w:r w:rsidRPr="003331EF">
        <w:rPr>
          <w:bCs/>
          <w:iCs/>
          <w:spacing w:val="-5"/>
          <w:lang w:eastAsia="en-US"/>
        </w:rPr>
        <w:t xml:space="preserve">mis käsitleb </w:t>
      </w:r>
      <w:proofErr w:type="spellStart"/>
      <w:r w:rsidRPr="003331EF">
        <w:rPr>
          <w:bCs/>
          <w:iCs/>
          <w:spacing w:val="-5"/>
          <w:lang w:eastAsia="en-US"/>
        </w:rPr>
        <w:t>krüptovaraturge</w:t>
      </w:r>
      <w:proofErr w:type="spellEnd"/>
      <w:r w:rsidRPr="003331EF">
        <w:rPr>
          <w:bCs/>
          <w:iCs/>
          <w:spacing w:val="-5"/>
          <w:lang w:eastAsia="en-US"/>
        </w:rPr>
        <w:t xml:space="preserve"> ning millega muudetakse määrusi (EL) nr 1093/2010 ja (EL) nr 1095/2010 ning direktiive 2013/36/EL ja (EL) 2019/1937</w:t>
      </w:r>
      <w:r w:rsidRPr="003331EF">
        <w:t xml:space="preserve"> (edaspidi </w:t>
      </w:r>
      <w:proofErr w:type="spellStart"/>
      <w:r w:rsidRPr="003331EF">
        <w:rPr>
          <w:b/>
          <w:bCs/>
          <w:i/>
          <w:iCs/>
        </w:rPr>
        <w:t>M</w:t>
      </w:r>
      <w:r w:rsidR="00A03096">
        <w:rPr>
          <w:b/>
          <w:bCs/>
          <w:i/>
          <w:iCs/>
        </w:rPr>
        <w:t>i</w:t>
      </w:r>
      <w:r w:rsidRPr="003331EF">
        <w:rPr>
          <w:b/>
          <w:bCs/>
          <w:i/>
          <w:iCs/>
        </w:rPr>
        <w:t>CA</w:t>
      </w:r>
      <w:proofErr w:type="spellEnd"/>
      <w:r w:rsidRPr="003331EF">
        <w:rPr>
          <w:b/>
          <w:bCs/>
          <w:i/>
          <w:iCs/>
        </w:rPr>
        <w:t xml:space="preserve"> määrus</w:t>
      </w:r>
      <w:r w:rsidRPr="003331EF">
        <w:t>)</w:t>
      </w:r>
      <w:r w:rsidR="0007264C" w:rsidRPr="003331EF">
        <w:rPr>
          <w:rStyle w:val="Allmrkuseviide"/>
        </w:rPr>
        <w:footnoteReference w:id="2"/>
      </w:r>
      <w:r w:rsidR="00D704F6" w:rsidRPr="003331EF">
        <w:t xml:space="preserve">. </w:t>
      </w:r>
    </w:p>
    <w:p w14:paraId="72F0EF0F" w14:textId="77777777" w:rsidR="00EA7D84" w:rsidRPr="003331EF" w:rsidRDefault="00EA7D84" w:rsidP="003331EF">
      <w:pPr>
        <w:spacing w:before="0"/>
        <w:contextualSpacing/>
      </w:pPr>
    </w:p>
    <w:p w14:paraId="16410822" w14:textId="17900FE4" w:rsidR="00F43F9D" w:rsidRPr="003331EF" w:rsidRDefault="00EA7D84" w:rsidP="003331EF">
      <w:pPr>
        <w:spacing w:before="0"/>
        <w:contextualSpacing/>
        <w:rPr>
          <w:bCs/>
          <w:iCs/>
          <w:spacing w:val="-5"/>
          <w:lang w:eastAsia="en-US"/>
        </w:rPr>
      </w:pPr>
      <w:r w:rsidRPr="003331EF">
        <w:rPr>
          <w:bCs/>
          <w:iCs/>
          <w:spacing w:val="-5"/>
          <w:lang w:eastAsia="en-US"/>
        </w:rPr>
        <w:t xml:space="preserve">Kui rahapesu tõkestamise järelevalve välja arvata, puudusid seni </w:t>
      </w:r>
      <w:proofErr w:type="spellStart"/>
      <w:r w:rsidRPr="003331EF">
        <w:rPr>
          <w:bCs/>
          <w:iCs/>
          <w:spacing w:val="-5"/>
          <w:lang w:eastAsia="en-US"/>
        </w:rPr>
        <w:t>EL-ülesed</w:t>
      </w:r>
      <w:proofErr w:type="spellEnd"/>
      <w:r w:rsidRPr="003331EF">
        <w:rPr>
          <w:bCs/>
          <w:iCs/>
          <w:spacing w:val="-5"/>
          <w:lang w:eastAsia="en-US"/>
        </w:rPr>
        <w:t xml:space="preserve"> ühtsed reeglid </w:t>
      </w:r>
      <w:proofErr w:type="spellStart"/>
      <w:r w:rsidRPr="003331EF">
        <w:rPr>
          <w:bCs/>
          <w:iCs/>
          <w:spacing w:val="-5"/>
          <w:lang w:eastAsia="en-US"/>
        </w:rPr>
        <w:t>krüptovaraga</w:t>
      </w:r>
      <w:proofErr w:type="spellEnd"/>
      <w:r w:rsidRPr="003331EF">
        <w:rPr>
          <w:bCs/>
          <w:iCs/>
          <w:spacing w:val="-5"/>
          <w:lang w:eastAsia="en-US"/>
        </w:rPr>
        <w:t xml:space="preserve"> seotud teenuste osutamise kohta, sealhulgas </w:t>
      </w:r>
      <w:proofErr w:type="spellStart"/>
      <w:r w:rsidRPr="003331EF">
        <w:rPr>
          <w:bCs/>
          <w:iCs/>
          <w:spacing w:val="-5"/>
          <w:lang w:eastAsia="en-US"/>
        </w:rPr>
        <w:t>krüptovaraga</w:t>
      </w:r>
      <w:proofErr w:type="spellEnd"/>
      <w:r w:rsidRPr="003331EF">
        <w:rPr>
          <w:bCs/>
          <w:iCs/>
          <w:spacing w:val="-5"/>
          <w:lang w:eastAsia="en-US"/>
        </w:rPr>
        <w:t xml:space="preserve"> kauplemise platvormide korraldamiseks, </w:t>
      </w:r>
      <w:proofErr w:type="spellStart"/>
      <w:r w:rsidRPr="003331EF">
        <w:rPr>
          <w:bCs/>
          <w:iCs/>
          <w:spacing w:val="-5"/>
          <w:lang w:eastAsia="en-US"/>
        </w:rPr>
        <w:t>krüptovara</w:t>
      </w:r>
      <w:proofErr w:type="spellEnd"/>
      <w:r w:rsidRPr="003331EF">
        <w:rPr>
          <w:bCs/>
          <w:iCs/>
          <w:spacing w:val="-5"/>
          <w:lang w:eastAsia="en-US"/>
        </w:rPr>
        <w:t xml:space="preserve"> vahetamiseks rahaliste vahendite või muu </w:t>
      </w:r>
      <w:proofErr w:type="spellStart"/>
      <w:r w:rsidRPr="003331EF">
        <w:rPr>
          <w:bCs/>
          <w:iCs/>
          <w:spacing w:val="-5"/>
          <w:lang w:eastAsia="en-US"/>
        </w:rPr>
        <w:t>krüptovara</w:t>
      </w:r>
      <w:proofErr w:type="spellEnd"/>
      <w:r w:rsidRPr="003331EF">
        <w:rPr>
          <w:bCs/>
          <w:iCs/>
          <w:spacing w:val="-5"/>
          <w:lang w:eastAsia="en-US"/>
        </w:rPr>
        <w:t xml:space="preserve"> vastu ning </w:t>
      </w:r>
      <w:proofErr w:type="spellStart"/>
      <w:r w:rsidRPr="003331EF">
        <w:rPr>
          <w:bCs/>
          <w:iCs/>
          <w:spacing w:val="-5"/>
          <w:lang w:eastAsia="en-US"/>
        </w:rPr>
        <w:t>krüptovara</w:t>
      </w:r>
      <w:proofErr w:type="spellEnd"/>
      <w:r w:rsidRPr="003331EF">
        <w:rPr>
          <w:bCs/>
          <w:iCs/>
          <w:spacing w:val="-5"/>
          <w:lang w:eastAsia="en-US"/>
        </w:rPr>
        <w:t xml:space="preserve"> hoidmiseks ja haldamiseks kliendi nimel. </w:t>
      </w:r>
      <w:r w:rsidR="00E9457F" w:rsidRPr="003331EF">
        <w:rPr>
          <w:bCs/>
          <w:iCs/>
          <w:spacing w:val="-5"/>
          <w:lang w:eastAsia="en-US"/>
        </w:rPr>
        <w:t xml:space="preserve">Euroopa Komisjoni hinnangul on EL üleste reeglite </w:t>
      </w:r>
      <w:r w:rsidRPr="003331EF">
        <w:rPr>
          <w:bCs/>
          <w:iCs/>
          <w:spacing w:val="-5"/>
          <w:lang w:eastAsia="en-US"/>
        </w:rPr>
        <w:t xml:space="preserve">puudumine toonud kaasa </w:t>
      </w:r>
      <w:proofErr w:type="spellStart"/>
      <w:r w:rsidRPr="003331EF">
        <w:rPr>
          <w:bCs/>
          <w:iCs/>
          <w:spacing w:val="-5"/>
          <w:lang w:eastAsia="en-US"/>
        </w:rPr>
        <w:t>krüptovara</w:t>
      </w:r>
      <w:proofErr w:type="spellEnd"/>
      <w:r w:rsidRPr="003331EF">
        <w:rPr>
          <w:bCs/>
          <w:iCs/>
          <w:spacing w:val="-5"/>
          <w:lang w:eastAsia="en-US"/>
        </w:rPr>
        <w:t xml:space="preserve"> omanikele riske</w:t>
      </w:r>
      <w:r w:rsidR="00B65CF8" w:rsidRPr="003331EF">
        <w:rPr>
          <w:bCs/>
          <w:iCs/>
          <w:spacing w:val="-5"/>
          <w:lang w:eastAsia="en-US"/>
        </w:rPr>
        <w:t xml:space="preserve"> </w:t>
      </w:r>
      <w:r w:rsidR="00E9457F" w:rsidRPr="003331EF">
        <w:rPr>
          <w:bCs/>
          <w:iCs/>
          <w:spacing w:val="-5"/>
          <w:lang w:eastAsia="en-US"/>
        </w:rPr>
        <w:t>ja</w:t>
      </w:r>
      <w:r w:rsidRPr="003331EF">
        <w:rPr>
          <w:bCs/>
          <w:iCs/>
          <w:spacing w:val="-5"/>
          <w:lang w:eastAsia="en-US"/>
        </w:rPr>
        <w:t xml:space="preserve"> mõjutanud ka </w:t>
      </w:r>
      <w:proofErr w:type="spellStart"/>
      <w:r w:rsidR="00E9457F" w:rsidRPr="003331EF">
        <w:rPr>
          <w:bCs/>
          <w:iCs/>
          <w:spacing w:val="-5"/>
          <w:lang w:eastAsia="en-US"/>
        </w:rPr>
        <w:t>krüpto</w:t>
      </w:r>
      <w:r w:rsidR="004036FB" w:rsidRPr="003331EF">
        <w:rPr>
          <w:bCs/>
          <w:iCs/>
          <w:spacing w:val="-5"/>
          <w:lang w:eastAsia="en-US"/>
        </w:rPr>
        <w:t>vara</w:t>
      </w:r>
      <w:r w:rsidRPr="003331EF">
        <w:rPr>
          <w:bCs/>
          <w:iCs/>
          <w:spacing w:val="-5"/>
          <w:lang w:eastAsia="en-US"/>
        </w:rPr>
        <w:t>turu</w:t>
      </w:r>
      <w:proofErr w:type="spellEnd"/>
      <w:r w:rsidRPr="003331EF">
        <w:rPr>
          <w:bCs/>
          <w:iCs/>
          <w:spacing w:val="-5"/>
          <w:lang w:eastAsia="en-US"/>
        </w:rPr>
        <w:t xml:space="preserve"> usaldusväärsust, sh turu kuritarvitamise ja finantskuritegevuse mõttes.</w:t>
      </w:r>
      <w:r w:rsidR="00F43F9D" w:rsidRPr="003331EF">
        <w:rPr>
          <w:bCs/>
          <w:iCs/>
          <w:spacing w:val="-5"/>
          <w:lang w:eastAsia="en-US"/>
        </w:rPr>
        <w:t xml:space="preserve"> </w:t>
      </w:r>
      <w:r w:rsidR="00925627" w:rsidRPr="003331EF">
        <w:rPr>
          <w:bCs/>
          <w:iCs/>
          <w:spacing w:val="-5"/>
          <w:lang w:eastAsia="en-US"/>
        </w:rPr>
        <w:t>Ühtse EL regulatsiooni puudumine on toonud kaasa selle, et iga liikmesriik on proovinud seda valdkonda reguleerida ise</w:t>
      </w:r>
      <w:r w:rsidR="00F43F9D" w:rsidRPr="003331EF">
        <w:rPr>
          <w:bCs/>
          <w:iCs/>
          <w:spacing w:val="-5"/>
          <w:lang w:eastAsia="en-US"/>
        </w:rPr>
        <w:t xml:space="preserve"> ja</w:t>
      </w:r>
      <w:r w:rsidR="00925627" w:rsidRPr="003331EF">
        <w:rPr>
          <w:bCs/>
          <w:iCs/>
          <w:spacing w:val="-5"/>
          <w:lang w:eastAsia="en-US"/>
        </w:rPr>
        <w:t xml:space="preserve"> see on</w:t>
      </w:r>
      <w:r w:rsidR="00F43F9D" w:rsidRPr="003331EF">
        <w:rPr>
          <w:bCs/>
          <w:iCs/>
          <w:spacing w:val="-5"/>
          <w:lang w:eastAsia="en-US"/>
        </w:rPr>
        <w:t xml:space="preserve"> tekitanud õiguslikku arbitraaži. </w:t>
      </w:r>
    </w:p>
    <w:p w14:paraId="23FFBE2F" w14:textId="77777777" w:rsidR="00EA7D84" w:rsidRPr="003331EF" w:rsidRDefault="00EA7D84" w:rsidP="003331EF">
      <w:pPr>
        <w:spacing w:before="0"/>
        <w:contextualSpacing/>
      </w:pPr>
    </w:p>
    <w:p w14:paraId="6B9E4F9C" w14:textId="4B97F0D6" w:rsidR="00F43F9D" w:rsidRPr="003331EF" w:rsidRDefault="00D704F6" w:rsidP="003331EF">
      <w:pPr>
        <w:spacing w:before="0"/>
        <w:contextualSpacing/>
      </w:pPr>
      <w:proofErr w:type="spellStart"/>
      <w:r w:rsidRPr="003331EF">
        <w:rPr>
          <w:b/>
          <w:bCs/>
        </w:rPr>
        <w:t>M</w:t>
      </w:r>
      <w:r w:rsidR="00A03096">
        <w:rPr>
          <w:b/>
          <w:bCs/>
        </w:rPr>
        <w:t>i</w:t>
      </w:r>
      <w:r w:rsidRPr="003331EF">
        <w:rPr>
          <w:b/>
          <w:bCs/>
        </w:rPr>
        <w:t>CA</w:t>
      </w:r>
      <w:proofErr w:type="spellEnd"/>
      <w:r w:rsidRPr="003331EF">
        <w:rPr>
          <w:b/>
          <w:bCs/>
        </w:rPr>
        <w:t xml:space="preserve"> määruse eesmärk</w:t>
      </w:r>
      <w:r w:rsidR="0043253A" w:rsidRPr="003331EF">
        <w:t xml:space="preserve"> </w:t>
      </w:r>
      <w:r w:rsidR="00B65CF8" w:rsidRPr="003331EF">
        <w:rPr>
          <w:bCs/>
          <w:iCs/>
          <w:spacing w:val="-5"/>
          <w:lang w:eastAsia="en-US"/>
        </w:rPr>
        <w:t xml:space="preserve">on </w:t>
      </w:r>
      <w:r w:rsidR="0043253A" w:rsidRPr="003331EF">
        <w:rPr>
          <w:bCs/>
          <w:iCs/>
          <w:spacing w:val="-5"/>
          <w:lang w:eastAsia="en-US"/>
        </w:rPr>
        <w:t>toetada innovatsiooni ja ausat konkurentsi</w:t>
      </w:r>
      <w:r w:rsidR="00F43F9D" w:rsidRPr="003331EF">
        <w:rPr>
          <w:bCs/>
          <w:iCs/>
          <w:spacing w:val="-5"/>
          <w:lang w:eastAsia="en-US"/>
        </w:rPr>
        <w:t xml:space="preserve"> ning</w:t>
      </w:r>
      <w:r w:rsidR="0043253A" w:rsidRPr="003331EF">
        <w:rPr>
          <w:bCs/>
          <w:iCs/>
          <w:spacing w:val="-5"/>
          <w:lang w:eastAsia="en-US"/>
        </w:rPr>
        <w:t xml:space="preserve"> taga</w:t>
      </w:r>
      <w:r w:rsidR="00485782" w:rsidRPr="003331EF">
        <w:rPr>
          <w:bCs/>
          <w:iCs/>
          <w:spacing w:val="-5"/>
          <w:lang w:eastAsia="en-US"/>
        </w:rPr>
        <w:t>d</w:t>
      </w:r>
      <w:r w:rsidR="0043253A" w:rsidRPr="003331EF">
        <w:rPr>
          <w:bCs/>
          <w:iCs/>
          <w:spacing w:val="-5"/>
          <w:lang w:eastAsia="en-US"/>
        </w:rPr>
        <w:t xml:space="preserve">a samal ajal </w:t>
      </w:r>
      <w:r w:rsidR="00925627" w:rsidRPr="003331EF">
        <w:rPr>
          <w:bCs/>
          <w:iCs/>
          <w:spacing w:val="-5"/>
          <w:lang w:eastAsia="en-US"/>
        </w:rPr>
        <w:t>investorite piisav</w:t>
      </w:r>
      <w:r w:rsidR="0043253A" w:rsidRPr="003331EF">
        <w:rPr>
          <w:bCs/>
          <w:iCs/>
          <w:spacing w:val="-5"/>
          <w:lang w:eastAsia="en-US"/>
        </w:rPr>
        <w:t xml:space="preserve"> kaitse ja </w:t>
      </w:r>
      <w:proofErr w:type="spellStart"/>
      <w:r w:rsidR="0043253A" w:rsidRPr="003331EF">
        <w:rPr>
          <w:bCs/>
          <w:iCs/>
          <w:spacing w:val="-5"/>
          <w:lang w:eastAsia="en-US"/>
        </w:rPr>
        <w:t>krüptovaraturgude</w:t>
      </w:r>
      <w:proofErr w:type="spellEnd"/>
      <w:r w:rsidR="0043253A" w:rsidRPr="003331EF">
        <w:rPr>
          <w:bCs/>
          <w:iCs/>
          <w:spacing w:val="-5"/>
          <w:lang w:eastAsia="en-US"/>
        </w:rPr>
        <w:t xml:space="preserve"> usaldusväärsus.</w:t>
      </w:r>
      <w:r w:rsidR="00F43F9D" w:rsidRPr="003331EF">
        <w:rPr>
          <w:bCs/>
          <w:iCs/>
          <w:spacing w:val="-5"/>
          <w:lang w:eastAsia="en-US"/>
        </w:rPr>
        <w:t xml:space="preserve"> </w:t>
      </w:r>
      <w:r w:rsidR="00925627" w:rsidRPr="003331EF">
        <w:rPr>
          <w:bCs/>
          <w:iCs/>
          <w:spacing w:val="-5"/>
          <w:lang w:eastAsia="en-US"/>
        </w:rPr>
        <w:t>Lisaks</w:t>
      </w:r>
      <w:r w:rsidR="00F43F9D" w:rsidRPr="003331EF">
        <w:rPr>
          <w:bCs/>
          <w:iCs/>
          <w:spacing w:val="-5"/>
          <w:lang w:eastAsia="en-US"/>
        </w:rPr>
        <w:t xml:space="preserve"> võimaldab</w:t>
      </w:r>
      <w:r w:rsidR="00925627" w:rsidRPr="003331EF">
        <w:rPr>
          <w:bCs/>
          <w:iCs/>
          <w:spacing w:val="-5"/>
          <w:lang w:eastAsia="en-US"/>
        </w:rPr>
        <w:t xml:space="preserve"> see</w:t>
      </w:r>
      <w:r w:rsidR="00F43F9D" w:rsidRPr="003331EF">
        <w:rPr>
          <w:bCs/>
          <w:iCs/>
          <w:spacing w:val="-5"/>
          <w:lang w:eastAsia="en-US"/>
        </w:rPr>
        <w:t xml:space="preserve"> </w:t>
      </w:r>
      <w:proofErr w:type="spellStart"/>
      <w:r w:rsidR="00F43F9D" w:rsidRPr="003331EF">
        <w:rPr>
          <w:bCs/>
          <w:iCs/>
          <w:spacing w:val="-5"/>
          <w:lang w:eastAsia="en-US"/>
        </w:rPr>
        <w:t>krüptovarateenuse</w:t>
      </w:r>
      <w:proofErr w:type="spellEnd"/>
      <w:r w:rsidR="00F43F9D" w:rsidRPr="003331EF">
        <w:rPr>
          <w:bCs/>
          <w:iCs/>
          <w:spacing w:val="-5"/>
          <w:lang w:eastAsia="en-US"/>
        </w:rPr>
        <w:t xml:space="preserve"> osutajatel </w:t>
      </w:r>
      <w:r w:rsidR="00E27745" w:rsidRPr="003331EF">
        <w:rPr>
          <w:bCs/>
          <w:iCs/>
          <w:spacing w:val="-5"/>
          <w:lang w:eastAsia="en-US"/>
        </w:rPr>
        <w:t>pakkuda oma teenuseid samade</w:t>
      </w:r>
      <w:r w:rsidR="00440EDD" w:rsidRPr="003331EF">
        <w:rPr>
          <w:bCs/>
          <w:iCs/>
          <w:spacing w:val="-5"/>
          <w:lang w:eastAsia="en-US"/>
        </w:rPr>
        <w:t xml:space="preserve"> reeglite alusel</w:t>
      </w:r>
      <w:r w:rsidR="00E27745" w:rsidRPr="003331EF">
        <w:rPr>
          <w:bCs/>
          <w:iCs/>
          <w:spacing w:val="-5"/>
          <w:lang w:eastAsia="en-US"/>
        </w:rPr>
        <w:t xml:space="preserve"> ükskõik millises liikmesriigis</w:t>
      </w:r>
      <w:r w:rsidR="00F43F9D" w:rsidRPr="003331EF">
        <w:rPr>
          <w:bCs/>
          <w:iCs/>
          <w:spacing w:val="-5"/>
          <w:lang w:eastAsia="en-US"/>
        </w:rPr>
        <w:t xml:space="preserve">. </w:t>
      </w:r>
      <w:r w:rsidR="00E27745" w:rsidRPr="003331EF">
        <w:rPr>
          <w:bCs/>
          <w:iCs/>
          <w:spacing w:val="-5"/>
          <w:lang w:eastAsia="en-US"/>
        </w:rPr>
        <w:t xml:space="preserve">Oluline on märkida, et </w:t>
      </w:r>
      <w:proofErr w:type="spellStart"/>
      <w:r w:rsidR="00E27745" w:rsidRPr="003331EF">
        <w:rPr>
          <w:bCs/>
          <w:iCs/>
          <w:spacing w:val="-5"/>
          <w:lang w:eastAsia="en-US"/>
        </w:rPr>
        <w:t>M</w:t>
      </w:r>
      <w:r w:rsidR="00A03096">
        <w:rPr>
          <w:bCs/>
          <w:iCs/>
          <w:spacing w:val="-5"/>
          <w:lang w:eastAsia="en-US"/>
        </w:rPr>
        <w:t>i</w:t>
      </w:r>
      <w:r w:rsidR="00E27745" w:rsidRPr="003331EF">
        <w:rPr>
          <w:bCs/>
          <w:iCs/>
          <w:spacing w:val="-5"/>
          <w:lang w:eastAsia="en-US"/>
        </w:rPr>
        <w:t>CA</w:t>
      </w:r>
      <w:proofErr w:type="spellEnd"/>
      <w:r w:rsidR="00E27745" w:rsidRPr="003331EF">
        <w:rPr>
          <w:bCs/>
          <w:iCs/>
          <w:spacing w:val="-5"/>
          <w:lang w:eastAsia="en-US"/>
        </w:rPr>
        <w:t xml:space="preserve"> määrus ei reguleeri tehnoloogia</w:t>
      </w:r>
      <w:r w:rsidR="00D052FB" w:rsidRPr="003331EF">
        <w:rPr>
          <w:bCs/>
          <w:iCs/>
          <w:spacing w:val="-5"/>
          <w:lang w:eastAsia="en-US"/>
        </w:rPr>
        <w:t>id ega detsentraliseeritud süsteeme endid</w:t>
      </w:r>
      <w:r w:rsidR="00E27745" w:rsidRPr="003331EF">
        <w:rPr>
          <w:bCs/>
          <w:iCs/>
          <w:spacing w:val="-5"/>
          <w:lang w:eastAsia="en-US"/>
        </w:rPr>
        <w:t xml:space="preserve"> (nt </w:t>
      </w:r>
      <w:r w:rsidR="00D052FB" w:rsidRPr="003331EF">
        <w:rPr>
          <w:bCs/>
          <w:iCs/>
          <w:spacing w:val="-5"/>
          <w:lang w:eastAsia="en-US"/>
        </w:rPr>
        <w:t xml:space="preserve">ei </w:t>
      </w:r>
      <w:r w:rsidR="00E27745" w:rsidRPr="003331EF">
        <w:rPr>
          <w:bCs/>
          <w:iCs/>
          <w:spacing w:val="-5"/>
          <w:lang w:eastAsia="en-US"/>
        </w:rPr>
        <w:t>plokiahelat</w:t>
      </w:r>
      <w:r w:rsidR="00D052FB" w:rsidRPr="003331EF">
        <w:rPr>
          <w:bCs/>
          <w:iCs/>
          <w:spacing w:val="-5"/>
          <w:lang w:eastAsia="en-US"/>
        </w:rPr>
        <w:t xml:space="preserve"> ega </w:t>
      </w:r>
      <w:proofErr w:type="spellStart"/>
      <w:r w:rsidR="00D052FB" w:rsidRPr="00CD49F4">
        <w:rPr>
          <w:bCs/>
          <w:i/>
          <w:spacing w:val="-5"/>
          <w:lang w:eastAsia="en-US"/>
        </w:rPr>
        <w:t>bitcoin</w:t>
      </w:r>
      <w:r w:rsidR="00D052FB" w:rsidRPr="003331EF">
        <w:rPr>
          <w:bCs/>
          <w:iCs/>
          <w:spacing w:val="-5"/>
          <w:lang w:eastAsia="en-US"/>
        </w:rPr>
        <w:t>’i</w:t>
      </w:r>
      <w:proofErr w:type="spellEnd"/>
      <w:r w:rsidR="00D052FB" w:rsidRPr="003331EF">
        <w:rPr>
          <w:bCs/>
          <w:iCs/>
          <w:spacing w:val="-5"/>
          <w:lang w:eastAsia="en-US"/>
        </w:rPr>
        <w:t xml:space="preserve"> protokolli</w:t>
      </w:r>
      <w:r w:rsidR="00E27745" w:rsidRPr="003331EF">
        <w:rPr>
          <w:bCs/>
          <w:iCs/>
          <w:spacing w:val="-5"/>
          <w:lang w:eastAsia="en-US"/>
        </w:rPr>
        <w:t>)</w:t>
      </w:r>
      <w:r w:rsidR="00D052FB" w:rsidRPr="003331EF">
        <w:rPr>
          <w:bCs/>
          <w:iCs/>
          <w:spacing w:val="-5"/>
          <w:lang w:eastAsia="en-US"/>
        </w:rPr>
        <w:t>.</w:t>
      </w:r>
      <w:r w:rsidR="00E27745" w:rsidRPr="003331EF">
        <w:rPr>
          <w:bCs/>
          <w:iCs/>
          <w:spacing w:val="-5"/>
          <w:lang w:eastAsia="en-US"/>
        </w:rPr>
        <w:t xml:space="preserve"> </w:t>
      </w:r>
      <w:r w:rsidR="002115AD" w:rsidRPr="003331EF">
        <w:rPr>
          <w:bCs/>
          <w:iCs/>
          <w:spacing w:val="-5"/>
          <w:lang w:eastAsia="en-US"/>
        </w:rPr>
        <w:t xml:space="preserve">Seega on </w:t>
      </w:r>
      <w:proofErr w:type="spellStart"/>
      <w:r w:rsidR="002115AD" w:rsidRPr="003331EF">
        <w:rPr>
          <w:bCs/>
          <w:iCs/>
          <w:spacing w:val="-5"/>
          <w:lang w:eastAsia="en-US"/>
        </w:rPr>
        <w:t>M</w:t>
      </w:r>
      <w:r w:rsidR="00A03096">
        <w:rPr>
          <w:bCs/>
          <w:iCs/>
          <w:spacing w:val="-5"/>
          <w:lang w:eastAsia="en-US"/>
        </w:rPr>
        <w:t>i</w:t>
      </w:r>
      <w:r w:rsidR="002115AD" w:rsidRPr="003331EF">
        <w:rPr>
          <w:bCs/>
          <w:iCs/>
          <w:spacing w:val="-5"/>
          <w:lang w:eastAsia="en-US"/>
        </w:rPr>
        <w:t>CA</w:t>
      </w:r>
      <w:proofErr w:type="spellEnd"/>
      <w:r w:rsidR="002115AD" w:rsidRPr="003331EF">
        <w:rPr>
          <w:bCs/>
          <w:iCs/>
          <w:spacing w:val="-5"/>
          <w:lang w:eastAsia="en-US"/>
        </w:rPr>
        <w:t xml:space="preserve"> määrus osa laiemast </w:t>
      </w:r>
      <w:proofErr w:type="spellStart"/>
      <w:r w:rsidR="002115AD" w:rsidRPr="003331EF">
        <w:rPr>
          <w:bCs/>
          <w:iCs/>
          <w:spacing w:val="-5"/>
          <w:lang w:eastAsia="en-US"/>
        </w:rPr>
        <w:t>krüptovara</w:t>
      </w:r>
      <w:proofErr w:type="spellEnd"/>
      <w:r w:rsidR="002115AD" w:rsidRPr="003331EF">
        <w:rPr>
          <w:bCs/>
          <w:iCs/>
          <w:spacing w:val="-5"/>
          <w:lang w:eastAsia="en-US"/>
        </w:rPr>
        <w:t xml:space="preserve"> ja hajusraamatu tehnoloogia (DLT) raamistikust</w:t>
      </w:r>
      <w:r w:rsidR="00371783" w:rsidRPr="003331EF">
        <w:rPr>
          <w:b/>
          <w:iCs/>
          <w:spacing w:val="-5"/>
          <w:vertAlign w:val="superscript"/>
          <w:lang w:eastAsia="en-US"/>
        </w:rPr>
        <w:footnoteReference w:id="3"/>
      </w:r>
      <w:r w:rsidR="002115AD" w:rsidRPr="003331EF">
        <w:rPr>
          <w:bCs/>
          <w:iCs/>
          <w:spacing w:val="-5"/>
          <w:lang w:eastAsia="en-US"/>
        </w:rPr>
        <w:t>, millega tagatakse, et kehtivad õigusaktid ei takista uue tehnoloogia kasutuselevõttu, aga samal ajal saavutatakse asjakohased regulatiivsed eesmärgid.</w:t>
      </w:r>
    </w:p>
    <w:p w14:paraId="2F4A7783" w14:textId="77777777" w:rsidR="00717509" w:rsidRPr="003331EF" w:rsidRDefault="00717509" w:rsidP="003331EF">
      <w:pPr>
        <w:spacing w:before="0"/>
        <w:contextualSpacing/>
      </w:pPr>
    </w:p>
    <w:p w14:paraId="5F13060B" w14:textId="5D29E9EC" w:rsidR="00717509" w:rsidRPr="003331EF" w:rsidRDefault="00D052FB" w:rsidP="003331EF">
      <w:pPr>
        <w:spacing w:before="0"/>
        <w:rPr>
          <w:bCs/>
          <w:iCs/>
          <w:spacing w:val="-5"/>
          <w:lang w:eastAsia="en-US"/>
        </w:rPr>
      </w:pPr>
      <w:r w:rsidRPr="003331EF">
        <w:rPr>
          <w:bCs/>
          <w:iCs/>
          <w:spacing w:val="-5"/>
          <w:lang w:eastAsia="en-US"/>
        </w:rPr>
        <w:lastRenderedPageBreak/>
        <w:t xml:space="preserve">Kuigi viimastel aastatel on </w:t>
      </w:r>
      <w:r w:rsidR="00DC268C" w:rsidRPr="003331EF">
        <w:rPr>
          <w:bCs/>
          <w:iCs/>
          <w:spacing w:val="-5"/>
          <w:lang w:eastAsia="en-US"/>
        </w:rPr>
        <w:t xml:space="preserve">turule tulnud uusi </w:t>
      </w:r>
      <w:proofErr w:type="spellStart"/>
      <w:r w:rsidR="00DC268C" w:rsidRPr="003331EF">
        <w:rPr>
          <w:bCs/>
          <w:iCs/>
          <w:spacing w:val="-5"/>
          <w:lang w:eastAsia="en-US"/>
        </w:rPr>
        <w:t>krüptovarasid</w:t>
      </w:r>
      <w:proofErr w:type="spellEnd"/>
      <w:r w:rsidR="00DC268C" w:rsidRPr="003331EF">
        <w:rPr>
          <w:b/>
          <w:iCs/>
          <w:spacing w:val="-5"/>
          <w:vertAlign w:val="superscript"/>
          <w:lang w:eastAsia="en-US"/>
        </w:rPr>
        <w:footnoteReference w:id="4"/>
      </w:r>
      <w:r w:rsidR="00DC268C" w:rsidRPr="003331EF">
        <w:rPr>
          <w:bCs/>
          <w:iCs/>
          <w:spacing w:val="-5"/>
          <w:lang w:eastAsia="en-US"/>
        </w:rPr>
        <w:t xml:space="preserve"> ja </w:t>
      </w:r>
      <w:r w:rsidRPr="003331EF">
        <w:rPr>
          <w:bCs/>
          <w:iCs/>
          <w:spacing w:val="-5"/>
          <w:lang w:eastAsia="en-US"/>
        </w:rPr>
        <w:t xml:space="preserve">erinevatesse </w:t>
      </w:r>
      <w:proofErr w:type="spellStart"/>
      <w:r w:rsidRPr="003331EF">
        <w:rPr>
          <w:bCs/>
          <w:iCs/>
          <w:spacing w:val="-5"/>
          <w:lang w:eastAsia="en-US"/>
        </w:rPr>
        <w:t>krüptovaradesse</w:t>
      </w:r>
      <w:proofErr w:type="spellEnd"/>
      <w:r w:rsidRPr="003331EF">
        <w:rPr>
          <w:bCs/>
          <w:iCs/>
          <w:spacing w:val="-5"/>
          <w:lang w:eastAsia="en-US"/>
        </w:rPr>
        <w:t xml:space="preserve"> investeerimis</w:t>
      </w:r>
      <w:r w:rsidR="00B65CF8" w:rsidRPr="003331EF">
        <w:rPr>
          <w:bCs/>
          <w:iCs/>
          <w:spacing w:val="-5"/>
          <w:lang w:eastAsia="en-US"/>
        </w:rPr>
        <w:t>e</w:t>
      </w:r>
      <w:r w:rsidRPr="003331EF">
        <w:rPr>
          <w:bCs/>
          <w:iCs/>
          <w:spacing w:val="-5"/>
          <w:lang w:eastAsia="en-US"/>
        </w:rPr>
        <w:t xml:space="preserve"> populaarsus </w:t>
      </w:r>
      <w:r w:rsidR="00F550D2" w:rsidRPr="003331EF">
        <w:rPr>
          <w:bCs/>
          <w:iCs/>
          <w:spacing w:val="-5"/>
          <w:lang w:eastAsia="en-US"/>
        </w:rPr>
        <w:t xml:space="preserve">on </w:t>
      </w:r>
      <w:r w:rsidRPr="003331EF">
        <w:rPr>
          <w:bCs/>
          <w:iCs/>
          <w:spacing w:val="-5"/>
          <w:lang w:eastAsia="en-US"/>
        </w:rPr>
        <w:t xml:space="preserve">jõudsalt kasvanud, siis võrreldes </w:t>
      </w:r>
      <w:r w:rsidR="00717509" w:rsidRPr="003331EF">
        <w:rPr>
          <w:bCs/>
          <w:iCs/>
          <w:spacing w:val="-5"/>
          <w:lang w:eastAsia="en-US"/>
        </w:rPr>
        <w:t xml:space="preserve">traditsioonilise finantssektoriga on </w:t>
      </w:r>
      <w:proofErr w:type="spellStart"/>
      <w:r w:rsidR="00717509" w:rsidRPr="003331EF">
        <w:rPr>
          <w:bCs/>
          <w:iCs/>
          <w:spacing w:val="-5"/>
          <w:lang w:eastAsia="en-US"/>
        </w:rPr>
        <w:t>krüptovara</w:t>
      </w:r>
      <w:proofErr w:type="spellEnd"/>
      <w:r w:rsidR="00717509" w:rsidRPr="003331EF">
        <w:rPr>
          <w:bCs/>
          <w:iCs/>
          <w:spacing w:val="-5"/>
          <w:lang w:eastAsia="en-US"/>
        </w:rPr>
        <w:t xml:space="preserve"> turuväärtus üsna väike. 2021. aasta kolmandas kvartalis, mil globaalse </w:t>
      </w:r>
      <w:proofErr w:type="spellStart"/>
      <w:r w:rsidR="00717509" w:rsidRPr="003331EF">
        <w:rPr>
          <w:bCs/>
          <w:iCs/>
          <w:spacing w:val="-5"/>
          <w:lang w:eastAsia="en-US"/>
        </w:rPr>
        <w:t>krüptovaraturu</w:t>
      </w:r>
      <w:proofErr w:type="spellEnd"/>
      <w:r w:rsidR="00717509" w:rsidRPr="003331EF">
        <w:rPr>
          <w:bCs/>
          <w:iCs/>
          <w:spacing w:val="-5"/>
          <w:lang w:eastAsia="en-US"/>
        </w:rPr>
        <w:t xml:space="preserve"> turuväärtus oli haripunktis ehk ligi 3 miljardit USA dollarit, moodustas see ainult 1,5% ainuüksi EL</w:t>
      </w:r>
      <w:r w:rsidR="005558F4">
        <w:rPr>
          <w:bCs/>
          <w:iCs/>
          <w:spacing w:val="-5"/>
          <w:lang w:eastAsia="en-US"/>
        </w:rPr>
        <w:noBreakHyphen/>
        <w:t>i</w:t>
      </w:r>
      <w:r w:rsidR="00717509" w:rsidRPr="003331EF">
        <w:rPr>
          <w:bCs/>
          <w:iCs/>
          <w:spacing w:val="-5"/>
          <w:lang w:eastAsia="en-US"/>
        </w:rPr>
        <w:t xml:space="preserve"> finantssektori väärtusest, mida hinnati umbes 105 triljoni euro ulatuses. </w:t>
      </w:r>
      <w:r w:rsidRPr="003331EF">
        <w:rPr>
          <w:bCs/>
          <w:iCs/>
          <w:spacing w:val="-5"/>
          <w:lang w:eastAsia="en-US"/>
        </w:rPr>
        <w:t xml:space="preserve">2023. </w:t>
      </w:r>
      <w:r w:rsidR="00717509" w:rsidRPr="003331EF">
        <w:rPr>
          <w:bCs/>
          <w:iCs/>
          <w:spacing w:val="-5"/>
          <w:lang w:eastAsia="en-US"/>
        </w:rPr>
        <w:t xml:space="preserve">aasta märtsi seisuga moodustab </w:t>
      </w:r>
      <w:proofErr w:type="spellStart"/>
      <w:r w:rsidR="00717509" w:rsidRPr="003331EF">
        <w:rPr>
          <w:bCs/>
          <w:iCs/>
          <w:spacing w:val="-5"/>
          <w:lang w:eastAsia="en-US"/>
        </w:rPr>
        <w:t>krüptovarade</w:t>
      </w:r>
      <w:proofErr w:type="spellEnd"/>
      <w:r w:rsidR="00717509" w:rsidRPr="003331EF">
        <w:rPr>
          <w:bCs/>
          <w:iCs/>
          <w:spacing w:val="-5"/>
          <w:lang w:eastAsia="en-US"/>
        </w:rPr>
        <w:t xml:space="preserve"> turuväärtus</w:t>
      </w:r>
      <w:r w:rsidR="0047330A" w:rsidRPr="003331EF">
        <w:rPr>
          <w:bCs/>
          <w:iCs/>
          <w:spacing w:val="-5"/>
          <w:lang w:eastAsia="en-US"/>
        </w:rPr>
        <w:t xml:space="preserve"> globaalselt</w:t>
      </w:r>
      <w:r w:rsidR="00E57FF1" w:rsidRPr="003331EF">
        <w:rPr>
          <w:bCs/>
          <w:iCs/>
          <w:spacing w:val="-5"/>
          <w:lang w:eastAsia="en-US"/>
        </w:rPr>
        <w:t xml:space="preserve"> (890 miljardit dollarit)</w:t>
      </w:r>
      <w:r w:rsidR="00717509" w:rsidRPr="003331EF">
        <w:rPr>
          <w:bCs/>
          <w:iCs/>
          <w:spacing w:val="-5"/>
          <w:lang w:eastAsia="en-US"/>
        </w:rPr>
        <w:t xml:space="preserve"> </w:t>
      </w:r>
      <w:r w:rsidR="00B951EA" w:rsidRPr="003331EF">
        <w:rPr>
          <w:bCs/>
          <w:iCs/>
          <w:spacing w:val="-5"/>
          <w:lang w:eastAsia="en-US"/>
        </w:rPr>
        <w:t xml:space="preserve">kõigest </w:t>
      </w:r>
      <w:r w:rsidR="00717509" w:rsidRPr="003331EF">
        <w:rPr>
          <w:bCs/>
          <w:iCs/>
          <w:spacing w:val="-5"/>
          <w:lang w:eastAsia="en-US"/>
        </w:rPr>
        <w:t>umbes 0,8</w:t>
      </w:r>
      <w:r w:rsidR="00AC49A3" w:rsidRPr="003331EF">
        <w:rPr>
          <w:bCs/>
          <w:iCs/>
          <w:spacing w:val="-5"/>
          <w:lang w:eastAsia="en-US"/>
        </w:rPr>
        <w:t xml:space="preserve">% </w:t>
      </w:r>
      <w:r w:rsidR="00717509" w:rsidRPr="003331EF">
        <w:rPr>
          <w:bCs/>
          <w:iCs/>
          <w:spacing w:val="-5"/>
          <w:lang w:eastAsia="en-US"/>
        </w:rPr>
        <w:t xml:space="preserve">EL-i finantssektorist. </w:t>
      </w:r>
      <w:r w:rsidR="00B951EA" w:rsidRPr="003331EF">
        <w:rPr>
          <w:bCs/>
          <w:iCs/>
          <w:spacing w:val="-5"/>
          <w:lang w:eastAsia="en-US"/>
        </w:rPr>
        <w:t xml:space="preserve">Seetõttu on ka leitud, et vähemalt hetkel ei paista </w:t>
      </w:r>
      <w:proofErr w:type="spellStart"/>
      <w:r w:rsidR="00B951EA" w:rsidRPr="003331EF">
        <w:rPr>
          <w:bCs/>
          <w:iCs/>
          <w:spacing w:val="-5"/>
          <w:lang w:eastAsia="en-US"/>
        </w:rPr>
        <w:t>krüptovaral</w:t>
      </w:r>
      <w:proofErr w:type="spellEnd"/>
      <w:r w:rsidR="00B951EA" w:rsidRPr="003331EF">
        <w:rPr>
          <w:bCs/>
          <w:iCs/>
          <w:spacing w:val="-5"/>
          <w:lang w:eastAsia="en-US"/>
        </w:rPr>
        <w:t xml:space="preserve"> olevat traditsioonilisele finantssektorile märkimisväärset riski.</w:t>
      </w:r>
      <w:r w:rsidR="007930D9" w:rsidRPr="003331EF">
        <w:rPr>
          <w:bCs/>
          <w:iCs/>
          <w:spacing w:val="-5"/>
          <w:lang w:eastAsia="en-US"/>
        </w:rPr>
        <w:t xml:space="preserve"> Samas on ka leitud, et </w:t>
      </w:r>
      <w:proofErr w:type="spellStart"/>
      <w:r w:rsidR="007930D9" w:rsidRPr="003331EF">
        <w:rPr>
          <w:bCs/>
          <w:iCs/>
          <w:spacing w:val="-5"/>
          <w:lang w:eastAsia="en-US"/>
        </w:rPr>
        <w:t>krüptovara</w:t>
      </w:r>
      <w:proofErr w:type="spellEnd"/>
      <w:r w:rsidR="007930D9" w:rsidRPr="003331EF">
        <w:rPr>
          <w:bCs/>
          <w:iCs/>
          <w:spacing w:val="-5"/>
          <w:lang w:eastAsia="en-US"/>
        </w:rPr>
        <w:t xml:space="preserve"> võiks saada süsteemselt oluliseks, kui </w:t>
      </w:r>
      <w:proofErr w:type="spellStart"/>
      <w:r w:rsidR="007930D9" w:rsidRPr="003331EF">
        <w:rPr>
          <w:bCs/>
          <w:iCs/>
          <w:spacing w:val="-5"/>
          <w:lang w:eastAsia="en-US"/>
        </w:rPr>
        <w:t>stabelcoin’iga</w:t>
      </w:r>
      <w:proofErr w:type="spellEnd"/>
      <w:r w:rsidR="007930D9" w:rsidRPr="003331EF">
        <w:rPr>
          <w:bCs/>
          <w:iCs/>
          <w:spacing w:val="-5"/>
          <w:lang w:eastAsia="en-US"/>
        </w:rPr>
        <w:t xml:space="preserve"> seotud </w:t>
      </w:r>
      <w:r w:rsidR="0031004A" w:rsidRPr="003331EF">
        <w:rPr>
          <w:bCs/>
          <w:iCs/>
          <w:spacing w:val="-5"/>
          <w:lang w:eastAsia="en-US"/>
        </w:rPr>
        <w:t xml:space="preserve">mahud kasvavad näiteks 10 või 20 korda. </w:t>
      </w:r>
      <w:proofErr w:type="spellStart"/>
      <w:r w:rsidR="00AC49A3" w:rsidRPr="003331EF">
        <w:rPr>
          <w:bCs/>
          <w:iCs/>
          <w:spacing w:val="-5"/>
          <w:lang w:eastAsia="en-US"/>
        </w:rPr>
        <w:t>M</w:t>
      </w:r>
      <w:r w:rsidR="00A03096">
        <w:rPr>
          <w:bCs/>
          <w:iCs/>
          <w:spacing w:val="-5"/>
          <w:lang w:eastAsia="en-US"/>
        </w:rPr>
        <w:t>i</w:t>
      </w:r>
      <w:r w:rsidR="00AC49A3" w:rsidRPr="003331EF">
        <w:rPr>
          <w:bCs/>
          <w:iCs/>
          <w:spacing w:val="-5"/>
          <w:lang w:eastAsia="en-US"/>
        </w:rPr>
        <w:t>CA</w:t>
      </w:r>
      <w:proofErr w:type="spellEnd"/>
      <w:r w:rsidR="00AC49A3" w:rsidRPr="003331EF">
        <w:rPr>
          <w:bCs/>
          <w:iCs/>
          <w:spacing w:val="-5"/>
          <w:lang w:eastAsia="en-US"/>
        </w:rPr>
        <w:t xml:space="preserve"> eesmärk on</w:t>
      </w:r>
      <w:r w:rsidR="00AC03C0" w:rsidRPr="003331EF">
        <w:rPr>
          <w:bCs/>
          <w:iCs/>
          <w:spacing w:val="-5"/>
          <w:lang w:eastAsia="en-US"/>
        </w:rPr>
        <w:t xml:space="preserve"> </w:t>
      </w:r>
      <w:r w:rsidR="00AC49A3" w:rsidRPr="003331EF">
        <w:rPr>
          <w:bCs/>
          <w:iCs/>
          <w:spacing w:val="-5"/>
          <w:lang w:eastAsia="en-US"/>
        </w:rPr>
        <w:t xml:space="preserve">mh </w:t>
      </w:r>
      <w:r w:rsidR="00AC03C0" w:rsidRPr="003331EF">
        <w:rPr>
          <w:bCs/>
          <w:iCs/>
          <w:spacing w:val="-5"/>
          <w:lang w:eastAsia="en-US"/>
        </w:rPr>
        <w:t xml:space="preserve">leevendada </w:t>
      </w:r>
      <w:r w:rsidR="00AC49A3" w:rsidRPr="003331EF">
        <w:rPr>
          <w:bCs/>
          <w:iCs/>
          <w:spacing w:val="-5"/>
          <w:lang w:eastAsia="en-US"/>
        </w:rPr>
        <w:t xml:space="preserve">mõju </w:t>
      </w:r>
      <w:r w:rsidR="00AC03C0" w:rsidRPr="003331EF">
        <w:rPr>
          <w:bCs/>
          <w:iCs/>
          <w:spacing w:val="-5"/>
          <w:lang w:eastAsia="en-US"/>
        </w:rPr>
        <w:t>finantsstabiilsuse</w:t>
      </w:r>
      <w:r w:rsidR="00B65CF8" w:rsidRPr="003331EF">
        <w:rPr>
          <w:bCs/>
          <w:iCs/>
          <w:spacing w:val="-5"/>
          <w:lang w:eastAsia="en-US"/>
        </w:rPr>
        <w:t>le</w:t>
      </w:r>
      <w:r w:rsidR="00AC49A3" w:rsidRPr="003331EF">
        <w:rPr>
          <w:bCs/>
          <w:iCs/>
          <w:spacing w:val="-5"/>
          <w:lang w:eastAsia="en-US"/>
        </w:rPr>
        <w:t>.</w:t>
      </w:r>
    </w:p>
    <w:p w14:paraId="4E4B8127" w14:textId="77777777" w:rsidR="007930D9" w:rsidRPr="003331EF" w:rsidRDefault="007930D9" w:rsidP="003331EF">
      <w:pPr>
        <w:spacing w:before="0"/>
      </w:pPr>
    </w:p>
    <w:p w14:paraId="381C0EC2" w14:textId="5B61C229" w:rsidR="001C3A31" w:rsidRPr="003331EF" w:rsidRDefault="00F43F9D" w:rsidP="003331EF">
      <w:pPr>
        <w:spacing w:before="0"/>
        <w:contextualSpacing/>
        <w:rPr>
          <w:bCs/>
          <w:iCs/>
          <w:spacing w:val="-5"/>
          <w:lang w:eastAsia="en-US"/>
        </w:rPr>
      </w:pPr>
      <w:r w:rsidRPr="003331EF">
        <w:rPr>
          <w:bCs/>
          <w:iCs/>
          <w:spacing w:val="-5"/>
          <w:lang w:eastAsia="en-US"/>
        </w:rPr>
        <w:t xml:space="preserve">Eelnõu eesmärk on tagada </w:t>
      </w:r>
      <w:r w:rsidR="00820311" w:rsidRPr="003331EF">
        <w:rPr>
          <w:bCs/>
          <w:iCs/>
          <w:spacing w:val="-5"/>
          <w:lang w:eastAsia="en-US"/>
        </w:rPr>
        <w:t>MCA määruse</w:t>
      </w:r>
      <w:r w:rsidRPr="003331EF">
        <w:rPr>
          <w:bCs/>
          <w:iCs/>
          <w:spacing w:val="-5"/>
          <w:lang w:eastAsia="en-US"/>
        </w:rPr>
        <w:t xml:space="preserve"> riigisisene rakendamine.</w:t>
      </w:r>
      <w:r w:rsidR="004036FB" w:rsidRPr="003331EF">
        <w:rPr>
          <w:bCs/>
          <w:iCs/>
          <w:spacing w:val="-5"/>
          <w:lang w:eastAsia="en-US"/>
        </w:rPr>
        <w:t xml:space="preserve"> </w:t>
      </w:r>
      <w:r w:rsidR="001C3A31" w:rsidRPr="003331EF">
        <w:rPr>
          <w:bCs/>
          <w:iCs/>
          <w:spacing w:val="-5"/>
          <w:lang w:eastAsia="en-US"/>
        </w:rPr>
        <w:t xml:space="preserve">Eelnõu mõjutab nii juba tegutsevaid </w:t>
      </w:r>
      <w:r w:rsidR="00E102BB" w:rsidRPr="003331EF">
        <w:rPr>
          <w:bCs/>
          <w:iCs/>
          <w:spacing w:val="-5"/>
          <w:lang w:eastAsia="en-US"/>
        </w:rPr>
        <w:t>virtuaalvääringu teenuse pakkujad</w:t>
      </w:r>
      <w:r w:rsidR="001C3A31" w:rsidRPr="003331EF">
        <w:rPr>
          <w:bCs/>
          <w:iCs/>
          <w:spacing w:val="-5"/>
          <w:lang w:eastAsia="en-US"/>
        </w:rPr>
        <w:t xml:space="preserve"> kui ka uusi </w:t>
      </w:r>
      <w:proofErr w:type="spellStart"/>
      <w:r w:rsidR="001C3A31" w:rsidRPr="003331EF">
        <w:rPr>
          <w:bCs/>
          <w:iCs/>
          <w:spacing w:val="-5"/>
          <w:lang w:eastAsia="en-US"/>
        </w:rPr>
        <w:t>krüptovaraturule</w:t>
      </w:r>
      <w:proofErr w:type="spellEnd"/>
      <w:r w:rsidR="001C3A31" w:rsidRPr="003331EF">
        <w:rPr>
          <w:bCs/>
          <w:iCs/>
          <w:spacing w:val="-5"/>
          <w:lang w:eastAsia="en-US"/>
        </w:rPr>
        <w:t xml:space="preserve"> tulijaid, kelle halduskoormus tõuseb. Tegutsevate ettevõtjate puhul võib osutuda vajalikuks täiendava tööjõu ja kapitali kaasamine, et viia oma tegevus kooskõlla õigusaktides sätestatud nõuetega. Uutele tulijatele on mõju suurem. </w:t>
      </w:r>
      <w:proofErr w:type="spellStart"/>
      <w:r w:rsidR="001C3A31" w:rsidRPr="003331EF">
        <w:rPr>
          <w:bCs/>
          <w:iCs/>
          <w:spacing w:val="-5"/>
          <w:lang w:eastAsia="en-US"/>
        </w:rPr>
        <w:t>Krüptovarateenuse</w:t>
      </w:r>
      <w:proofErr w:type="spellEnd"/>
      <w:r w:rsidR="001C3A31" w:rsidRPr="003331EF">
        <w:rPr>
          <w:bCs/>
          <w:iCs/>
          <w:spacing w:val="-5"/>
          <w:lang w:eastAsia="en-US"/>
        </w:rPr>
        <w:t xml:space="preserve"> klientide ja </w:t>
      </w:r>
      <w:proofErr w:type="spellStart"/>
      <w:r w:rsidR="001C3A31" w:rsidRPr="003331EF">
        <w:rPr>
          <w:bCs/>
          <w:iCs/>
          <w:spacing w:val="-5"/>
          <w:lang w:eastAsia="en-US"/>
        </w:rPr>
        <w:t>krüptovara</w:t>
      </w:r>
      <w:proofErr w:type="spellEnd"/>
      <w:r w:rsidR="001C3A31" w:rsidRPr="003331EF">
        <w:rPr>
          <w:bCs/>
          <w:iCs/>
          <w:spacing w:val="-5"/>
          <w:lang w:eastAsia="en-US"/>
        </w:rPr>
        <w:t xml:space="preserve"> omanike jaoks suureneb eelkõige läbipaistvus ja usaldusväärsus </w:t>
      </w:r>
      <w:proofErr w:type="spellStart"/>
      <w:r w:rsidR="001C3A31" w:rsidRPr="003331EF">
        <w:rPr>
          <w:bCs/>
          <w:iCs/>
          <w:spacing w:val="-5"/>
          <w:lang w:eastAsia="en-US"/>
        </w:rPr>
        <w:t>krüptovaraturu</w:t>
      </w:r>
      <w:proofErr w:type="spellEnd"/>
      <w:r w:rsidR="001C3A31" w:rsidRPr="003331EF">
        <w:rPr>
          <w:bCs/>
          <w:iCs/>
          <w:spacing w:val="-5"/>
          <w:lang w:eastAsia="en-US"/>
        </w:rPr>
        <w:t xml:space="preserve"> vastu. </w:t>
      </w:r>
    </w:p>
    <w:p w14:paraId="66AD86A2" w14:textId="77777777" w:rsidR="001C3A31" w:rsidRPr="003331EF" w:rsidRDefault="001C3A31" w:rsidP="003331EF">
      <w:pPr>
        <w:spacing w:before="0"/>
        <w:contextualSpacing/>
        <w:rPr>
          <w:bCs/>
          <w:iCs/>
          <w:spacing w:val="-5"/>
          <w:lang w:eastAsia="en-US"/>
        </w:rPr>
      </w:pPr>
    </w:p>
    <w:p w14:paraId="2B76FB98" w14:textId="6E76622E" w:rsidR="001C3A31" w:rsidRPr="003331EF" w:rsidRDefault="001C3A31" w:rsidP="003331EF">
      <w:pPr>
        <w:spacing w:before="0"/>
        <w:rPr>
          <w:bCs/>
          <w:iCs/>
          <w:spacing w:val="-5"/>
          <w:lang w:eastAsia="en-US"/>
        </w:rPr>
      </w:pPr>
      <w:r w:rsidRPr="003331EF">
        <w:rPr>
          <w:bCs/>
          <w:iCs/>
          <w:spacing w:val="-5"/>
          <w:lang w:eastAsia="en-US"/>
        </w:rPr>
        <w:t xml:space="preserve">Eelnõu kohaselt hakkab </w:t>
      </w:r>
      <w:proofErr w:type="spellStart"/>
      <w:r w:rsidRPr="003331EF">
        <w:rPr>
          <w:bCs/>
          <w:iCs/>
          <w:spacing w:val="-5"/>
          <w:lang w:eastAsia="en-US"/>
        </w:rPr>
        <w:t>krüptovaraturu</w:t>
      </w:r>
      <w:proofErr w:type="spellEnd"/>
      <w:r w:rsidRPr="003331EF">
        <w:rPr>
          <w:bCs/>
          <w:iCs/>
          <w:spacing w:val="-5"/>
          <w:lang w:eastAsia="en-US"/>
        </w:rPr>
        <w:t xml:space="preserve"> osaliste üle järelevalvet teostama Finantsinspektsioon, saades </w:t>
      </w:r>
      <w:proofErr w:type="spellStart"/>
      <w:r w:rsidRPr="003331EF">
        <w:rPr>
          <w:bCs/>
          <w:iCs/>
          <w:spacing w:val="-5"/>
          <w:lang w:eastAsia="en-US"/>
        </w:rPr>
        <w:t>M</w:t>
      </w:r>
      <w:r w:rsidR="00A03096">
        <w:rPr>
          <w:bCs/>
          <w:iCs/>
          <w:spacing w:val="-5"/>
          <w:lang w:eastAsia="en-US"/>
        </w:rPr>
        <w:t>i</w:t>
      </w:r>
      <w:r w:rsidRPr="003331EF">
        <w:rPr>
          <w:bCs/>
          <w:iCs/>
          <w:spacing w:val="-5"/>
          <w:lang w:eastAsia="en-US"/>
        </w:rPr>
        <w:t>CA</w:t>
      </w:r>
      <w:proofErr w:type="spellEnd"/>
      <w:r w:rsidRPr="003331EF">
        <w:rPr>
          <w:bCs/>
          <w:iCs/>
          <w:spacing w:val="-5"/>
          <w:lang w:eastAsia="en-US"/>
        </w:rPr>
        <w:t xml:space="preserve"> määruse tähenduses pädevaks asutuseks. Hetkel kuuluvad virtuaalvääringu teenuse pakkujad</w:t>
      </w:r>
      <w:r w:rsidRPr="003331EF">
        <w:t xml:space="preserve"> (edaspidi </w:t>
      </w:r>
      <w:proofErr w:type="spellStart"/>
      <w:r w:rsidRPr="003331EF">
        <w:rPr>
          <w:b/>
          <w:bCs/>
          <w:i/>
          <w:iCs/>
        </w:rPr>
        <w:t>VASP-id</w:t>
      </w:r>
      <w:proofErr w:type="spellEnd"/>
      <w:r w:rsidRPr="003331EF">
        <w:rPr>
          <w:rStyle w:val="Allmrkuseviide"/>
          <w:b w:val="0"/>
          <w:bCs w:val="0"/>
          <w:i/>
          <w:iCs/>
        </w:rPr>
        <w:footnoteReference w:id="5"/>
      </w:r>
      <w:r w:rsidR="00E102BB" w:rsidRPr="003331EF">
        <w:t>)</w:t>
      </w:r>
      <w:r w:rsidRPr="003331EF">
        <w:t xml:space="preserve"> </w:t>
      </w:r>
      <w:r w:rsidRPr="003331EF">
        <w:rPr>
          <w:bCs/>
          <w:iCs/>
          <w:spacing w:val="-5"/>
          <w:lang w:eastAsia="en-US"/>
        </w:rPr>
        <w:t xml:space="preserve">ehk tulevased </w:t>
      </w:r>
      <w:proofErr w:type="spellStart"/>
      <w:r w:rsidRPr="003331EF">
        <w:rPr>
          <w:bCs/>
          <w:iCs/>
          <w:spacing w:val="-5"/>
          <w:lang w:eastAsia="en-US"/>
        </w:rPr>
        <w:t>krüptovaraturu</w:t>
      </w:r>
      <w:proofErr w:type="spellEnd"/>
      <w:r w:rsidRPr="003331EF">
        <w:rPr>
          <w:bCs/>
          <w:iCs/>
          <w:spacing w:val="-5"/>
          <w:lang w:eastAsia="en-US"/>
        </w:rPr>
        <w:t xml:space="preserve"> osal</w:t>
      </w:r>
      <w:r w:rsidR="00E102BB" w:rsidRPr="003331EF">
        <w:rPr>
          <w:bCs/>
          <w:iCs/>
          <w:spacing w:val="-5"/>
          <w:lang w:eastAsia="en-US"/>
        </w:rPr>
        <w:t>ised</w:t>
      </w:r>
      <w:r w:rsidRPr="003331EF">
        <w:rPr>
          <w:bCs/>
          <w:iCs/>
          <w:spacing w:val="-5"/>
          <w:lang w:eastAsia="en-US"/>
        </w:rPr>
        <w:t xml:space="preserve"> Rahapesu Andmebüroo järelevalve alla. Seetõttu suureneb Finantsinspektsiooni </w:t>
      </w:r>
      <w:r w:rsidR="0071703A" w:rsidRPr="003331EF">
        <w:rPr>
          <w:bCs/>
          <w:iCs/>
          <w:spacing w:val="-5"/>
          <w:lang w:eastAsia="en-US"/>
        </w:rPr>
        <w:t>töökoormus</w:t>
      </w:r>
      <w:r w:rsidRPr="003331EF">
        <w:rPr>
          <w:bCs/>
          <w:iCs/>
          <w:spacing w:val="-5"/>
          <w:lang w:eastAsia="en-US"/>
        </w:rPr>
        <w:t xml:space="preserve"> oluliselt. Rahapesu Andmebüroo </w:t>
      </w:r>
      <w:r w:rsidR="0071703A" w:rsidRPr="003331EF">
        <w:rPr>
          <w:bCs/>
          <w:iCs/>
          <w:spacing w:val="-5"/>
          <w:lang w:eastAsia="en-US"/>
        </w:rPr>
        <w:t>töökoormus</w:t>
      </w:r>
      <w:r w:rsidRPr="003331EF">
        <w:rPr>
          <w:bCs/>
          <w:iCs/>
          <w:spacing w:val="-5"/>
          <w:lang w:eastAsia="en-US"/>
        </w:rPr>
        <w:t xml:space="preserve"> väheneb selle arvelt, et edaspidi nad ei pea kulutama ressursse </w:t>
      </w:r>
      <w:proofErr w:type="spellStart"/>
      <w:r w:rsidRPr="003331EF">
        <w:rPr>
          <w:bCs/>
          <w:iCs/>
          <w:spacing w:val="-5"/>
          <w:lang w:eastAsia="en-US"/>
        </w:rPr>
        <w:t>VASP-ide</w:t>
      </w:r>
      <w:proofErr w:type="spellEnd"/>
      <w:r w:rsidRPr="003331EF">
        <w:rPr>
          <w:bCs/>
          <w:iCs/>
          <w:spacing w:val="-5"/>
          <w:lang w:eastAsia="en-US"/>
        </w:rPr>
        <w:t xml:space="preserve"> tegevusloa ja tegevusnõuete täitmisega seotud järelevalvele, v.a rahapesuriskiga seotud järelevalve.</w:t>
      </w:r>
    </w:p>
    <w:p w14:paraId="0584D5AC" w14:textId="5405DA36" w:rsidR="00EC5B50" w:rsidRPr="003331EF" w:rsidRDefault="00EC5B50" w:rsidP="003331EF">
      <w:pPr>
        <w:spacing w:before="0"/>
        <w:rPr>
          <w:bCs/>
          <w:iCs/>
          <w:spacing w:val="-5"/>
          <w:lang w:eastAsia="en-US"/>
        </w:rPr>
      </w:pPr>
    </w:p>
    <w:p w14:paraId="4CAFC4B2" w14:textId="21FC6673" w:rsidR="00997EEC" w:rsidRPr="003331EF" w:rsidRDefault="00997EEC" w:rsidP="003331EF">
      <w:pPr>
        <w:spacing w:before="0"/>
        <w:rPr>
          <w:bCs/>
          <w:iCs/>
          <w:spacing w:val="-5"/>
          <w:lang w:eastAsia="en-US"/>
        </w:rPr>
      </w:pPr>
      <w:r w:rsidRPr="003331EF">
        <w:rPr>
          <w:b/>
          <w:iCs/>
          <w:spacing w:val="-5"/>
          <w:lang w:eastAsia="en-US"/>
        </w:rPr>
        <w:t xml:space="preserve">Lisaks </w:t>
      </w:r>
      <w:proofErr w:type="spellStart"/>
      <w:r w:rsidRPr="003331EF">
        <w:rPr>
          <w:b/>
          <w:iCs/>
          <w:spacing w:val="-5"/>
          <w:lang w:eastAsia="en-US"/>
        </w:rPr>
        <w:t>M</w:t>
      </w:r>
      <w:r w:rsidR="00A03096">
        <w:rPr>
          <w:b/>
          <w:iCs/>
          <w:spacing w:val="-5"/>
          <w:lang w:eastAsia="en-US"/>
        </w:rPr>
        <w:t>i</w:t>
      </w:r>
      <w:r w:rsidRPr="003331EF">
        <w:rPr>
          <w:b/>
          <w:iCs/>
          <w:spacing w:val="-5"/>
          <w:lang w:eastAsia="en-US"/>
        </w:rPr>
        <w:t>CA</w:t>
      </w:r>
      <w:proofErr w:type="spellEnd"/>
      <w:r w:rsidRPr="003331EF">
        <w:rPr>
          <w:b/>
          <w:iCs/>
          <w:spacing w:val="-5"/>
          <w:lang w:eastAsia="en-US"/>
        </w:rPr>
        <w:t xml:space="preserve"> määruse riigisisesele rakendamisele tehakse eelnõuga järgmised muudatused</w:t>
      </w:r>
      <w:r w:rsidRPr="003331EF">
        <w:rPr>
          <w:bCs/>
          <w:iCs/>
          <w:spacing w:val="-5"/>
          <w:lang w:eastAsia="en-US"/>
        </w:rPr>
        <w:t>:</w:t>
      </w:r>
    </w:p>
    <w:p w14:paraId="0FC096F1" w14:textId="2491EB7B" w:rsidR="009209C9" w:rsidRPr="003331EF" w:rsidRDefault="00997EEC" w:rsidP="003331EF">
      <w:pPr>
        <w:numPr>
          <w:ilvl w:val="0"/>
          <w:numId w:val="12"/>
        </w:numPr>
        <w:spacing w:before="0"/>
        <w:ind w:left="284" w:hanging="284"/>
        <w:contextualSpacing/>
        <w:rPr>
          <w:bCs/>
          <w:iCs/>
          <w:spacing w:val="-5"/>
          <w:lang w:eastAsia="en-US"/>
        </w:rPr>
      </w:pPr>
      <w:proofErr w:type="spellStart"/>
      <w:r w:rsidRPr="003331EF">
        <w:rPr>
          <w:bCs/>
          <w:iCs/>
          <w:spacing w:val="-5"/>
          <w:lang w:eastAsia="en-US"/>
        </w:rPr>
        <w:t>krüptovarateenuse</w:t>
      </w:r>
      <w:proofErr w:type="spellEnd"/>
      <w:r w:rsidRPr="003331EF">
        <w:rPr>
          <w:bCs/>
          <w:iCs/>
          <w:spacing w:val="-5"/>
          <w:lang w:eastAsia="en-US"/>
        </w:rPr>
        <w:t xml:space="preserve"> osutajad ja vara</w:t>
      </w:r>
      <w:r w:rsidR="00327669" w:rsidRPr="003331EF">
        <w:rPr>
          <w:bCs/>
          <w:iCs/>
          <w:spacing w:val="-5"/>
          <w:lang w:eastAsia="en-US"/>
        </w:rPr>
        <w:t xml:space="preserve">põhise </w:t>
      </w:r>
      <w:proofErr w:type="spellStart"/>
      <w:r w:rsidR="00327669" w:rsidRPr="003331EF">
        <w:rPr>
          <w:bCs/>
          <w:iCs/>
          <w:spacing w:val="-5"/>
          <w:lang w:eastAsia="en-US"/>
        </w:rPr>
        <w:t>tokeni</w:t>
      </w:r>
      <w:proofErr w:type="spellEnd"/>
      <w:r w:rsidR="00327669" w:rsidRPr="003331EF">
        <w:rPr>
          <w:bCs/>
          <w:iCs/>
          <w:spacing w:val="-5"/>
          <w:lang w:eastAsia="en-US"/>
        </w:rPr>
        <w:t xml:space="preserve"> </w:t>
      </w:r>
      <w:r w:rsidRPr="003331EF">
        <w:rPr>
          <w:bCs/>
          <w:iCs/>
          <w:spacing w:val="-5"/>
          <w:lang w:eastAsia="en-US"/>
        </w:rPr>
        <w:t>emite</w:t>
      </w:r>
      <w:r w:rsidR="0007264C" w:rsidRPr="003331EF">
        <w:rPr>
          <w:bCs/>
          <w:iCs/>
          <w:spacing w:val="-5"/>
          <w:lang w:eastAsia="en-US"/>
        </w:rPr>
        <w:t>ndid peavad</w:t>
      </w:r>
      <w:r w:rsidRPr="003331EF">
        <w:rPr>
          <w:bCs/>
          <w:iCs/>
          <w:spacing w:val="-5"/>
          <w:lang w:eastAsia="en-US"/>
        </w:rPr>
        <w:t xml:space="preserve"> järgima </w:t>
      </w:r>
      <w:r w:rsidR="00EC5B50" w:rsidRPr="003331EF">
        <w:rPr>
          <w:bCs/>
          <w:iCs/>
          <w:spacing w:val="-5"/>
          <w:lang w:eastAsia="en-US"/>
        </w:rPr>
        <w:t>digitaalse tegevuskerksusega seotud nõudeid</w:t>
      </w:r>
      <w:r w:rsidRPr="003331EF">
        <w:rPr>
          <w:bCs/>
          <w:iCs/>
          <w:spacing w:val="-5"/>
          <w:lang w:eastAsia="en-US"/>
        </w:rPr>
        <w:t xml:space="preserve">. Seda </w:t>
      </w:r>
      <w:r w:rsidR="00EC5B50" w:rsidRPr="003331EF">
        <w:rPr>
          <w:bCs/>
          <w:iCs/>
          <w:spacing w:val="-5"/>
          <w:lang w:eastAsia="en-US"/>
        </w:rPr>
        <w:t>reguleerib Euroopa Parlamendi ja nõukogu määrus (EL) 2022/2554, mis käsitleb finantssektori digitaalset tegevuskerksust ning millega muudetakse määrusi (EÜ) nr 1060/2009, (EL) nr 648/2012, (EL) nr 600/2014, (EL) nr 909/2014 ja (EL) 2016/1011</w:t>
      </w:r>
      <w:r w:rsidR="00EC5B50" w:rsidRPr="003331EF">
        <w:rPr>
          <w:rStyle w:val="Allmrkuseviide"/>
        </w:rPr>
        <w:footnoteReference w:id="6"/>
      </w:r>
      <w:r w:rsidR="00EC5B50" w:rsidRPr="003331EF">
        <w:t xml:space="preserve"> (edaspidi </w:t>
      </w:r>
      <w:r w:rsidR="00EC5B50" w:rsidRPr="003331EF">
        <w:rPr>
          <w:b/>
          <w:bCs/>
          <w:i/>
          <w:iCs/>
        </w:rPr>
        <w:t>DORA määrus</w:t>
      </w:r>
      <w:r w:rsidR="00EC5B50" w:rsidRPr="003331EF">
        <w:t>).</w:t>
      </w:r>
      <w:r w:rsidR="00440EDD" w:rsidRPr="003331EF">
        <w:t xml:space="preserve"> </w:t>
      </w:r>
      <w:r w:rsidR="00485782" w:rsidRPr="003331EF">
        <w:rPr>
          <w:bCs/>
          <w:iCs/>
          <w:spacing w:val="-5"/>
          <w:lang w:eastAsia="en-US"/>
        </w:rPr>
        <w:t xml:space="preserve">DORA määruse rakendamise eesmärk on saavutada </w:t>
      </w:r>
      <w:proofErr w:type="spellStart"/>
      <w:r w:rsidR="003E72BA" w:rsidRPr="003331EF">
        <w:rPr>
          <w:bCs/>
          <w:iCs/>
          <w:spacing w:val="-5"/>
          <w:lang w:eastAsia="en-US"/>
        </w:rPr>
        <w:t>krüptovarateenuse</w:t>
      </w:r>
      <w:proofErr w:type="spellEnd"/>
      <w:r w:rsidR="003E72BA" w:rsidRPr="003331EF">
        <w:rPr>
          <w:bCs/>
          <w:iCs/>
          <w:spacing w:val="-5"/>
          <w:lang w:eastAsia="en-US"/>
        </w:rPr>
        <w:t xml:space="preserve"> osutajate ja varapõhise </w:t>
      </w:r>
      <w:proofErr w:type="spellStart"/>
      <w:r w:rsidR="003E72BA" w:rsidRPr="003331EF">
        <w:rPr>
          <w:bCs/>
          <w:iCs/>
          <w:spacing w:val="-5"/>
          <w:lang w:eastAsia="en-US"/>
        </w:rPr>
        <w:t>tokeni</w:t>
      </w:r>
      <w:proofErr w:type="spellEnd"/>
      <w:r w:rsidR="003E72BA" w:rsidRPr="003331EF">
        <w:rPr>
          <w:bCs/>
          <w:iCs/>
          <w:spacing w:val="-5"/>
          <w:lang w:eastAsia="en-US"/>
        </w:rPr>
        <w:t xml:space="preserve"> emitentide </w:t>
      </w:r>
      <w:r w:rsidR="00485782" w:rsidRPr="003331EF">
        <w:rPr>
          <w:bCs/>
          <w:iCs/>
          <w:spacing w:val="-5"/>
          <w:lang w:eastAsia="en-US"/>
        </w:rPr>
        <w:t xml:space="preserve">digitaalse tegevuskerksuse kõrge tase, vähendada finantshäirete ja ebastabiilsuse ohtu ning seeläbi suurendada </w:t>
      </w:r>
      <w:proofErr w:type="spellStart"/>
      <w:r w:rsidR="00485782" w:rsidRPr="003331EF">
        <w:rPr>
          <w:bCs/>
          <w:iCs/>
          <w:spacing w:val="-5"/>
          <w:lang w:eastAsia="en-US"/>
        </w:rPr>
        <w:t>krüptovarateenuste</w:t>
      </w:r>
      <w:proofErr w:type="spellEnd"/>
      <w:r w:rsidR="00485782" w:rsidRPr="003331EF">
        <w:rPr>
          <w:bCs/>
          <w:iCs/>
          <w:spacing w:val="-5"/>
          <w:lang w:eastAsia="en-US"/>
        </w:rPr>
        <w:t xml:space="preserve"> klientide, </w:t>
      </w:r>
      <w:proofErr w:type="spellStart"/>
      <w:r w:rsidR="00485782" w:rsidRPr="003331EF">
        <w:rPr>
          <w:bCs/>
          <w:iCs/>
          <w:spacing w:val="-5"/>
          <w:lang w:eastAsia="en-US"/>
        </w:rPr>
        <w:t>krüptovara</w:t>
      </w:r>
      <w:proofErr w:type="spellEnd"/>
      <w:r w:rsidR="00485782" w:rsidRPr="003331EF">
        <w:rPr>
          <w:bCs/>
          <w:iCs/>
          <w:spacing w:val="-5"/>
          <w:lang w:eastAsia="en-US"/>
        </w:rPr>
        <w:t xml:space="preserve"> omanike ja investorite kaitset</w:t>
      </w:r>
      <w:r w:rsidR="00FC3FC4" w:rsidRPr="003331EF">
        <w:rPr>
          <w:bCs/>
          <w:iCs/>
          <w:spacing w:val="-5"/>
          <w:lang w:eastAsia="en-US"/>
        </w:rPr>
        <w:t>;</w:t>
      </w:r>
      <w:r w:rsidR="00485782" w:rsidRPr="003331EF">
        <w:rPr>
          <w:bCs/>
          <w:iCs/>
          <w:spacing w:val="-5"/>
          <w:lang w:eastAsia="en-US"/>
        </w:rPr>
        <w:t xml:space="preserve"> </w:t>
      </w:r>
    </w:p>
    <w:p w14:paraId="33542F38" w14:textId="554EA287" w:rsidR="009209C9" w:rsidRPr="003331EF" w:rsidRDefault="00997EEC" w:rsidP="003331EF">
      <w:pPr>
        <w:numPr>
          <w:ilvl w:val="0"/>
          <w:numId w:val="12"/>
        </w:numPr>
        <w:spacing w:before="0"/>
        <w:contextualSpacing/>
        <w:rPr>
          <w:bCs/>
          <w:iCs/>
          <w:spacing w:val="-5"/>
          <w:lang w:eastAsia="en-US"/>
        </w:rPr>
      </w:pPr>
      <w:r w:rsidRPr="003331EF">
        <w:rPr>
          <w:bCs/>
          <w:iCs/>
          <w:spacing w:val="-5"/>
          <w:lang w:eastAsia="en-US"/>
        </w:rPr>
        <w:t xml:space="preserve">täiendatakse investeerimisfondide seaduses </w:t>
      </w:r>
      <w:r w:rsidR="0007264C" w:rsidRPr="003331EF">
        <w:rPr>
          <w:bCs/>
          <w:iCs/>
          <w:spacing w:val="-5"/>
          <w:lang w:eastAsia="en-US"/>
        </w:rPr>
        <w:t xml:space="preserve">(edaspidi </w:t>
      </w:r>
      <w:r w:rsidR="0007264C" w:rsidRPr="003331EF">
        <w:rPr>
          <w:bCs/>
          <w:i/>
          <w:spacing w:val="-5"/>
          <w:lang w:eastAsia="en-US"/>
        </w:rPr>
        <w:t>IFS</w:t>
      </w:r>
      <w:r w:rsidR="0007264C" w:rsidRPr="003331EF">
        <w:rPr>
          <w:bCs/>
          <w:iCs/>
          <w:spacing w:val="-5"/>
          <w:lang w:eastAsia="en-US"/>
        </w:rPr>
        <w:t xml:space="preserve">) </w:t>
      </w:r>
      <w:r w:rsidRPr="003331EF">
        <w:rPr>
          <w:bCs/>
          <w:iCs/>
          <w:spacing w:val="-5"/>
          <w:lang w:eastAsia="en-US"/>
        </w:rPr>
        <w:t>sätestatud tegevusloata väikefondi valitsejate registreerimist ja tegevust puudutavaid nõudeid. Uute nõuetena kehtestatakse aktsia- või osakapitali miinimumnõue (25</w:t>
      </w:r>
      <w:r w:rsidR="005558F4">
        <w:rPr>
          <w:bCs/>
          <w:iCs/>
          <w:spacing w:val="-5"/>
          <w:lang w:eastAsia="en-US"/>
        </w:rPr>
        <w:t> </w:t>
      </w:r>
      <w:r w:rsidRPr="003331EF">
        <w:rPr>
          <w:bCs/>
          <w:iCs/>
          <w:spacing w:val="-5"/>
          <w:lang w:eastAsia="en-US"/>
        </w:rPr>
        <w:t>000</w:t>
      </w:r>
      <w:r w:rsidR="005558F4">
        <w:rPr>
          <w:bCs/>
          <w:iCs/>
          <w:spacing w:val="-5"/>
          <w:lang w:eastAsia="en-US"/>
        </w:rPr>
        <w:t> </w:t>
      </w:r>
      <w:r w:rsidRPr="003331EF">
        <w:rPr>
          <w:bCs/>
          <w:iCs/>
          <w:spacing w:val="-5"/>
          <w:lang w:eastAsia="en-US"/>
        </w:rPr>
        <w:t xml:space="preserve">eurot) </w:t>
      </w:r>
      <w:commentRangeStart w:id="0"/>
      <w:r w:rsidRPr="003331EF">
        <w:rPr>
          <w:bCs/>
          <w:iCs/>
          <w:spacing w:val="-5"/>
          <w:lang w:eastAsia="en-US"/>
        </w:rPr>
        <w:t>ning investeeringu minimaalne summa ühe investori kohta iga eraldi pakkumise korral (vähemalt 10 000 eurot)</w:t>
      </w:r>
      <w:commentRangeEnd w:id="0"/>
      <w:r w:rsidR="007A30AC">
        <w:rPr>
          <w:rStyle w:val="Kommentaariviide"/>
          <w:lang w:val="en-GB" w:eastAsia="en-US"/>
        </w:rPr>
        <w:commentReference w:id="0"/>
      </w:r>
      <w:r w:rsidRPr="003331EF">
        <w:rPr>
          <w:bCs/>
          <w:iCs/>
          <w:spacing w:val="-5"/>
          <w:lang w:eastAsia="en-US"/>
        </w:rPr>
        <w:t>. Lisaks tehakse täpsustusi tegevuse registreerimise ja registrist kustutamise regulatsioonides</w:t>
      </w:r>
      <w:r w:rsidR="00BD103B" w:rsidRPr="003331EF">
        <w:rPr>
          <w:bCs/>
          <w:iCs/>
          <w:spacing w:val="-5"/>
          <w:lang w:eastAsia="en-US"/>
        </w:rPr>
        <w:t xml:space="preserve">. Valdkonna täiendav reguleerimine on tingitud sektori kiirest kasvust ja kantud eesmärgist maandada </w:t>
      </w:r>
      <w:r w:rsidR="00802224" w:rsidRPr="003331EF">
        <w:rPr>
          <w:bCs/>
          <w:iCs/>
          <w:spacing w:val="-5"/>
          <w:lang w:eastAsia="en-US"/>
        </w:rPr>
        <w:t xml:space="preserve">võimaliku kuritarvitamisega kaasnevaid riske. Alates registreeritud väikefondi valitsejate turu elavnemisest 2020. aastal on peamisteks riskifaktoriteks Finantsinspektsiooni hinnangul tõusnud </w:t>
      </w:r>
      <w:proofErr w:type="spellStart"/>
      <w:r w:rsidR="00802224" w:rsidRPr="003331EF">
        <w:rPr>
          <w:bCs/>
          <w:iCs/>
          <w:spacing w:val="-5"/>
          <w:lang w:eastAsia="en-US"/>
        </w:rPr>
        <w:t>krüptoinvesteeringud</w:t>
      </w:r>
      <w:proofErr w:type="spellEnd"/>
      <w:r w:rsidR="00802224" w:rsidRPr="003331EF">
        <w:rPr>
          <w:bCs/>
          <w:iCs/>
          <w:spacing w:val="-5"/>
          <w:lang w:eastAsia="en-US"/>
        </w:rPr>
        <w:t xml:space="preserve"> ning Eestiga seost mitteomavate ja kõrge rahapesu riskiga äriühingute registreerimise taotlused. Riske on mõnevõrra küll vähendanud </w:t>
      </w:r>
      <w:proofErr w:type="spellStart"/>
      <w:r w:rsidR="00802224" w:rsidRPr="003331EF">
        <w:rPr>
          <w:bCs/>
          <w:iCs/>
          <w:spacing w:val="-5"/>
          <w:lang w:eastAsia="en-US"/>
        </w:rPr>
        <w:t>hiljutused</w:t>
      </w:r>
      <w:proofErr w:type="spellEnd"/>
      <w:r w:rsidR="00802224" w:rsidRPr="003331EF">
        <w:rPr>
          <w:bCs/>
          <w:iCs/>
          <w:spacing w:val="-5"/>
          <w:lang w:eastAsia="en-US"/>
        </w:rPr>
        <w:t xml:space="preserve"> </w:t>
      </w:r>
      <w:proofErr w:type="spellStart"/>
      <w:r w:rsidR="00802224" w:rsidRPr="003331EF">
        <w:rPr>
          <w:bCs/>
          <w:iCs/>
          <w:spacing w:val="-5"/>
          <w:lang w:eastAsia="en-US"/>
        </w:rPr>
        <w:t>krüptovaraturu</w:t>
      </w:r>
      <w:proofErr w:type="spellEnd"/>
      <w:r w:rsidR="00802224" w:rsidRPr="003331EF">
        <w:rPr>
          <w:bCs/>
          <w:iCs/>
          <w:spacing w:val="-5"/>
          <w:lang w:eastAsia="en-US"/>
        </w:rPr>
        <w:t xml:space="preserve"> negatiivsed sündmused ja neid peaks vähendama ka käesolev </w:t>
      </w:r>
      <w:proofErr w:type="spellStart"/>
      <w:r w:rsidR="00802224" w:rsidRPr="003331EF">
        <w:rPr>
          <w:bCs/>
          <w:iCs/>
          <w:spacing w:val="-5"/>
          <w:lang w:eastAsia="en-US"/>
        </w:rPr>
        <w:t>krüptovaraturu</w:t>
      </w:r>
      <w:proofErr w:type="spellEnd"/>
      <w:r w:rsidR="00802224" w:rsidRPr="003331EF">
        <w:rPr>
          <w:bCs/>
          <w:iCs/>
          <w:spacing w:val="-5"/>
          <w:lang w:eastAsia="en-US"/>
        </w:rPr>
        <w:t xml:space="preserve"> seaduse eelnõu, kuid Eestiga seost mitteomavate taotlejate arv on püsinud stabiilsena, mistõttu kõik olulised riskid sellega üksi ära ei lange. Kav</w:t>
      </w:r>
      <w:r w:rsidR="00BD103B" w:rsidRPr="003331EF">
        <w:rPr>
          <w:bCs/>
          <w:iCs/>
          <w:spacing w:val="-5"/>
          <w:lang w:eastAsia="en-US"/>
        </w:rPr>
        <w:t>andatud muudatuste</w:t>
      </w:r>
      <w:r w:rsidR="00802224" w:rsidRPr="003331EF">
        <w:rPr>
          <w:bCs/>
          <w:iCs/>
          <w:spacing w:val="-5"/>
          <w:lang w:eastAsia="en-US"/>
        </w:rPr>
        <w:t>ga</w:t>
      </w:r>
      <w:r w:rsidR="00BD103B" w:rsidRPr="003331EF">
        <w:rPr>
          <w:bCs/>
          <w:iCs/>
          <w:spacing w:val="-5"/>
          <w:lang w:eastAsia="en-US"/>
        </w:rPr>
        <w:t xml:space="preserve"> </w:t>
      </w:r>
      <w:r w:rsidR="00802224" w:rsidRPr="003331EF">
        <w:rPr>
          <w:bCs/>
          <w:iCs/>
          <w:spacing w:val="-5"/>
          <w:lang w:eastAsia="en-US"/>
        </w:rPr>
        <w:lastRenderedPageBreak/>
        <w:t xml:space="preserve">soovitakse neid kitsaskohti lahendada, </w:t>
      </w:r>
      <w:r w:rsidR="00BD103B" w:rsidRPr="003331EF">
        <w:rPr>
          <w:bCs/>
          <w:iCs/>
          <w:spacing w:val="-5"/>
          <w:lang w:eastAsia="en-US"/>
        </w:rPr>
        <w:t>taga</w:t>
      </w:r>
      <w:r w:rsidR="00802224" w:rsidRPr="003331EF">
        <w:rPr>
          <w:bCs/>
          <w:iCs/>
          <w:spacing w:val="-5"/>
          <w:lang w:eastAsia="en-US"/>
        </w:rPr>
        <w:t>da</w:t>
      </w:r>
      <w:r w:rsidR="00BD103B" w:rsidRPr="003331EF">
        <w:rPr>
          <w:bCs/>
          <w:iCs/>
          <w:spacing w:val="-5"/>
          <w:lang w:eastAsia="en-US"/>
        </w:rPr>
        <w:t xml:space="preserve"> investeerimisturu tõhusam toimimine ja </w:t>
      </w:r>
      <w:proofErr w:type="spellStart"/>
      <w:r w:rsidR="00BD103B" w:rsidRPr="003331EF">
        <w:rPr>
          <w:bCs/>
          <w:iCs/>
          <w:spacing w:val="-5"/>
          <w:lang w:eastAsia="en-US"/>
        </w:rPr>
        <w:t>jaeinvestorite</w:t>
      </w:r>
      <w:proofErr w:type="spellEnd"/>
      <w:r w:rsidR="00BD103B" w:rsidRPr="003331EF">
        <w:rPr>
          <w:bCs/>
          <w:iCs/>
          <w:spacing w:val="-5"/>
          <w:lang w:eastAsia="en-US"/>
        </w:rPr>
        <w:t xml:space="preserve"> parem kaitse</w:t>
      </w:r>
      <w:r w:rsidR="00802224" w:rsidRPr="003331EF">
        <w:rPr>
          <w:bCs/>
          <w:iCs/>
          <w:spacing w:val="-5"/>
          <w:lang w:eastAsia="en-US"/>
        </w:rPr>
        <w:t>, kellele sellised fondid oma iseloomult mõeldud ei ole</w:t>
      </w:r>
      <w:r w:rsidR="00FC3FC4" w:rsidRPr="003331EF">
        <w:rPr>
          <w:bCs/>
          <w:iCs/>
          <w:spacing w:val="-5"/>
          <w:lang w:eastAsia="en-US"/>
        </w:rPr>
        <w:t>;</w:t>
      </w:r>
      <w:r w:rsidRPr="003331EF">
        <w:rPr>
          <w:bCs/>
          <w:iCs/>
          <w:spacing w:val="-5"/>
          <w:lang w:eastAsia="en-US"/>
        </w:rPr>
        <w:t xml:space="preserve"> </w:t>
      </w:r>
    </w:p>
    <w:p w14:paraId="6E82DD5D" w14:textId="11095B1A" w:rsidR="009209C9" w:rsidRPr="003331EF" w:rsidRDefault="00997EEC" w:rsidP="003331EF">
      <w:pPr>
        <w:numPr>
          <w:ilvl w:val="0"/>
          <w:numId w:val="12"/>
        </w:numPr>
        <w:spacing w:before="0"/>
        <w:ind w:left="284" w:hanging="284"/>
        <w:contextualSpacing/>
        <w:rPr>
          <w:bCs/>
          <w:iCs/>
          <w:spacing w:val="-5"/>
          <w:lang w:eastAsia="en-US"/>
        </w:rPr>
      </w:pPr>
      <w:r w:rsidRPr="003331EF">
        <w:rPr>
          <w:bCs/>
          <w:iCs/>
          <w:spacing w:val="-5"/>
          <w:lang w:eastAsia="en-US"/>
        </w:rPr>
        <w:t xml:space="preserve">väärtpaberituru seaduses </w:t>
      </w:r>
      <w:r w:rsidR="0007264C" w:rsidRPr="003331EF">
        <w:rPr>
          <w:bCs/>
          <w:iCs/>
          <w:spacing w:val="-5"/>
          <w:lang w:eastAsia="en-US"/>
        </w:rPr>
        <w:t xml:space="preserve">(edaspidi </w:t>
      </w:r>
      <w:proofErr w:type="spellStart"/>
      <w:r w:rsidR="0007264C" w:rsidRPr="003331EF">
        <w:rPr>
          <w:bCs/>
          <w:i/>
          <w:spacing w:val="-5"/>
          <w:lang w:eastAsia="en-US"/>
        </w:rPr>
        <w:t>VpTS</w:t>
      </w:r>
      <w:proofErr w:type="spellEnd"/>
      <w:r w:rsidR="0007264C" w:rsidRPr="003331EF">
        <w:rPr>
          <w:bCs/>
          <w:iCs/>
          <w:spacing w:val="-5"/>
          <w:lang w:eastAsia="en-US"/>
        </w:rPr>
        <w:t xml:space="preserve">) </w:t>
      </w:r>
      <w:r w:rsidRPr="003331EF">
        <w:rPr>
          <w:bCs/>
          <w:iCs/>
          <w:spacing w:val="-5"/>
          <w:lang w:eastAsia="en-US"/>
        </w:rPr>
        <w:t>tehakse muudatused, millega tõstetakse vastavat künnist, mille kohaselt ei pea EL määruse 2017/1129 kohast väärtpaberiprospekti koostama. Täna on see künnis 5 mln eurot ehk kui väärtpaberite pakkumine on alla 5 mln euro ei pea väärtpaberite prospekti koostama. Käesoleva eelnõuga tõstetakse see künnis 8 mln euro peale. Antud muudatus on osa Balti riikide ühisest koostööprojektist, millega on plaanis näha ette väärtpaberite pakkumistele alla 8 mln euro samad nõuded kui väärtpabereid pakutakse Eestis, Lätis või Leedus või kõikides eeltoodud riikides korraga</w:t>
      </w:r>
      <w:r w:rsidR="00B1222F" w:rsidRPr="003331EF">
        <w:rPr>
          <w:bCs/>
          <w:iCs/>
          <w:spacing w:val="-5"/>
          <w:lang w:eastAsia="en-US"/>
        </w:rPr>
        <w:t xml:space="preserve">. Leedu ja Läti on </w:t>
      </w:r>
      <w:r w:rsidR="002C3D63" w:rsidRPr="003331EF">
        <w:rPr>
          <w:bCs/>
          <w:iCs/>
          <w:spacing w:val="-5"/>
          <w:lang w:eastAsia="en-US"/>
        </w:rPr>
        <w:t xml:space="preserve">varasemalt </w:t>
      </w:r>
      <w:r w:rsidR="00B1222F" w:rsidRPr="003331EF">
        <w:rPr>
          <w:bCs/>
          <w:iCs/>
          <w:spacing w:val="-5"/>
          <w:lang w:eastAsia="en-US"/>
        </w:rPr>
        <w:t>vastava künnise 8 mln euro peale juba tõstnud</w:t>
      </w:r>
      <w:r w:rsidR="00B1222F" w:rsidRPr="003331EF">
        <w:rPr>
          <w:rStyle w:val="Allmrkuseviide"/>
          <w:bCs w:val="0"/>
          <w:iCs/>
          <w:spacing w:val="-5"/>
          <w:lang w:eastAsia="en-US"/>
        </w:rPr>
        <w:footnoteReference w:id="7"/>
      </w:r>
      <w:r w:rsidR="00FC3FC4" w:rsidRPr="003331EF">
        <w:rPr>
          <w:bCs/>
          <w:iCs/>
          <w:spacing w:val="-5"/>
          <w:lang w:eastAsia="en-US"/>
        </w:rPr>
        <w:t>;</w:t>
      </w:r>
      <w:r w:rsidRPr="003331EF">
        <w:rPr>
          <w:bCs/>
          <w:iCs/>
          <w:spacing w:val="-5"/>
          <w:lang w:eastAsia="en-US"/>
        </w:rPr>
        <w:t xml:space="preserve"> </w:t>
      </w:r>
    </w:p>
    <w:p w14:paraId="7F912254" w14:textId="06A29B86" w:rsidR="00EC5B50" w:rsidRPr="003331EF" w:rsidRDefault="00665D0E" w:rsidP="003331EF">
      <w:pPr>
        <w:numPr>
          <w:ilvl w:val="0"/>
          <w:numId w:val="12"/>
        </w:numPr>
        <w:spacing w:before="0"/>
        <w:ind w:left="284" w:hanging="284"/>
        <w:contextualSpacing/>
      </w:pPr>
      <w:r w:rsidRPr="003331EF">
        <w:rPr>
          <w:bCs/>
          <w:iCs/>
          <w:spacing w:val="-5"/>
          <w:lang w:eastAsia="en-US"/>
        </w:rPr>
        <w:t>r</w:t>
      </w:r>
      <w:r w:rsidR="00986391" w:rsidRPr="003331EF">
        <w:rPr>
          <w:bCs/>
          <w:iCs/>
          <w:spacing w:val="-5"/>
          <w:lang w:eastAsia="en-US"/>
        </w:rPr>
        <w:t xml:space="preserve">ahapesu ja terrorismi rahastamise tõkestamise seaduses </w:t>
      </w:r>
      <w:r w:rsidR="00A96E97" w:rsidRPr="003331EF">
        <w:rPr>
          <w:bCs/>
          <w:iCs/>
          <w:spacing w:val="-5"/>
          <w:lang w:eastAsia="en-US"/>
        </w:rPr>
        <w:t xml:space="preserve">(edaspidi </w:t>
      </w:r>
      <w:proofErr w:type="spellStart"/>
      <w:r w:rsidR="00A96E97" w:rsidRPr="003331EF">
        <w:rPr>
          <w:bCs/>
          <w:i/>
          <w:spacing w:val="-5"/>
          <w:lang w:eastAsia="en-US"/>
        </w:rPr>
        <w:t>RahaPTS</w:t>
      </w:r>
      <w:proofErr w:type="spellEnd"/>
      <w:r w:rsidR="00A96E97" w:rsidRPr="003331EF">
        <w:rPr>
          <w:bCs/>
          <w:iCs/>
          <w:spacing w:val="-5"/>
          <w:lang w:eastAsia="en-US"/>
        </w:rPr>
        <w:t xml:space="preserve">) </w:t>
      </w:r>
      <w:r w:rsidR="00986391" w:rsidRPr="003331EF">
        <w:rPr>
          <w:bCs/>
          <w:iCs/>
          <w:spacing w:val="-5"/>
          <w:lang w:eastAsia="en-US"/>
        </w:rPr>
        <w:t xml:space="preserve">tehakse muudatused, mis seostuvad </w:t>
      </w:r>
      <w:proofErr w:type="spellStart"/>
      <w:r w:rsidR="00986391" w:rsidRPr="003331EF">
        <w:rPr>
          <w:bCs/>
          <w:iCs/>
          <w:spacing w:val="-5"/>
          <w:lang w:eastAsia="en-US"/>
        </w:rPr>
        <w:t>M</w:t>
      </w:r>
      <w:r w:rsidR="00A03096">
        <w:rPr>
          <w:bCs/>
          <w:iCs/>
          <w:spacing w:val="-5"/>
          <w:lang w:eastAsia="en-US"/>
        </w:rPr>
        <w:t>i</w:t>
      </w:r>
      <w:r w:rsidR="00986391" w:rsidRPr="003331EF">
        <w:rPr>
          <w:bCs/>
          <w:iCs/>
          <w:spacing w:val="-5"/>
          <w:lang w:eastAsia="en-US"/>
        </w:rPr>
        <w:t>CA</w:t>
      </w:r>
      <w:proofErr w:type="spellEnd"/>
      <w:r w:rsidR="00986391" w:rsidRPr="003331EF">
        <w:rPr>
          <w:bCs/>
          <w:iCs/>
          <w:spacing w:val="-5"/>
          <w:lang w:eastAsia="en-US"/>
        </w:rPr>
        <w:t xml:space="preserve"> määruse ja Euroopa Parlamendi ja nõukogu määruse (EL) 2023/1113, mis käsitleb rahaülekannetes ja teatavates </w:t>
      </w:r>
      <w:proofErr w:type="spellStart"/>
      <w:r w:rsidR="00986391" w:rsidRPr="003331EF">
        <w:rPr>
          <w:bCs/>
          <w:iCs/>
          <w:spacing w:val="-5"/>
          <w:lang w:eastAsia="en-US"/>
        </w:rPr>
        <w:t>krüptovaraülekannetes</w:t>
      </w:r>
      <w:proofErr w:type="spellEnd"/>
      <w:r w:rsidR="00986391" w:rsidRPr="003331EF">
        <w:rPr>
          <w:bCs/>
          <w:iCs/>
          <w:spacing w:val="-5"/>
          <w:lang w:eastAsia="en-US"/>
        </w:rPr>
        <w:t xml:space="preserve"> edastatavat teavet ning millega muudetakse direktiivi (EL) 2015/849 (ELT L 150, 9.6.2023, lk 1–39)</w:t>
      </w:r>
      <w:r w:rsidR="009B5621" w:rsidRPr="003331EF">
        <w:rPr>
          <w:bCs/>
          <w:iCs/>
          <w:spacing w:val="-5"/>
          <w:lang w:eastAsia="en-US"/>
        </w:rPr>
        <w:t xml:space="preserve"> </w:t>
      </w:r>
      <w:r w:rsidR="009B5621" w:rsidRPr="003331EF">
        <w:rPr>
          <w:rFonts w:eastAsiaTheme="minorHAnsi"/>
          <w:bCs/>
        </w:rPr>
        <w:t>(edaspidi</w:t>
      </w:r>
      <w:r w:rsidR="009B5621" w:rsidRPr="003331EF">
        <w:rPr>
          <w:rFonts w:eastAsiaTheme="minorHAnsi"/>
          <w:bCs/>
          <w:i/>
          <w:iCs/>
        </w:rPr>
        <w:t xml:space="preserve"> </w:t>
      </w:r>
      <w:r w:rsidR="009B5621" w:rsidRPr="003331EF">
        <w:rPr>
          <w:rFonts w:eastAsiaTheme="minorHAnsi"/>
          <w:b/>
          <w:i/>
          <w:iCs/>
        </w:rPr>
        <w:t>TFR määrus</w:t>
      </w:r>
      <w:r w:rsidR="009B5621" w:rsidRPr="003331EF">
        <w:rPr>
          <w:rFonts w:eastAsiaTheme="minorHAnsi"/>
          <w:bCs/>
          <w:i/>
          <w:iCs/>
        </w:rPr>
        <w:t>)</w:t>
      </w:r>
      <w:r w:rsidR="00A96E97" w:rsidRPr="003331EF">
        <w:rPr>
          <w:rStyle w:val="Allmrkuseviide"/>
          <w:rFonts w:eastAsiaTheme="minorHAnsi"/>
          <w:bCs w:val="0"/>
          <w:i/>
          <w:iCs/>
        </w:rPr>
        <w:footnoteReference w:id="8"/>
      </w:r>
      <w:r w:rsidR="00986391" w:rsidRPr="003331EF">
        <w:rPr>
          <w:rFonts w:eastAsiaTheme="minorHAnsi"/>
          <w:bCs/>
        </w:rPr>
        <w:t xml:space="preserve"> </w:t>
      </w:r>
      <w:r w:rsidR="00986391" w:rsidRPr="003331EF">
        <w:rPr>
          <w:bCs/>
          <w:iCs/>
          <w:spacing w:val="-5"/>
          <w:lang w:eastAsia="en-US"/>
        </w:rPr>
        <w:t xml:space="preserve">rakendamisega. </w:t>
      </w:r>
      <w:r w:rsidR="00AD27D8" w:rsidRPr="003331EF">
        <w:rPr>
          <w:bCs/>
          <w:iCs/>
          <w:spacing w:val="-5"/>
          <w:lang w:eastAsia="en-US"/>
        </w:rPr>
        <w:t xml:space="preserve">TFR määruse muudatuste eesmärk on maandada rahapesu, terrorismi rahastamise ja organiseeritud kuritegevuse riske ja tagada </w:t>
      </w:r>
      <w:proofErr w:type="spellStart"/>
      <w:r w:rsidR="00AD27D8" w:rsidRPr="003331EF">
        <w:rPr>
          <w:bCs/>
          <w:iCs/>
          <w:spacing w:val="-5"/>
          <w:lang w:eastAsia="en-US"/>
        </w:rPr>
        <w:t>krüptovaraülekannete</w:t>
      </w:r>
      <w:proofErr w:type="spellEnd"/>
      <w:r w:rsidR="00AD27D8" w:rsidRPr="003331EF">
        <w:rPr>
          <w:bCs/>
          <w:iCs/>
          <w:spacing w:val="-5"/>
          <w:lang w:eastAsia="en-US"/>
        </w:rPr>
        <w:t xml:space="preserve"> süsteemi stabiilsus ja usaldusväärsus, kohustades </w:t>
      </w:r>
      <w:proofErr w:type="spellStart"/>
      <w:r w:rsidR="00AD27D8" w:rsidRPr="003331EF">
        <w:rPr>
          <w:bCs/>
          <w:iCs/>
          <w:spacing w:val="-5"/>
          <w:lang w:eastAsia="en-US"/>
        </w:rPr>
        <w:t>krüptovarateenuse</w:t>
      </w:r>
      <w:proofErr w:type="spellEnd"/>
      <w:r w:rsidR="00AD27D8" w:rsidRPr="003331EF">
        <w:rPr>
          <w:bCs/>
          <w:iCs/>
          <w:spacing w:val="-5"/>
          <w:lang w:eastAsia="en-US"/>
        </w:rPr>
        <w:t xml:space="preserve"> osutajaid koguma ja hoidma kliendi andmeid ning neid edastama </w:t>
      </w:r>
      <w:proofErr w:type="spellStart"/>
      <w:r w:rsidR="00AD27D8" w:rsidRPr="003331EF">
        <w:rPr>
          <w:bCs/>
          <w:iCs/>
          <w:spacing w:val="-5"/>
          <w:lang w:eastAsia="en-US"/>
        </w:rPr>
        <w:t>krüptovaraülekannetes</w:t>
      </w:r>
      <w:proofErr w:type="spellEnd"/>
      <w:r w:rsidR="00AD27D8" w:rsidRPr="003331EF">
        <w:rPr>
          <w:bCs/>
          <w:iCs/>
          <w:spacing w:val="-5"/>
          <w:lang w:eastAsia="en-US"/>
        </w:rPr>
        <w:t xml:space="preserve">, muutes ülekanded jälgitavaks. </w:t>
      </w:r>
      <w:r w:rsidR="00986391" w:rsidRPr="003331EF">
        <w:rPr>
          <w:bCs/>
          <w:iCs/>
          <w:spacing w:val="-5"/>
          <w:lang w:eastAsia="en-US"/>
        </w:rPr>
        <w:t xml:space="preserve">Muudatustega tunnistatakse </w:t>
      </w:r>
      <w:r w:rsidR="009B5621" w:rsidRPr="003331EF">
        <w:rPr>
          <w:bCs/>
          <w:iCs/>
          <w:spacing w:val="-5"/>
          <w:lang w:eastAsia="en-US"/>
        </w:rPr>
        <w:t xml:space="preserve">kehtetuks </w:t>
      </w:r>
      <w:r w:rsidR="00986391" w:rsidRPr="003331EF">
        <w:rPr>
          <w:bCs/>
          <w:iCs/>
          <w:spacing w:val="-5"/>
          <w:lang w:eastAsia="en-US"/>
        </w:rPr>
        <w:t xml:space="preserve">virtuaalvääringutega seonduvad mõisted ja tegevusloa regulatsioon. Lisaks sätestatakse </w:t>
      </w:r>
      <w:proofErr w:type="spellStart"/>
      <w:r w:rsidR="00986391" w:rsidRPr="003331EF">
        <w:rPr>
          <w:bCs/>
          <w:iCs/>
          <w:spacing w:val="-5"/>
          <w:lang w:eastAsia="en-US"/>
        </w:rPr>
        <w:t>krü</w:t>
      </w:r>
      <w:r w:rsidR="00E47EB0" w:rsidRPr="003331EF">
        <w:rPr>
          <w:bCs/>
          <w:iCs/>
          <w:spacing w:val="-5"/>
          <w:lang w:eastAsia="en-US"/>
        </w:rPr>
        <w:t>pt</w:t>
      </w:r>
      <w:r w:rsidR="00986391" w:rsidRPr="003331EF">
        <w:rPr>
          <w:bCs/>
          <w:iCs/>
          <w:spacing w:val="-5"/>
          <w:lang w:eastAsia="en-US"/>
        </w:rPr>
        <w:t>ovarateenusele</w:t>
      </w:r>
      <w:proofErr w:type="spellEnd"/>
      <w:r w:rsidR="00986391" w:rsidRPr="003331EF">
        <w:rPr>
          <w:bCs/>
          <w:iCs/>
          <w:spacing w:val="-5"/>
          <w:lang w:eastAsia="en-US"/>
        </w:rPr>
        <w:t xml:space="preserve"> kohalduvad EL õigusest tulenevad erisused, mis puudutavad eeskätt tehinguid isehallatavate </w:t>
      </w:r>
      <w:r w:rsidR="00043956" w:rsidRPr="003331EF">
        <w:rPr>
          <w:bCs/>
          <w:iCs/>
          <w:spacing w:val="-5"/>
          <w:lang w:eastAsia="en-US"/>
        </w:rPr>
        <w:t>aadressidega</w:t>
      </w:r>
      <w:r w:rsidR="00986391" w:rsidRPr="003331EF">
        <w:rPr>
          <w:bCs/>
          <w:iCs/>
          <w:spacing w:val="-5"/>
          <w:lang w:eastAsia="en-US"/>
        </w:rPr>
        <w:t xml:space="preserve"> (</w:t>
      </w:r>
      <w:proofErr w:type="spellStart"/>
      <w:r w:rsidR="00986391" w:rsidRPr="003331EF">
        <w:rPr>
          <w:bCs/>
          <w:iCs/>
          <w:spacing w:val="-5"/>
          <w:lang w:eastAsia="en-US"/>
        </w:rPr>
        <w:t>unhosted</w:t>
      </w:r>
      <w:proofErr w:type="spellEnd"/>
      <w:r w:rsidR="00986391" w:rsidRPr="003331EF">
        <w:rPr>
          <w:bCs/>
          <w:iCs/>
          <w:spacing w:val="-5"/>
          <w:lang w:eastAsia="en-US"/>
        </w:rPr>
        <w:t xml:space="preserve"> </w:t>
      </w:r>
      <w:proofErr w:type="spellStart"/>
      <w:r w:rsidR="00986391" w:rsidRPr="003331EF">
        <w:rPr>
          <w:bCs/>
          <w:iCs/>
          <w:spacing w:val="-5"/>
          <w:lang w:eastAsia="en-US"/>
        </w:rPr>
        <w:t>wallet</w:t>
      </w:r>
      <w:proofErr w:type="spellEnd"/>
      <w:r w:rsidR="00986391" w:rsidRPr="003331EF">
        <w:rPr>
          <w:bCs/>
          <w:iCs/>
          <w:spacing w:val="-5"/>
          <w:lang w:eastAsia="en-US"/>
        </w:rPr>
        <w:t xml:space="preserve">) ja korrespondentsuhteid </w:t>
      </w:r>
      <w:proofErr w:type="spellStart"/>
      <w:r w:rsidR="00986391" w:rsidRPr="003331EF">
        <w:rPr>
          <w:bCs/>
          <w:iCs/>
          <w:spacing w:val="-5"/>
          <w:lang w:eastAsia="en-US"/>
        </w:rPr>
        <w:t>k</w:t>
      </w:r>
      <w:r w:rsidR="00043956" w:rsidRPr="003331EF">
        <w:rPr>
          <w:bCs/>
          <w:iCs/>
          <w:spacing w:val="-5"/>
          <w:lang w:eastAsia="en-US"/>
        </w:rPr>
        <w:t>r</w:t>
      </w:r>
      <w:r w:rsidR="00986391" w:rsidRPr="003331EF">
        <w:rPr>
          <w:bCs/>
          <w:iCs/>
          <w:spacing w:val="-5"/>
          <w:lang w:eastAsia="en-US"/>
        </w:rPr>
        <w:t>üptovarateenuse</w:t>
      </w:r>
      <w:proofErr w:type="spellEnd"/>
      <w:r w:rsidR="00986391" w:rsidRPr="003331EF">
        <w:rPr>
          <w:bCs/>
          <w:iCs/>
          <w:spacing w:val="-5"/>
          <w:lang w:eastAsia="en-US"/>
        </w:rPr>
        <w:t xml:space="preserve"> osutajatega. Samuti lisatakse Euroopa Parlamendi ja nõukogu määruse (EL) 2020/1503,  mis käsitleb ettevõtjatele Euroopa </w:t>
      </w:r>
      <w:proofErr w:type="spellStart"/>
      <w:r w:rsidR="00986391" w:rsidRPr="003331EF">
        <w:rPr>
          <w:bCs/>
          <w:iCs/>
          <w:spacing w:val="-5"/>
          <w:lang w:eastAsia="en-US"/>
        </w:rPr>
        <w:t>ühisrahastusteenuse</w:t>
      </w:r>
      <w:proofErr w:type="spellEnd"/>
      <w:r w:rsidR="00986391" w:rsidRPr="003331EF">
        <w:rPr>
          <w:bCs/>
          <w:iCs/>
          <w:spacing w:val="-5"/>
          <w:lang w:eastAsia="en-US"/>
        </w:rPr>
        <w:t xml:space="preserve"> osutajaid ning millega muudetakse määrust (EL) 2017/1129 ja direktiivi (EL) 2019/193  hõlmatud </w:t>
      </w:r>
      <w:proofErr w:type="spellStart"/>
      <w:r w:rsidR="00986391" w:rsidRPr="003331EF">
        <w:rPr>
          <w:bCs/>
          <w:iCs/>
          <w:spacing w:val="-5"/>
          <w:lang w:eastAsia="en-US"/>
        </w:rPr>
        <w:t>ühisrahastusteenuse</w:t>
      </w:r>
      <w:proofErr w:type="spellEnd"/>
      <w:r w:rsidR="00986391" w:rsidRPr="003331EF">
        <w:rPr>
          <w:bCs/>
          <w:iCs/>
          <w:spacing w:val="-5"/>
          <w:lang w:eastAsia="en-US"/>
        </w:rPr>
        <w:t xml:space="preserve"> osutajad kohustatud isikute loetellu.</w:t>
      </w:r>
    </w:p>
    <w:p w14:paraId="7352677F" w14:textId="77777777" w:rsidR="006B0B55" w:rsidRPr="003331EF" w:rsidRDefault="006B0B55" w:rsidP="003331EF">
      <w:pPr>
        <w:spacing w:before="0"/>
        <w:rPr>
          <w:rFonts w:eastAsiaTheme="minorHAnsi"/>
          <w:spacing w:val="-5"/>
        </w:rPr>
      </w:pPr>
    </w:p>
    <w:p w14:paraId="410A42E5" w14:textId="4455E118" w:rsidR="00CD4810" w:rsidRPr="003331EF" w:rsidRDefault="00994139" w:rsidP="003331EF">
      <w:pPr>
        <w:spacing w:before="0"/>
        <w:rPr>
          <w:b/>
          <w:bCs/>
        </w:rPr>
      </w:pPr>
      <w:bookmarkStart w:id="1" w:name="_Toc416446819"/>
      <w:r w:rsidRPr="003331EF">
        <w:rPr>
          <w:b/>
          <w:bCs/>
        </w:rPr>
        <w:t xml:space="preserve">1.2. </w:t>
      </w:r>
      <w:r w:rsidR="00CD4810" w:rsidRPr="003331EF">
        <w:rPr>
          <w:b/>
          <w:bCs/>
        </w:rPr>
        <w:t>Eelnõu ettevalmistaja</w:t>
      </w:r>
      <w:bookmarkEnd w:id="1"/>
      <w:r w:rsidR="00D46C08" w:rsidRPr="003331EF">
        <w:rPr>
          <w:b/>
          <w:bCs/>
        </w:rPr>
        <w:t>d</w:t>
      </w:r>
    </w:p>
    <w:p w14:paraId="1D76E32D" w14:textId="77777777" w:rsidR="00CD4810" w:rsidRPr="003331EF" w:rsidRDefault="00CD4810" w:rsidP="003331EF">
      <w:pPr>
        <w:spacing w:before="0"/>
      </w:pPr>
    </w:p>
    <w:p w14:paraId="6BA4BC9F" w14:textId="4814C5F2" w:rsidR="00D46C08" w:rsidRPr="003331EF" w:rsidRDefault="00CD4810" w:rsidP="003331EF">
      <w:pPr>
        <w:spacing w:before="0"/>
        <w:rPr>
          <w:bCs/>
          <w:iCs/>
          <w:spacing w:val="-5"/>
          <w:lang w:eastAsia="en-US"/>
        </w:rPr>
      </w:pPr>
      <w:r w:rsidRPr="003331EF">
        <w:rPr>
          <w:bCs/>
          <w:iCs/>
          <w:spacing w:val="-5"/>
          <w:lang w:eastAsia="en-US"/>
        </w:rPr>
        <w:t>Eelnõu ja seletuskirja on koostanud Rahandusministeeriumi finantsteenuste poliitika osakonna</w:t>
      </w:r>
      <w:r w:rsidRPr="003331EF" w:rsidDel="00C80090">
        <w:rPr>
          <w:bCs/>
          <w:iCs/>
          <w:spacing w:val="-5"/>
          <w:lang w:eastAsia="en-US"/>
        </w:rPr>
        <w:t xml:space="preserve"> </w:t>
      </w:r>
      <w:r w:rsidR="00440EDD" w:rsidRPr="003331EF">
        <w:rPr>
          <w:bCs/>
          <w:iCs/>
          <w:spacing w:val="-5"/>
          <w:lang w:eastAsia="en-US"/>
        </w:rPr>
        <w:t xml:space="preserve">juhataja asetäitja Thomas Auväärt (611 3633, Thomas.Auvaart@fin.ee), sama osakonna </w:t>
      </w:r>
      <w:r w:rsidRPr="003331EF">
        <w:rPr>
          <w:bCs/>
          <w:iCs/>
          <w:spacing w:val="-5"/>
          <w:lang w:eastAsia="en-US"/>
        </w:rPr>
        <w:t>nõunik</w:t>
      </w:r>
      <w:r w:rsidR="00440EDD" w:rsidRPr="003331EF">
        <w:rPr>
          <w:bCs/>
          <w:iCs/>
          <w:spacing w:val="-5"/>
          <w:lang w:eastAsia="en-US"/>
        </w:rPr>
        <w:t>ud</w:t>
      </w:r>
      <w:r w:rsidRPr="003331EF">
        <w:rPr>
          <w:bCs/>
          <w:iCs/>
          <w:spacing w:val="-5"/>
          <w:lang w:eastAsia="en-US"/>
        </w:rPr>
        <w:t xml:space="preserve"> Kristiina Kubja (</w:t>
      </w:r>
      <w:r w:rsidR="00073221" w:rsidRPr="003331EF">
        <w:rPr>
          <w:bCs/>
          <w:iCs/>
          <w:spacing w:val="-5"/>
          <w:lang w:eastAsia="en-US"/>
        </w:rPr>
        <w:t>5885 1398</w:t>
      </w:r>
      <w:r w:rsidRPr="003331EF">
        <w:rPr>
          <w:bCs/>
          <w:iCs/>
          <w:spacing w:val="-5"/>
          <w:lang w:eastAsia="en-US"/>
        </w:rPr>
        <w:t xml:space="preserve">, </w:t>
      </w:r>
      <w:r w:rsidR="0033579D" w:rsidRPr="003331EF">
        <w:rPr>
          <w:bCs/>
          <w:iCs/>
          <w:spacing w:val="-5"/>
          <w:lang w:eastAsia="en-US"/>
        </w:rPr>
        <w:t>Kristiina.Kubja@fin.ee</w:t>
      </w:r>
      <w:r w:rsidRPr="003331EF">
        <w:rPr>
          <w:bCs/>
          <w:iCs/>
          <w:spacing w:val="-5"/>
          <w:lang w:eastAsia="en-US"/>
        </w:rPr>
        <w:t>)</w:t>
      </w:r>
      <w:r w:rsidR="00C55C4D" w:rsidRPr="003331EF">
        <w:rPr>
          <w:bCs/>
          <w:iCs/>
          <w:spacing w:val="-5"/>
          <w:lang w:eastAsia="en-US"/>
        </w:rPr>
        <w:t>,</w:t>
      </w:r>
      <w:r w:rsidR="0033579D" w:rsidRPr="003331EF">
        <w:rPr>
          <w:bCs/>
          <w:iCs/>
          <w:spacing w:val="-5"/>
          <w:lang w:eastAsia="en-US"/>
        </w:rPr>
        <w:t xml:space="preserve"> </w:t>
      </w:r>
      <w:r w:rsidR="00716161" w:rsidRPr="003331EF">
        <w:rPr>
          <w:bCs/>
          <w:iCs/>
          <w:spacing w:val="-5"/>
          <w:lang w:eastAsia="en-US"/>
        </w:rPr>
        <w:t>Kristen Leppik (</w:t>
      </w:r>
      <w:r w:rsidR="00073221" w:rsidRPr="003331EF">
        <w:rPr>
          <w:bCs/>
          <w:iCs/>
          <w:spacing w:val="-5"/>
          <w:lang w:eastAsia="en-US"/>
        </w:rPr>
        <w:t>5885 1396</w:t>
      </w:r>
      <w:r w:rsidR="00716161" w:rsidRPr="003331EF">
        <w:rPr>
          <w:bCs/>
          <w:iCs/>
          <w:spacing w:val="-5"/>
          <w:lang w:eastAsia="en-US"/>
        </w:rPr>
        <w:t xml:space="preserve">, </w:t>
      </w:r>
      <w:r w:rsidR="00C55C4D" w:rsidRPr="003331EF">
        <w:rPr>
          <w:bCs/>
          <w:iCs/>
          <w:spacing w:val="-5"/>
          <w:lang w:eastAsia="en-US"/>
        </w:rPr>
        <w:t>Kristen.Leppik@fin.ee</w:t>
      </w:r>
      <w:r w:rsidR="00716161" w:rsidRPr="003331EF">
        <w:rPr>
          <w:bCs/>
          <w:iCs/>
          <w:spacing w:val="-5"/>
          <w:lang w:eastAsia="en-US"/>
        </w:rPr>
        <w:t>)</w:t>
      </w:r>
      <w:r w:rsidR="00C55C4D" w:rsidRPr="003331EF">
        <w:rPr>
          <w:bCs/>
          <w:iCs/>
          <w:spacing w:val="-5"/>
          <w:lang w:eastAsia="en-US"/>
        </w:rPr>
        <w:t xml:space="preserve"> ja Kertu </w:t>
      </w:r>
      <w:proofErr w:type="spellStart"/>
      <w:r w:rsidR="00C55C4D" w:rsidRPr="003331EF">
        <w:rPr>
          <w:bCs/>
          <w:iCs/>
          <w:spacing w:val="-5"/>
          <w:lang w:eastAsia="en-US"/>
        </w:rPr>
        <w:t>Fedotov</w:t>
      </w:r>
      <w:proofErr w:type="spellEnd"/>
      <w:r w:rsidR="00C55C4D" w:rsidRPr="003331EF">
        <w:rPr>
          <w:bCs/>
          <w:iCs/>
          <w:spacing w:val="-5"/>
          <w:lang w:eastAsia="en-US"/>
        </w:rPr>
        <w:t xml:space="preserve"> (5885 1393, </w:t>
      </w:r>
      <w:r w:rsidR="00A46898" w:rsidRPr="003331EF">
        <w:rPr>
          <w:bCs/>
          <w:iCs/>
          <w:spacing w:val="-5"/>
          <w:lang w:eastAsia="en-US"/>
        </w:rPr>
        <w:t>Kertu.Fedotov@fin.ee, IFS</w:t>
      </w:r>
      <w:r w:rsidR="00C55C4D" w:rsidRPr="003331EF">
        <w:rPr>
          <w:bCs/>
          <w:iCs/>
          <w:spacing w:val="-5"/>
          <w:lang w:eastAsia="en-US"/>
        </w:rPr>
        <w:t xml:space="preserve">) ning rahandusteabe poliitika osakonna nõunik Henrik Mägi (5885 1355, </w:t>
      </w:r>
      <w:r w:rsidR="00A46898" w:rsidRPr="003331EF">
        <w:rPr>
          <w:bCs/>
          <w:iCs/>
          <w:spacing w:val="-5"/>
          <w:lang w:eastAsia="en-US"/>
        </w:rPr>
        <w:t xml:space="preserve">Henrik.Magi@fin.ee, </w:t>
      </w:r>
      <w:proofErr w:type="spellStart"/>
      <w:r w:rsidR="00A46898" w:rsidRPr="003331EF">
        <w:rPr>
          <w:bCs/>
          <w:iCs/>
          <w:spacing w:val="-5"/>
          <w:lang w:eastAsia="en-US"/>
        </w:rPr>
        <w:t>RahaPTS</w:t>
      </w:r>
      <w:proofErr w:type="spellEnd"/>
      <w:r w:rsidR="006B5D92" w:rsidRPr="003331EF">
        <w:rPr>
          <w:bCs/>
          <w:iCs/>
          <w:spacing w:val="-5"/>
          <w:lang w:eastAsia="en-US"/>
        </w:rPr>
        <w:t xml:space="preserve">, </w:t>
      </w:r>
      <w:proofErr w:type="spellStart"/>
      <w:r w:rsidR="006B5D92" w:rsidRPr="003331EF">
        <w:rPr>
          <w:bCs/>
          <w:iCs/>
          <w:spacing w:val="-5"/>
          <w:lang w:eastAsia="en-US"/>
        </w:rPr>
        <w:t>RSanS</w:t>
      </w:r>
      <w:proofErr w:type="spellEnd"/>
      <w:r w:rsidR="00C55C4D" w:rsidRPr="003331EF">
        <w:rPr>
          <w:bCs/>
          <w:iCs/>
          <w:spacing w:val="-5"/>
          <w:lang w:eastAsia="en-US"/>
        </w:rPr>
        <w:t xml:space="preserve">). </w:t>
      </w:r>
    </w:p>
    <w:p w14:paraId="1BD19738" w14:textId="23F04DD6" w:rsidR="00CD4810" w:rsidRPr="003331EF" w:rsidRDefault="00CD4810" w:rsidP="003331EF">
      <w:pPr>
        <w:spacing w:before="0"/>
      </w:pPr>
    </w:p>
    <w:p w14:paraId="52A305B3" w14:textId="4ED04978" w:rsidR="00CD4810" w:rsidRPr="003331EF" w:rsidRDefault="00CD4810" w:rsidP="003331EF">
      <w:pPr>
        <w:spacing w:before="0"/>
        <w:rPr>
          <w:bCs/>
          <w:iCs/>
          <w:spacing w:val="-5"/>
          <w:lang w:eastAsia="en-US"/>
        </w:rPr>
      </w:pPr>
      <w:r w:rsidRPr="003331EF">
        <w:rPr>
          <w:bCs/>
          <w:iCs/>
          <w:spacing w:val="-5"/>
          <w:lang w:eastAsia="en-US"/>
        </w:rPr>
        <w:t xml:space="preserve">Eelnõu on keeleliselt toimetanud Rahandusministeeriumi personali- ja õigusosakonna keeletoimetaja Sirje </w:t>
      </w:r>
      <w:proofErr w:type="spellStart"/>
      <w:r w:rsidRPr="003331EF">
        <w:rPr>
          <w:bCs/>
          <w:iCs/>
          <w:spacing w:val="-5"/>
          <w:lang w:eastAsia="en-US"/>
        </w:rPr>
        <w:t>Lilover</w:t>
      </w:r>
      <w:proofErr w:type="spellEnd"/>
      <w:r w:rsidRPr="003331EF">
        <w:rPr>
          <w:bCs/>
          <w:iCs/>
          <w:spacing w:val="-5"/>
          <w:lang w:eastAsia="en-US"/>
        </w:rPr>
        <w:t xml:space="preserve"> (</w:t>
      </w:r>
      <w:r w:rsidR="00994139" w:rsidRPr="003331EF">
        <w:rPr>
          <w:bCs/>
          <w:iCs/>
          <w:spacing w:val="-5"/>
          <w:lang w:eastAsia="en-US"/>
        </w:rPr>
        <w:t>5885 1468</w:t>
      </w:r>
      <w:r w:rsidRPr="003331EF">
        <w:rPr>
          <w:bCs/>
          <w:iCs/>
          <w:spacing w:val="-5"/>
          <w:lang w:eastAsia="en-US"/>
        </w:rPr>
        <w:t>,</w:t>
      </w:r>
      <w:r w:rsidR="00994139" w:rsidRPr="003331EF">
        <w:rPr>
          <w:bCs/>
          <w:iCs/>
          <w:spacing w:val="-5"/>
          <w:lang w:eastAsia="en-US"/>
        </w:rPr>
        <w:t xml:space="preserve"> </w:t>
      </w:r>
      <w:r w:rsidR="00BC3070" w:rsidRPr="003331EF">
        <w:rPr>
          <w:iCs/>
          <w:spacing w:val="-5"/>
          <w:lang w:eastAsia="en-US"/>
        </w:rPr>
        <w:t>Sirje.Lilover@fin.ee</w:t>
      </w:r>
      <w:r w:rsidRPr="003331EF">
        <w:rPr>
          <w:bCs/>
          <w:iCs/>
          <w:spacing w:val="-5"/>
          <w:lang w:eastAsia="en-US"/>
        </w:rPr>
        <w:t>). Eelnõu ja seletuskirja juriidilist kvaliteeti kontrollis sama osakonna nõunik Agnes Peterson (</w:t>
      </w:r>
      <w:r w:rsidR="00073221" w:rsidRPr="003331EF">
        <w:rPr>
          <w:bCs/>
          <w:iCs/>
          <w:spacing w:val="-5"/>
          <w:lang w:eastAsia="en-US"/>
        </w:rPr>
        <w:t>5885 1301</w:t>
      </w:r>
      <w:r w:rsidRPr="003331EF">
        <w:rPr>
          <w:bCs/>
          <w:iCs/>
          <w:spacing w:val="-5"/>
          <w:lang w:eastAsia="en-US"/>
        </w:rPr>
        <w:t xml:space="preserve">, </w:t>
      </w:r>
      <w:r w:rsidR="00BC3070" w:rsidRPr="003331EF">
        <w:rPr>
          <w:bCs/>
          <w:iCs/>
          <w:spacing w:val="-5"/>
          <w:lang w:eastAsia="en-US"/>
        </w:rPr>
        <w:t>Agnes.Peterson@fin.ee</w:t>
      </w:r>
      <w:r w:rsidRPr="003331EF">
        <w:rPr>
          <w:bCs/>
          <w:iCs/>
          <w:spacing w:val="-5"/>
          <w:lang w:eastAsia="en-US"/>
        </w:rPr>
        <w:t>).</w:t>
      </w:r>
    </w:p>
    <w:p w14:paraId="203C36AD" w14:textId="77777777" w:rsidR="00CD4810" w:rsidRPr="003331EF" w:rsidRDefault="00CD4810" w:rsidP="003331EF">
      <w:pPr>
        <w:spacing w:before="0"/>
        <w:rPr>
          <w:spacing w:val="-5"/>
        </w:rPr>
      </w:pPr>
    </w:p>
    <w:p w14:paraId="0E4D2E44" w14:textId="1EFB1DB0" w:rsidR="005508E5" w:rsidRPr="003331EF" w:rsidRDefault="00994139" w:rsidP="003331EF">
      <w:pPr>
        <w:spacing w:before="0"/>
        <w:rPr>
          <w:rFonts w:eastAsiaTheme="majorEastAsia"/>
          <w:b/>
          <w:bCs/>
        </w:rPr>
      </w:pPr>
      <w:r w:rsidRPr="003331EF">
        <w:rPr>
          <w:rFonts w:eastAsiaTheme="majorEastAsia"/>
          <w:b/>
          <w:bCs/>
        </w:rPr>
        <w:t xml:space="preserve">1.3. </w:t>
      </w:r>
      <w:r w:rsidR="005508E5" w:rsidRPr="003331EF">
        <w:rPr>
          <w:rFonts w:eastAsiaTheme="majorEastAsia"/>
          <w:b/>
          <w:bCs/>
        </w:rPr>
        <w:t>Märkused</w:t>
      </w:r>
    </w:p>
    <w:p w14:paraId="1D9E4336" w14:textId="77777777" w:rsidR="00CD4810" w:rsidRPr="003331EF" w:rsidRDefault="00CD4810" w:rsidP="003331EF">
      <w:pPr>
        <w:keepNext/>
        <w:keepLines/>
        <w:spacing w:before="0"/>
        <w:jc w:val="left"/>
        <w:outlineLvl w:val="1"/>
        <w:rPr>
          <w:rFonts w:eastAsiaTheme="majorEastAsia"/>
          <w:b/>
          <w:bCs/>
          <w:lang w:eastAsia="en-US"/>
        </w:rPr>
      </w:pPr>
    </w:p>
    <w:p w14:paraId="2191F6DD" w14:textId="53570EA6" w:rsidR="00601A8B" w:rsidRPr="003331EF" w:rsidRDefault="00601A8B" w:rsidP="003331EF">
      <w:pPr>
        <w:keepNext/>
        <w:keepLines/>
        <w:spacing w:before="0"/>
        <w:jc w:val="left"/>
        <w:outlineLvl w:val="1"/>
        <w:rPr>
          <w:bCs/>
          <w:iCs/>
          <w:spacing w:val="-5"/>
          <w:lang w:eastAsia="en-US"/>
        </w:rPr>
      </w:pPr>
      <w:r w:rsidRPr="003331EF">
        <w:rPr>
          <w:bCs/>
          <w:iCs/>
          <w:spacing w:val="-5"/>
          <w:lang w:eastAsia="en-US"/>
        </w:rPr>
        <w:t xml:space="preserve">Eelnõu ei ole seotud Vabariigi Valitsuse </w:t>
      </w:r>
      <w:r w:rsidR="0057540C" w:rsidRPr="003331EF">
        <w:rPr>
          <w:bCs/>
          <w:iCs/>
          <w:spacing w:val="-5"/>
          <w:lang w:eastAsia="en-US"/>
        </w:rPr>
        <w:t>tegevus</w:t>
      </w:r>
      <w:r w:rsidRPr="003331EF">
        <w:rPr>
          <w:bCs/>
          <w:iCs/>
          <w:spacing w:val="-5"/>
          <w:lang w:eastAsia="en-US"/>
        </w:rPr>
        <w:t>programmiga.</w:t>
      </w:r>
    </w:p>
    <w:p w14:paraId="015C2BBC" w14:textId="77777777" w:rsidR="005508E5" w:rsidRPr="003331EF" w:rsidRDefault="005508E5" w:rsidP="003331EF">
      <w:pPr>
        <w:tabs>
          <w:tab w:val="center" w:pos="4536"/>
          <w:tab w:val="right" w:pos="9072"/>
        </w:tabs>
        <w:spacing w:before="0"/>
      </w:pPr>
    </w:p>
    <w:p w14:paraId="1AC9A461" w14:textId="77777777" w:rsidR="00C617C8" w:rsidRDefault="00411E90" w:rsidP="00C617C8">
      <w:pPr>
        <w:tabs>
          <w:tab w:val="center" w:pos="4536"/>
          <w:tab w:val="right" w:pos="9072"/>
        </w:tabs>
        <w:spacing w:before="0"/>
        <w:rPr>
          <w:lang w:eastAsia="en-US"/>
        </w:rPr>
      </w:pPr>
      <w:r w:rsidRPr="003331EF">
        <w:rPr>
          <w:b/>
          <w:bCs/>
          <w:lang w:eastAsia="en-US"/>
        </w:rPr>
        <w:t>E</w:t>
      </w:r>
      <w:r w:rsidR="005508E5" w:rsidRPr="003331EF">
        <w:rPr>
          <w:b/>
          <w:bCs/>
          <w:lang w:eastAsia="en-US"/>
        </w:rPr>
        <w:t xml:space="preserve">elnõu </w:t>
      </w:r>
      <w:r w:rsidR="007413C2" w:rsidRPr="003331EF">
        <w:rPr>
          <w:b/>
          <w:bCs/>
          <w:lang w:eastAsia="en-US"/>
        </w:rPr>
        <w:t xml:space="preserve">on </w:t>
      </w:r>
      <w:r w:rsidR="005508E5" w:rsidRPr="003331EF">
        <w:rPr>
          <w:b/>
          <w:bCs/>
          <w:lang w:eastAsia="en-US"/>
        </w:rPr>
        <w:t>seotud</w:t>
      </w:r>
      <w:r w:rsidR="00D856A2" w:rsidRPr="003331EF">
        <w:rPr>
          <w:b/>
          <w:bCs/>
          <w:lang w:eastAsia="en-US"/>
        </w:rPr>
        <w:t xml:space="preserve"> järgmis</w:t>
      </w:r>
      <w:r w:rsidR="007720C7" w:rsidRPr="003331EF">
        <w:rPr>
          <w:b/>
          <w:bCs/>
          <w:lang w:eastAsia="en-US"/>
        </w:rPr>
        <w:t>t</w:t>
      </w:r>
      <w:r w:rsidR="00D856A2" w:rsidRPr="003331EF">
        <w:rPr>
          <w:b/>
          <w:bCs/>
          <w:lang w:eastAsia="en-US"/>
        </w:rPr>
        <w:t>e</w:t>
      </w:r>
      <w:r w:rsidR="005508E5" w:rsidRPr="003331EF">
        <w:rPr>
          <w:b/>
          <w:bCs/>
          <w:lang w:eastAsia="en-US"/>
        </w:rPr>
        <w:t xml:space="preserve"> EL õigus</w:t>
      </w:r>
      <w:r w:rsidR="007720C7" w:rsidRPr="003331EF">
        <w:rPr>
          <w:b/>
          <w:bCs/>
          <w:lang w:eastAsia="en-US"/>
        </w:rPr>
        <w:t>aktide</w:t>
      </w:r>
      <w:r w:rsidR="005508E5" w:rsidRPr="003331EF">
        <w:rPr>
          <w:b/>
          <w:bCs/>
          <w:lang w:eastAsia="en-US"/>
        </w:rPr>
        <w:t xml:space="preserve"> rakendamisega</w:t>
      </w:r>
      <w:r w:rsidR="005508E5" w:rsidRPr="003331EF">
        <w:rPr>
          <w:lang w:eastAsia="en-US"/>
        </w:rPr>
        <w:t>:</w:t>
      </w:r>
    </w:p>
    <w:p w14:paraId="358626CC" w14:textId="5B746167" w:rsidR="00440EDD" w:rsidRPr="003331EF" w:rsidRDefault="007413C2" w:rsidP="00C617C8">
      <w:pPr>
        <w:tabs>
          <w:tab w:val="center" w:pos="4536"/>
          <w:tab w:val="right" w:pos="9072"/>
        </w:tabs>
        <w:spacing w:before="0"/>
        <w:rPr>
          <w:bCs/>
          <w:iCs/>
          <w:spacing w:val="-5"/>
        </w:rPr>
      </w:pPr>
      <w:proofErr w:type="spellStart"/>
      <w:r w:rsidRPr="003331EF">
        <w:rPr>
          <w:bCs/>
          <w:iCs/>
          <w:spacing w:val="-5"/>
        </w:rPr>
        <w:t>M</w:t>
      </w:r>
      <w:r w:rsidR="00A03096">
        <w:rPr>
          <w:bCs/>
          <w:iCs/>
          <w:spacing w:val="-5"/>
        </w:rPr>
        <w:t>i</w:t>
      </w:r>
      <w:r w:rsidRPr="003331EF">
        <w:rPr>
          <w:bCs/>
          <w:iCs/>
          <w:spacing w:val="-5"/>
        </w:rPr>
        <w:t>CA</w:t>
      </w:r>
      <w:proofErr w:type="spellEnd"/>
      <w:r w:rsidRPr="003331EF">
        <w:rPr>
          <w:bCs/>
          <w:iCs/>
          <w:spacing w:val="-5"/>
        </w:rPr>
        <w:t xml:space="preserve"> määrus</w:t>
      </w:r>
      <w:r w:rsidR="00411E90" w:rsidRPr="003331EF">
        <w:rPr>
          <w:bCs/>
          <w:iCs/>
          <w:spacing w:val="-5"/>
        </w:rPr>
        <w:t>;</w:t>
      </w:r>
    </w:p>
    <w:p w14:paraId="76A11689" w14:textId="1854DF87" w:rsidR="00411E90" w:rsidRPr="003331EF" w:rsidRDefault="007413C2" w:rsidP="003331EF">
      <w:pPr>
        <w:pStyle w:val="Loendilik"/>
        <w:keepNext/>
        <w:keepLines/>
        <w:numPr>
          <w:ilvl w:val="0"/>
          <w:numId w:val="55"/>
        </w:numPr>
        <w:outlineLvl w:val="1"/>
        <w:rPr>
          <w:bCs/>
          <w:iCs/>
          <w:spacing w:val="-5"/>
        </w:rPr>
      </w:pPr>
      <w:r w:rsidRPr="003331EF">
        <w:rPr>
          <w:bCs/>
          <w:iCs/>
          <w:spacing w:val="-5"/>
        </w:rPr>
        <w:lastRenderedPageBreak/>
        <w:t>DORA määrus</w:t>
      </w:r>
      <w:r w:rsidR="00493791" w:rsidRPr="003331EF">
        <w:rPr>
          <w:bCs/>
          <w:iCs/>
          <w:spacing w:val="-5"/>
        </w:rPr>
        <w:t>;</w:t>
      </w:r>
    </w:p>
    <w:p w14:paraId="2DA27231" w14:textId="4001CE96" w:rsidR="00C0771D" w:rsidRPr="003331EF" w:rsidRDefault="00C0771D" w:rsidP="003331EF">
      <w:pPr>
        <w:pStyle w:val="Loendilik"/>
        <w:keepNext/>
        <w:keepLines/>
        <w:numPr>
          <w:ilvl w:val="0"/>
          <w:numId w:val="55"/>
        </w:numPr>
        <w:outlineLvl w:val="1"/>
        <w:rPr>
          <w:bCs/>
          <w:iCs/>
          <w:spacing w:val="-5"/>
        </w:rPr>
      </w:pPr>
      <w:r w:rsidRPr="003331EF">
        <w:rPr>
          <w:bCs/>
          <w:iCs/>
          <w:spacing w:val="-5"/>
        </w:rPr>
        <w:t>TFR määrus;</w:t>
      </w:r>
    </w:p>
    <w:p w14:paraId="38D7E3AD" w14:textId="5623907A" w:rsidR="00493791" w:rsidRPr="003331EF" w:rsidRDefault="00493791" w:rsidP="003331EF">
      <w:pPr>
        <w:pStyle w:val="Loendilik"/>
        <w:keepNext/>
        <w:keepLines/>
        <w:numPr>
          <w:ilvl w:val="0"/>
          <w:numId w:val="55"/>
        </w:numPr>
        <w:outlineLvl w:val="1"/>
        <w:rPr>
          <w:bCs/>
          <w:iCs/>
          <w:spacing w:val="-5"/>
        </w:rPr>
      </w:pPr>
      <w:r w:rsidRPr="003331EF">
        <w:rPr>
          <w:bCs/>
          <w:iCs/>
          <w:spacing w:val="-5"/>
        </w:rPr>
        <w:t>alternatiivfondivalitsejate direktiiv (2011/61/EL)</w:t>
      </w:r>
      <w:r w:rsidR="0090110A" w:rsidRPr="003331EF">
        <w:rPr>
          <w:b/>
          <w:vertAlign w:val="superscript"/>
        </w:rPr>
        <w:footnoteReference w:id="9"/>
      </w:r>
      <w:r w:rsidRPr="003331EF">
        <w:rPr>
          <w:bCs/>
          <w:iCs/>
          <w:spacing w:val="-5"/>
        </w:rPr>
        <w:t>;</w:t>
      </w:r>
    </w:p>
    <w:p w14:paraId="24CA9D2B" w14:textId="0C06B6CF" w:rsidR="00493791" w:rsidRPr="003331EF" w:rsidRDefault="00493791" w:rsidP="003331EF">
      <w:pPr>
        <w:pStyle w:val="Loendilik"/>
        <w:keepNext/>
        <w:keepLines/>
        <w:numPr>
          <w:ilvl w:val="0"/>
          <w:numId w:val="55"/>
        </w:numPr>
        <w:outlineLvl w:val="1"/>
        <w:rPr>
          <w:bCs/>
          <w:iCs/>
          <w:spacing w:val="-5"/>
        </w:rPr>
      </w:pPr>
      <w:r w:rsidRPr="003331EF">
        <w:rPr>
          <w:bCs/>
          <w:iCs/>
          <w:spacing w:val="-5"/>
        </w:rPr>
        <w:t>EL prospektimäärus (2017/1129/EL)</w:t>
      </w:r>
      <w:r w:rsidR="003E72BA" w:rsidRPr="003331EF">
        <w:rPr>
          <w:b/>
          <w:vertAlign w:val="superscript"/>
        </w:rPr>
        <w:footnoteReference w:id="10"/>
      </w:r>
      <w:r w:rsidRPr="003331EF">
        <w:rPr>
          <w:bCs/>
          <w:iCs/>
          <w:spacing w:val="-5"/>
        </w:rPr>
        <w:t>.</w:t>
      </w:r>
    </w:p>
    <w:p w14:paraId="3CF0EF8E" w14:textId="77777777" w:rsidR="005508E5" w:rsidRPr="003331EF" w:rsidRDefault="005508E5" w:rsidP="003331EF">
      <w:pPr>
        <w:tabs>
          <w:tab w:val="center" w:pos="4536"/>
          <w:tab w:val="right" w:pos="9072"/>
        </w:tabs>
        <w:spacing w:before="0"/>
        <w:rPr>
          <w:lang w:eastAsia="en-US"/>
        </w:rPr>
      </w:pPr>
    </w:p>
    <w:p w14:paraId="2DAE327B" w14:textId="77777777" w:rsidR="005508E5" w:rsidRPr="003331EF" w:rsidRDefault="005508E5" w:rsidP="003331EF">
      <w:pPr>
        <w:spacing w:before="0"/>
        <w:ind w:right="-64"/>
        <w:rPr>
          <w:lang w:eastAsia="en-US"/>
        </w:rPr>
      </w:pPr>
      <w:r w:rsidRPr="003331EF">
        <w:rPr>
          <w:b/>
          <w:bCs/>
          <w:lang w:eastAsia="en-US"/>
        </w:rPr>
        <w:t>Eelnõuga muudetakse</w:t>
      </w:r>
      <w:r w:rsidRPr="003331EF">
        <w:rPr>
          <w:lang w:eastAsia="en-US"/>
        </w:rPr>
        <w:t>:</w:t>
      </w:r>
    </w:p>
    <w:p w14:paraId="6A14419C" w14:textId="162596DC" w:rsidR="009A73D8" w:rsidRPr="003331EF" w:rsidRDefault="009A73D8" w:rsidP="003331EF">
      <w:pPr>
        <w:numPr>
          <w:ilvl w:val="0"/>
          <w:numId w:val="13"/>
        </w:numPr>
        <w:spacing w:before="0"/>
        <w:ind w:left="284" w:right="-62" w:hanging="284"/>
        <w:contextualSpacing/>
        <w:rPr>
          <w:bCs/>
          <w:iCs/>
          <w:spacing w:val="-5"/>
          <w:lang w:eastAsia="en-US"/>
        </w:rPr>
      </w:pPr>
      <w:r w:rsidRPr="003331EF">
        <w:rPr>
          <w:bCs/>
          <w:iCs/>
          <w:spacing w:val="-5"/>
          <w:lang w:eastAsia="en-US"/>
        </w:rPr>
        <w:t xml:space="preserve">Finantsinspektsiooni seadust (edaspidi </w:t>
      </w:r>
      <w:r w:rsidRPr="003331EF">
        <w:rPr>
          <w:bCs/>
          <w:i/>
          <w:spacing w:val="-5"/>
          <w:lang w:eastAsia="en-US"/>
        </w:rPr>
        <w:t>FIS</w:t>
      </w:r>
      <w:r w:rsidRPr="003331EF">
        <w:rPr>
          <w:bCs/>
          <w:iCs/>
          <w:spacing w:val="-5"/>
          <w:lang w:eastAsia="en-US"/>
        </w:rPr>
        <w:t>) redaktsioonis RT I, 30.11.2022, 14;</w:t>
      </w:r>
    </w:p>
    <w:p w14:paraId="0A2A4790" w14:textId="24C9DC26" w:rsidR="009A73D8" w:rsidRPr="003331EF" w:rsidRDefault="009A73D8" w:rsidP="003331EF">
      <w:pPr>
        <w:numPr>
          <w:ilvl w:val="0"/>
          <w:numId w:val="13"/>
        </w:numPr>
        <w:spacing w:before="0"/>
        <w:ind w:left="284" w:right="-62" w:hanging="284"/>
        <w:contextualSpacing/>
        <w:rPr>
          <w:bCs/>
          <w:iCs/>
          <w:spacing w:val="-5"/>
          <w:lang w:eastAsia="en-US"/>
        </w:rPr>
      </w:pPr>
      <w:proofErr w:type="spellStart"/>
      <w:r w:rsidRPr="003331EF">
        <w:rPr>
          <w:bCs/>
          <w:iCs/>
          <w:spacing w:val="-5"/>
          <w:lang w:eastAsia="en-US"/>
        </w:rPr>
        <w:t>IFS</w:t>
      </w:r>
      <w:r w:rsidR="0007264C" w:rsidRPr="003331EF">
        <w:rPr>
          <w:bCs/>
          <w:iCs/>
          <w:spacing w:val="-5"/>
          <w:lang w:eastAsia="en-US"/>
        </w:rPr>
        <w:t>-i</w:t>
      </w:r>
      <w:proofErr w:type="spellEnd"/>
      <w:r w:rsidRPr="003331EF">
        <w:rPr>
          <w:bCs/>
          <w:iCs/>
          <w:spacing w:val="-5"/>
          <w:lang w:eastAsia="en-US"/>
        </w:rPr>
        <w:t xml:space="preserve"> redaktsioonis </w:t>
      </w:r>
      <w:r w:rsidR="005C42C7" w:rsidRPr="003331EF">
        <w:rPr>
          <w:bCs/>
          <w:iCs/>
          <w:spacing w:val="-5"/>
          <w:lang w:eastAsia="en-US"/>
        </w:rPr>
        <w:t>RT I, 17.03.2023, 8</w:t>
      </w:r>
      <w:r w:rsidRPr="003331EF">
        <w:rPr>
          <w:bCs/>
          <w:iCs/>
          <w:spacing w:val="-5"/>
          <w:lang w:eastAsia="en-US"/>
        </w:rPr>
        <w:t>;</w:t>
      </w:r>
    </w:p>
    <w:p w14:paraId="291DB745" w14:textId="77777777" w:rsidR="005C42C7" w:rsidRPr="003331EF" w:rsidRDefault="005508E5" w:rsidP="003331EF">
      <w:pPr>
        <w:numPr>
          <w:ilvl w:val="0"/>
          <w:numId w:val="13"/>
        </w:numPr>
        <w:spacing w:before="0"/>
        <w:ind w:left="284" w:right="-62" w:hanging="284"/>
        <w:contextualSpacing/>
        <w:rPr>
          <w:bCs/>
          <w:iCs/>
          <w:spacing w:val="-5"/>
          <w:lang w:eastAsia="en-US"/>
        </w:rPr>
      </w:pPr>
      <w:r w:rsidRPr="003331EF">
        <w:rPr>
          <w:bCs/>
          <w:iCs/>
          <w:spacing w:val="-5"/>
          <w:lang w:eastAsia="en-US"/>
        </w:rPr>
        <w:t xml:space="preserve">kindlustustegevuse seadust </w:t>
      </w:r>
      <w:r w:rsidR="009A73D8" w:rsidRPr="003331EF">
        <w:rPr>
          <w:bCs/>
          <w:iCs/>
          <w:spacing w:val="-5"/>
          <w:lang w:eastAsia="en-US"/>
        </w:rPr>
        <w:t xml:space="preserve">(edaspidi </w:t>
      </w:r>
      <w:proofErr w:type="spellStart"/>
      <w:r w:rsidR="009A73D8" w:rsidRPr="003331EF">
        <w:rPr>
          <w:bCs/>
          <w:i/>
          <w:spacing w:val="-5"/>
          <w:lang w:eastAsia="en-US"/>
        </w:rPr>
        <w:t>KindlTS</w:t>
      </w:r>
      <w:proofErr w:type="spellEnd"/>
      <w:r w:rsidR="009A73D8" w:rsidRPr="003331EF">
        <w:rPr>
          <w:bCs/>
          <w:iCs/>
          <w:spacing w:val="-5"/>
          <w:lang w:eastAsia="en-US"/>
        </w:rPr>
        <w:t xml:space="preserve">) redaktsioonis </w:t>
      </w:r>
      <w:r w:rsidR="005C42C7" w:rsidRPr="003331EF">
        <w:rPr>
          <w:bCs/>
          <w:iCs/>
          <w:spacing w:val="-5"/>
          <w:lang w:eastAsia="en-US"/>
        </w:rPr>
        <w:t>RT I, 17.03.2023, 10</w:t>
      </w:r>
      <w:r w:rsidRPr="003331EF">
        <w:rPr>
          <w:bCs/>
          <w:iCs/>
          <w:spacing w:val="-5"/>
          <w:lang w:eastAsia="en-US"/>
        </w:rPr>
        <w:t>;</w:t>
      </w:r>
    </w:p>
    <w:p w14:paraId="2BD17FD2" w14:textId="37A8D64D" w:rsidR="005C42C7" w:rsidRPr="003331EF" w:rsidRDefault="005508E5" w:rsidP="003331EF">
      <w:pPr>
        <w:numPr>
          <w:ilvl w:val="0"/>
          <w:numId w:val="13"/>
        </w:numPr>
        <w:spacing w:before="0"/>
        <w:ind w:left="284" w:right="-62" w:hanging="284"/>
        <w:contextualSpacing/>
        <w:rPr>
          <w:bCs/>
          <w:iCs/>
          <w:spacing w:val="-5"/>
          <w:lang w:eastAsia="en-US"/>
        </w:rPr>
      </w:pPr>
      <w:r w:rsidRPr="003331EF">
        <w:rPr>
          <w:bCs/>
          <w:iCs/>
          <w:spacing w:val="-5"/>
          <w:lang w:eastAsia="en-US"/>
        </w:rPr>
        <w:t xml:space="preserve">krediidiasutuse seadust (edaspidi </w:t>
      </w:r>
      <w:r w:rsidRPr="003331EF">
        <w:rPr>
          <w:bCs/>
          <w:i/>
          <w:spacing w:val="-5"/>
          <w:lang w:eastAsia="en-US"/>
        </w:rPr>
        <w:t>KAS</w:t>
      </w:r>
      <w:r w:rsidRPr="003331EF">
        <w:rPr>
          <w:bCs/>
          <w:iCs/>
          <w:spacing w:val="-5"/>
          <w:lang w:eastAsia="en-US"/>
        </w:rPr>
        <w:t>)</w:t>
      </w:r>
      <w:r w:rsidR="009A73D8" w:rsidRPr="003331EF">
        <w:rPr>
          <w:bCs/>
          <w:iCs/>
          <w:spacing w:val="-5"/>
          <w:lang w:eastAsia="en-US"/>
        </w:rPr>
        <w:t xml:space="preserve"> </w:t>
      </w:r>
      <w:r w:rsidR="00440EDD" w:rsidRPr="003331EF">
        <w:rPr>
          <w:bCs/>
          <w:iCs/>
          <w:spacing w:val="-5"/>
          <w:lang w:eastAsia="en-US"/>
        </w:rPr>
        <w:t>redaktsioonis</w:t>
      </w:r>
      <w:r w:rsidRPr="003331EF">
        <w:rPr>
          <w:bCs/>
          <w:iCs/>
          <w:spacing w:val="-5"/>
          <w:lang w:eastAsia="en-US"/>
        </w:rPr>
        <w:t xml:space="preserve"> </w:t>
      </w:r>
      <w:r w:rsidR="005C42C7" w:rsidRPr="003331EF">
        <w:rPr>
          <w:bCs/>
          <w:iCs/>
          <w:spacing w:val="-5"/>
          <w:lang w:eastAsia="en-US"/>
        </w:rPr>
        <w:t>RT I, 17.03.2023, 14;</w:t>
      </w:r>
    </w:p>
    <w:p w14:paraId="4956C4C0" w14:textId="0F3A0CD9" w:rsidR="009A73D8" w:rsidRPr="003331EF" w:rsidRDefault="009A73D8" w:rsidP="003331EF">
      <w:pPr>
        <w:numPr>
          <w:ilvl w:val="0"/>
          <w:numId w:val="13"/>
        </w:numPr>
        <w:spacing w:before="0"/>
        <w:ind w:left="284" w:right="-62" w:hanging="284"/>
        <w:contextualSpacing/>
        <w:rPr>
          <w:bCs/>
          <w:iCs/>
          <w:spacing w:val="-5"/>
          <w:lang w:eastAsia="en-US"/>
        </w:rPr>
      </w:pPr>
      <w:r w:rsidRPr="003331EF">
        <w:rPr>
          <w:bCs/>
          <w:iCs/>
          <w:spacing w:val="-5"/>
          <w:lang w:eastAsia="en-US"/>
        </w:rPr>
        <w:t xml:space="preserve">majandustegevuse seadustiku üldosa seadust (edaspidi </w:t>
      </w:r>
      <w:proofErr w:type="spellStart"/>
      <w:r w:rsidRPr="003331EF">
        <w:rPr>
          <w:bCs/>
          <w:i/>
          <w:spacing w:val="-5"/>
          <w:lang w:eastAsia="en-US"/>
        </w:rPr>
        <w:t>MsÜS</w:t>
      </w:r>
      <w:proofErr w:type="spellEnd"/>
      <w:r w:rsidRPr="003331EF">
        <w:rPr>
          <w:bCs/>
          <w:iCs/>
          <w:spacing w:val="-5"/>
          <w:lang w:eastAsia="en-US"/>
        </w:rPr>
        <w:t>) redaktsioonis RT I, 06.04.2021, 5;</w:t>
      </w:r>
    </w:p>
    <w:p w14:paraId="770C0E15" w14:textId="697D2C22" w:rsidR="009A73D8" w:rsidRPr="003331EF" w:rsidRDefault="009A73D8" w:rsidP="003331EF">
      <w:pPr>
        <w:numPr>
          <w:ilvl w:val="0"/>
          <w:numId w:val="13"/>
        </w:numPr>
        <w:spacing w:before="0"/>
        <w:ind w:left="284" w:right="-62" w:hanging="284"/>
        <w:contextualSpacing/>
        <w:rPr>
          <w:bCs/>
          <w:iCs/>
          <w:spacing w:val="-5"/>
          <w:lang w:eastAsia="en-US"/>
        </w:rPr>
      </w:pPr>
      <w:r w:rsidRPr="003331EF">
        <w:rPr>
          <w:bCs/>
          <w:iCs/>
          <w:spacing w:val="-5"/>
          <w:lang w:eastAsia="en-US"/>
        </w:rPr>
        <w:t xml:space="preserve">makseasutuste ja e-raha asutuste seadust  (edaspidi </w:t>
      </w:r>
      <w:r w:rsidRPr="003331EF">
        <w:rPr>
          <w:bCs/>
          <w:i/>
          <w:spacing w:val="-5"/>
          <w:lang w:eastAsia="en-US"/>
        </w:rPr>
        <w:t>MERAS</w:t>
      </w:r>
      <w:r w:rsidRPr="003331EF">
        <w:rPr>
          <w:bCs/>
          <w:iCs/>
          <w:spacing w:val="-5"/>
          <w:lang w:eastAsia="en-US"/>
        </w:rPr>
        <w:t xml:space="preserve">) </w:t>
      </w:r>
      <w:r w:rsidR="005C42C7" w:rsidRPr="003331EF">
        <w:rPr>
          <w:bCs/>
          <w:iCs/>
          <w:spacing w:val="-5"/>
          <w:lang w:eastAsia="en-US"/>
        </w:rPr>
        <w:t>RT I, 01.03.2023, 52</w:t>
      </w:r>
      <w:r w:rsidRPr="003331EF">
        <w:rPr>
          <w:bCs/>
          <w:iCs/>
          <w:spacing w:val="-5"/>
          <w:lang w:eastAsia="en-US"/>
        </w:rPr>
        <w:t>;</w:t>
      </w:r>
    </w:p>
    <w:p w14:paraId="26245A87" w14:textId="77777777" w:rsidR="005C42C7" w:rsidRPr="003331EF" w:rsidRDefault="005508E5" w:rsidP="003331EF">
      <w:pPr>
        <w:numPr>
          <w:ilvl w:val="0"/>
          <w:numId w:val="13"/>
        </w:numPr>
        <w:spacing w:before="0"/>
        <w:ind w:left="284" w:right="-62" w:hanging="284"/>
        <w:contextualSpacing/>
        <w:rPr>
          <w:bCs/>
          <w:iCs/>
          <w:spacing w:val="-5"/>
          <w:lang w:eastAsia="en-US"/>
        </w:rPr>
      </w:pPr>
      <w:proofErr w:type="spellStart"/>
      <w:r w:rsidRPr="003331EF">
        <w:rPr>
          <w:bCs/>
          <w:iCs/>
          <w:spacing w:val="-5"/>
          <w:lang w:eastAsia="en-US"/>
        </w:rPr>
        <w:t>RahaPTS</w:t>
      </w:r>
      <w:proofErr w:type="spellEnd"/>
      <w:r w:rsidR="005C42C7" w:rsidRPr="003331EF">
        <w:rPr>
          <w:bCs/>
          <w:iCs/>
          <w:spacing w:val="-5"/>
          <w:lang w:eastAsia="en-US"/>
        </w:rPr>
        <w:t>-i</w:t>
      </w:r>
      <w:r w:rsidRPr="003331EF">
        <w:rPr>
          <w:bCs/>
          <w:iCs/>
          <w:spacing w:val="-5"/>
          <w:lang w:eastAsia="en-US"/>
        </w:rPr>
        <w:t xml:space="preserve"> </w:t>
      </w:r>
      <w:r w:rsidR="009A73D8" w:rsidRPr="003331EF">
        <w:rPr>
          <w:bCs/>
          <w:iCs/>
          <w:spacing w:val="-5"/>
          <w:lang w:eastAsia="en-US"/>
        </w:rPr>
        <w:t xml:space="preserve">redaktsioonis </w:t>
      </w:r>
      <w:r w:rsidR="005C42C7" w:rsidRPr="003331EF">
        <w:rPr>
          <w:bCs/>
          <w:iCs/>
          <w:spacing w:val="-5"/>
          <w:lang w:eastAsia="en-US"/>
        </w:rPr>
        <w:t>RT I, 10.02.2023, 29</w:t>
      </w:r>
      <w:r w:rsidRPr="003331EF">
        <w:rPr>
          <w:bCs/>
          <w:iCs/>
          <w:spacing w:val="-5"/>
          <w:lang w:eastAsia="en-US"/>
        </w:rPr>
        <w:t>;</w:t>
      </w:r>
    </w:p>
    <w:p w14:paraId="2EBBAB5A" w14:textId="54F03D32" w:rsidR="005C42C7" w:rsidRPr="003331EF" w:rsidRDefault="005508E5" w:rsidP="003331EF">
      <w:pPr>
        <w:numPr>
          <w:ilvl w:val="0"/>
          <w:numId w:val="13"/>
        </w:numPr>
        <w:spacing w:before="0"/>
        <w:ind w:left="284" w:right="-62" w:hanging="284"/>
        <w:contextualSpacing/>
        <w:rPr>
          <w:bCs/>
          <w:iCs/>
          <w:spacing w:val="-5"/>
          <w:lang w:eastAsia="en-US"/>
        </w:rPr>
      </w:pPr>
      <w:proofErr w:type="spellStart"/>
      <w:r w:rsidRPr="003331EF">
        <w:rPr>
          <w:bCs/>
          <w:iCs/>
          <w:spacing w:val="-5"/>
          <w:lang w:eastAsia="en-US"/>
        </w:rPr>
        <w:t>RSanS</w:t>
      </w:r>
      <w:proofErr w:type="spellEnd"/>
      <w:r w:rsidR="009209C9" w:rsidRPr="003331EF">
        <w:rPr>
          <w:bCs/>
          <w:iCs/>
          <w:spacing w:val="-5"/>
          <w:lang w:eastAsia="en-US"/>
        </w:rPr>
        <w:t>-i</w:t>
      </w:r>
      <w:r w:rsidR="009A73D8" w:rsidRPr="003331EF">
        <w:rPr>
          <w:bCs/>
          <w:iCs/>
          <w:spacing w:val="-5"/>
          <w:lang w:eastAsia="en-US"/>
        </w:rPr>
        <w:t xml:space="preserve"> redaktsioonis</w:t>
      </w:r>
      <w:r w:rsidRPr="003331EF">
        <w:rPr>
          <w:bCs/>
          <w:iCs/>
          <w:spacing w:val="-5"/>
          <w:lang w:eastAsia="en-US"/>
        </w:rPr>
        <w:t xml:space="preserve"> </w:t>
      </w:r>
      <w:r w:rsidR="005C42C7" w:rsidRPr="003331EF">
        <w:rPr>
          <w:bCs/>
          <w:iCs/>
          <w:spacing w:val="-5"/>
          <w:lang w:eastAsia="en-US"/>
        </w:rPr>
        <w:t>RT I, 30.06.2023, 61;</w:t>
      </w:r>
    </w:p>
    <w:p w14:paraId="00F72762" w14:textId="63B5F684" w:rsidR="009A73D8" w:rsidRPr="003331EF" w:rsidRDefault="009A73D8" w:rsidP="003331EF">
      <w:pPr>
        <w:numPr>
          <w:ilvl w:val="0"/>
          <w:numId w:val="13"/>
        </w:numPr>
        <w:spacing w:before="0"/>
        <w:ind w:left="284" w:right="-62" w:hanging="284"/>
        <w:contextualSpacing/>
        <w:rPr>
          <w:bCs/>
          <w:iCs/>
          <w:spacing w:val="-5"/>
          <w:lang w:eastAsia="en-US"/>
        </w:rPr>
      </w:pPr>
      <w:r w:rsidRPr="003331EF">
        <w:rPr>
          <w:bCs/>
          <w:iCs/>
          <w:spacing w:val="-5"/>
          <w:lang w:eastAsia="en-US"/>
        </w:rPr>
        <w:t>RLS</w:t>
      </w:r>
      <w:r w:rsidR="00A46898" w:rsidRPr="003331EF">
        <w:rPr>
          <w:bCs/>
          <w:iCs/>
          <w:spacing w:val="-5"/>
          <w:lang w:eastAsia="en-US"/>
        </w:rPr>
        <w:t xml:space="preserve">-i </w:t>
      </w:r>
      <w:r w:rsidRPr="003331EF">
        <w:rPr>
          <w:bCs/>
          <w:iCs/>
          <w:spacing w:val="-5"/>
          <w:lang w:eastAsia="en-US"/>
        </w:rPr>
        <w:t xml:space="preserve">redaktsioonis </w:t>
      </w:r>
      <w:r w:rsidR="005C42C7" w:rsidRPr="003331EF">
        <w:rPr>
          <w:bCs/>
          <w:iCs/>
          <w:spacing w:val="-5"/>
          <w:lang w:eastAsia="en-US"/>
        </w:rPr>
        <w:t>RT I, 30.06.2023, 63</w:t>
      </w:r>
      <w:r w:rsidRPr="003331EF">
        <w:rPr>
          <w:bCs/>
          <w:iCs/>
          <w:spacing w:val="-5"/>
          <w:lang w:eastAsia="en-US"/>
        </w:rPr>
        <w:t>;</w:t>
      </w:r>
    </w:p>
    <w:p w14:paraId="21113F5B" w14:textId="77777777" w:rsidR="005C42C7" w:rsidRPr="003331EF" w:rsidRDefault="005508E5" w:rsidP="003331EF">
      <w:pPr>
        <w:numPr>
          <w:ilvl w:val="0"/>
          <w:numId w:val="13"/>
        </w:numPr>
        <w:spacing w:before="0"/>
        <w:ind w:left="284" w:right="-62" w:hanging="284"/>
        <w:contextualSpacing/>
        <w:rPr>
          <w:bCs/>
          <w:iCs/>
          <w:spacing w:val="-5"/>
          <w:lang w:eastAsia="en-US"/>
        </w:rPr>
      </w:pPr>
      <w:r w:rsidRPr="003331EF">
        <w:rPr>
          <w:bCs/>
          <w:iCs/>
          <w:spacing w:val="-5"/>
          <w:lang w:eastAsia="en-US"/>
        </w:rPr>
        <w:t>väärtpaberite registri pidamise seadust (edaspidi</w:t>
      </w:r>
      <w:r w:rsidRPr="003331EF">
        <w:rPr>
          <w:bCs/>
          <w:i/>
          <w:spacing w:val="-5"/>
          <w:lang w:eastAsia="en-US"/>
        </w:rPr>
        <w:t xml:space="preserve"> EVKS</w:t>
      </w:r>
      <w:r w:rsidRPr="003331EF">
        <w:rPr>
          <w:bCs/>
          <w:iCs/>
          <w:spacing w:val="-5"/>
          <w:lang w:eastAsia="en-US"/>
        </w:rPr>
        <w:t xml:space="preserve">) </w:t>
      </w:r>
      <w:r w:rsidR="00C10FF1" w:rsidRPr="003331EF">
        <w:rPr>
          <w:bCs/>
          <w:iCs/>
          <w:spacing w:val="-5"/>
          <w:lang w:eastAsia="en-US"/>
        </w:rPr>
        <w:t xml:space="preserve">redaktsioonis </w:t>
      </w:r>
      <w:r w:rsidR="005C42C7" w:rsidRPr="003331EF">
        <w:rPr>
          <w:bCs/>
          <w:iCs/>
          <w:spacing w:val="-5"/>
          <w:lang w:eastAsia="en-US"/>
        </w:rPr>
        <w:t>RT I, 17.03.2023, 24</w:t>
      </w:r>
      <w:r w:rsidRPr="003331EF">
        <w:rPr>
          <w:bCs/>
          <w:iCs/>
          <w:spacing w:val="-5"/>
          <w:lang w:eastAsia="en-US"/>
        </w:rPr>
        <w:t>;</w:t>
      </w:r>
    </w:p>
    <w:p w14:paraId="58BAD0AA" w14:textId="6105B913" w:rsidR="005C42C7" w:rsidRPr="003331EF" w:rsidRDefault="005508E5" w:rsidP="003331EF">
      <w:pPr>
        <w:numPr>
          <w:ilvl w:val="0"/>
          <w:numId w:val="13"/>
        </w:numPr>
        <w:spacing w:before="0"/>
        <w:ind w:left="284" w:right="-62" w:hanging="284"/>
        <w:contextualSpacing/>
        <w:rPr>
          <w:bCs/>
          <w:iCs/>
          <w:spacing w:val="-5"/>
          <w:lang w:eastAsia="en-US"/>
        </w:rPr>
      </w:pPr>
      <w:proofErr w:type="spellStart"/>
      <w:r w:rsidRPr="003331EF">
        <w:rPr>
          <w:bCs/>
          <w:iCs/>
          <w:spacing w:val="-5"/>
          <w:lang w:eastAsia="en-US"/>
        </w:rPr>
        <w:t>V</w:t>
      </w:r>
      <w:r w:rsidR="0007264C" w:rsidRPr="003331EF">
        <w:rPr>
          <w:bCs/>
          <w:iCs/>
          <w:spacing w:val="-5"/>
          <w:lang w:eastAsia="en-US"/>
        </w:rPr>
        <w:t>p</w:t>
      </w:r>
      <w:r w:rsidRPr="003331EF">
        <w:rPr>
          <w:bCs/>
          <w:iCs/>
          <w:spacing w:val="-5"/>
          <w:lang w:eastAsia="en-US"/>
        </w:rPr>
        <w:t>TS</w:t>
      </w:r>
      <w:proofErr w:type="spellEnd"/>
      <w:r w:rsidR="0007264C" w:rsidRPr="003331EF">
        <w:rPr>
          <w:bCs/>
          <w:iCs/>
          <w:spacing w:val="-5"/>
          <w:lang w:eastAsia="en-US"/>
        </w:rPr>
        <w:t>-i</w:t>
      </w:r>
      <w:r w:rsidRPr="003331EF">
        <w:rPr>
          <w:bCs/>
          <w:iCs/>
          <w:spacing w:val="-5"/>
          <w:lang w:eastAsia="en-US"/>
        </w:rPr>
        <w:t xml:space="preserve"> </w:t>
      </w:r>
      <w:r w:rsidR="00C10FF1" w:rsidRPr="003331EF">
        <w:rPr>
          <w:bCs/>
          <w:iCs/>
          <w:spacing w:val="-5"/>
          <w:lang w:eastAsia="en-US"/>
        </w:rPr>
        <w:t xml:space="preserve">redaktsioonis </w:t>
      </w:r>
      <w:r w:rsidR="005C42C7" w:rsidRPr="003331EF">
        <w:rPr>
          <w:bCs/>
          <w:iCs/>
          <w:spacing w:val="-5"/>
          <w:lang w:eastAsia="en-US"/>
        </w:rPr>
        <w:t>RT I, 17.03.2023, 29</w:t>
      </w:r>
      <w:r w:rsidR="005B7803" w:rsidRPr="003331EF">
        <w:rPr>
          <w:bCs/>
          <w:iCs/>
          <w:spacing w:val="-5"/>
          <w:lang w:eastAsia="en-US"/>
        </w:rPr>
        <w:t>.</w:t>
      </w:r>
    </w:p>
    <w:p w14:paraId="1BB2655C" w14:textId="25E735B1" w:rsidR="009A73D8" w:rsidRPr="003331EF" w:rsidRDefault="009A73D8" w:rsidP="003331EF">
      <w:pPr>
        <w:spacing w:before="0"/>
        <w:ind w:right="-62"/>
        <w:jc w:val="left"/>
        <w:rPr>
          <w:bCs/>
          <w:iCs/>
          <w:spacing w:val="-5"/>
          <w:lang w:eastAsia="en-US"/>
        </w:rPr>
      </w:pPr>
    </w:p>
    <w:p w14:paraId="64298D28" w14:textId="77777777" w:rsidR="005508E5" w:rsidRPr="003331EF" w:rsidRDefault="005508E5" w:rsidP="003331EF">
      <w:pPr>
        <w:spacing w:before="0"/>
        <w:ind w:right="-64"/>
        <w:rPr>
          <w:bCs/>
          <w:iCs/>
          <w:spacing w:val="-5"/>
          <w:lang w:eastAsia="en-US"/>
        </w:rPr>
      </w:pPr>
      <w:r w:rsidRPr="003331EF">
        <w:rPr>
          <w:bCs/>
          <w:iCs/>
          <w:spacing w:val="-5"/>
          <w:lang w:eastAsia="en-US"/>
        </w:rPr>
        <w:t>Eelnõu vastuvõtmiseks on vajalik Riigikogu poolthäälte enamus.</w:t>
      </w:r>
    </w:p>
    <w:p w14:paraId="65A3222C" w14:textId="77777777" w:rsidR="0071703A" w:rsidRPr="003331EF" w:rsidRDefault="0071703A" w:rsidP="003331EF">
      <w:pPr>
        <w:spacing w:before="0"/>
        <w:ind w:right="-64"/>
        <w:rPr>
          <w:bCs/>
          <w:iCs/>
          <w:spacing w:val="-5"/>
          <w:lang w:eastAsia="en-US"/>
        </w:rPr>
      </w:pPr>
    </w:p>
    <w:p w14:paraId="60515C7C" w14:textId="77777777" w:rsidR="0071703A" w:rsidRPr="003331EF" w:rsidRDefault="0071703A" w:rsidP="003331EF">
      <w:pPr>
        <w:spacing w:before="0"/>
        <w:rPr>
          <w:b/>
          <w:iCs/>
          <w:spacing w:val="-5"/>
          <w:lang w:eastAsia="en-US"/>
        </w:rPr>
      </w:pPr>
      <w:r w:rsidRPr="003331EF">
        <w:rPr>
          <w:b/>
          <w:iCs/>
          <w:spacing w:val="-5"/>
          <w:lang w:eastAsia="en-US"/>
        </w:rPr>
        <w:t>Jõustumise ja rakendamise kuupäevad:</w:t>
      </w:r>
    </w:p>
    <w:p w14:paraId="2C55DCD6" w14:textId="77777777" w:rsidR="0071703A" w:rsidRPr="003331EF" w:rsidRDefault="0071703A" w:rsidP="003331EF">
      <w:pPr>
        <w:numPr>
          <w:ilvl w:val="0"/>
          <w:numId w:val="12"/>
        </w:numPr>
        <w:spacing w:before="0"/>
        <w:ind w:left="284" w:hanging="284"/>
        <w:contextualSpacing/>
        <w:rPr>
          <w:bCs/>
          <w:iCs/>
          <w:spacing w:val="-5"/>
          <w:lang w:eastAsia="en-US"/>
        </w:rPr>
      </w:pPr>
      <w:r w:rsidRPr="003331EF">
        <w:rPr>
          <w:bCs/>
          <w:iCs/>
          <w:spacing w:val="-5"/>
          <w:lang w:eastAsia="en-US"/>
        </w:rPr>
        <w:t>seadus jõustub üldises korras (sh suures osas eriseaduste täiendavad muudatused);</w:t>
      </w:r>
    </w:p>
    <w:p w14:paraId="7505C4C5" w14:textId="77777777" w:rsidR="0071703A" w:rsidRPr="003331EF" w:rsidRDefault="0071703A" w:rsidP="003331EF">
      <w:pPr>
        <w:numPr>
          <w:ilvl w:val="0"/>
          <w:numId w:val="12"/>
        </w:numPr>
        <w:spacing w:before="0"/>
        <w:ind w:left="284" w:hanging="284"/>
        <w:contextualSpacing/>
        <w:rPr>
          <w:bCs/>
          <w:iCs/>
          <w:spacing w:val="-5"/>
          <w:lang w:eastAsia="en-US"/>
        </w:rPr>
      </w:pPr>
      <w:proofErr w:type="spellStart"/>
      <w:r w:rsidRPr="003331EF">
        <w:rPr>
          <w:bCs/>
          <w:iCs/>
          <w:spacing w:val="-5"/>
          <w:lang w:eastAsia="en-US"/>
        </w:rPr>
        <w:t>RahaPTS</w:t>
      </w:r>
      <w:proofErr w:type="spellEnd"/>
      <w:r w:rsidRPr="003331EF">
        <w:rPr>
          <w:bCs/>
          <w:iCs/>
          <w:spacing w:val="-5"/>
          <w:lang w:eastAsia="en-US"/>
        </w:rPr>
        <w:t xml:space="preserve"> muudatused jõustuvad kahes etapis – 2024. aasta 30. septembril (millest alates ei saa enam VASP tegevusluba taotleda) ja 2025. aasta 1. juulil (kuupäev, milleni </w:t>
      </w:r>
      <w:proofErr w:type="spellStart"/>
      <w:r w:rsidRPr="003331EF">
        <w:rPr>
          <w:bCs/>
          <w:iCs/>
          <w:spacing w:val="-5"/>
          <w:lang w:eastAsia="en-US"/>
        </w:rPr>
        <w:t>VASP-id</w:t>
      </w:r>
      <w:proofErr w:type="spellEnd"/>
      <w:r w:rsidRPr="003331EF">
        <w:rPr>
          <w:bCs/>
          <w:iCs/>
          <w:spacing w:val="-5"/>
          <w:lang w:eastAsia="en-US"/>
        </w:rPr>
        <w:t xml:space="preserve"> võivad tegutseda)  ;</w:t>
      </w:r>
    </w:p>
    <w:p w14:paraId="795AC142" w14:textId="77777777" w:rsidR="0071703A" w:rsidRPr="003331EF" w:rsidRDefault="0071703A" w:rsidP="003331EF">
      <w:pPr>
        <w:numPr>
          <w:ilvl w:val="0"/>
          <w:numId w:val="12"/>
        </w:numPr>
        <w:spacing w:before="0"/>
        <w:ind w:left="284" w:hanging="284"/>
        <w:contextualSpacing/>
        <w:rPr>
          <w:bCs/>
          <w:iCs/>
          <w:spacing w:val="-5"/>
          <w:lang w:eastAsia="en-US"/>
        </w:rPr>
      </w:pPr>
      <w:r w:rsidRPr="003331EF">
        <w:rPr>
          <w:bCs/>
          <w:iCs/>
          <w:spacing w:val="-5"/>
          <w:lang w:eastAsia="en-US"/>
        </w:rPr>
        <w:t xml:space="preserve">rahvusvahelise sanktsiooni seaduse (edaspidi </w:t>
      </w:r>
      <w:proofErr w:type="spellStart"/>
      <w:r w:rsidRPr="003331EF">
        <w:rPr>
          <w:bCs/>
          <w:iCs/>
          <w:spacing w:val="-5"/>
          <w:lang w:eastAsia="en-US"/>
        </w:rPr>
        <w:t>RSanS</w:t>
      </w:r>
      <w:proofErr w:type="spellEnd"/>
      <w:r w:rsidRPr="003331EF">
        <w:rPr>
          <w:bCs/>
          <w:iCs/>
          <w:spacing w:val="-5"/>
          <w:lang w:eastAsia="en-US"/>
        </w:rPr>
        <w:t>) muudatused jõustuvad 2025. aasta 1. juulil;</w:t>
      </w:r>
    </w:p>
    <w:p w14:paraId="29B4FF62" w14:textId="77777777" w:rsidR="0071703A" w:rsidRPr="003331EF" w:rsidRDefault="0071703A" w:rsidP="003331EF">
      <w:pPr>
        <w:numPr>
          <w:ilvl w:val="0"/>
          <w:numId w:val="12"/>
        </w:numPr>
        <w:spacing w:before="0"/>
        <w:ind w:left="284" w:hanging="284"/>
        <w:contextualSpacing/>
        <w:rPr>
          <w:bCs/>
          <w:iCs/>
          <w:spacing w:val="-5"/>
          <w:lang w:eastAsia="en-US"/>
        </w:rPr>
      </w:pPr>
      <w:r w:rsidRPr="003331EF">
        <w:rPr>
          <w:bCs/>
          <w:iCs/>
          <w:spacing w:val="-5"/>
          <w:lang w:eastAsia="en-US"/>
        </w:rPr>
        <w:t>riigilõivu seaduse (edaspidi RLS) muudatused jõustuvad 2024. aasta 30. detsembril;</w:t>
      </w:r>
    </w:p>
    <w:p w14:paraId="1FB61690" w14:textId="66C9EDB8" w:rsidR="0071703A" w:rsidRPr="003331EF" w:rsidRDefault="0071703A" w:rsidP="003331EF">
      <w:pPr>
        <w:numPr>
          <w:ilvl w:val="0"/>
          <w:numId w:val="12"/>
        </w:numPr>
        <w:spacing w:before="0"/>
        <w:ind w:left="284" w:hanging="284"/>
        <w:contextualSpacing/>
        <w:rPr>
          <w:bCs/>
          <w:iCs/>
          <w:spacing w:val="-5"/>
          <w:lang w:eastAsia="en-US"/>
        </w:rPr>
      </w:pPr>
      <w:r w:rsidRPr="003331EF">
        <w:rPr>
          <w:bCs/>
          <w:iCs/>
          <w:spacing w:val="-5"/>
          <w:lang w:eastAsia="en-US"/>
        </w:rPr>
        <w:t xml:space="preserve">varapõhise </w:t>
      </w:r>
      <w:proofErr w:type="spellStart"/>
      <w:r w:rsidRPr="003331EF">
        <w:rPr>
          <w:bCs/>
          <w:iCs/>
          <w:spacing w:val="-5"/>
          <w:lang w:eastAsia="en-US"/>
        </w:rPr>
        <w:t>tokeni</w:t>
      </w:r>
      <w:proofErr w:type="spellEnd"/>
      <w:r w:rsidRPr="003331EF">
        <w:rPr>
          <w:bCs/>
          <w:iCs/>
          <w:spacing w:val="-5"/>
          <w:lang w:eastAsia="en-US"/>
        </w:rPr>
        <w:t xml:space="preserve"> emitent ja e-raha </w:t>
      </w:r>
      <w:proofErr w:type="spellStart"/>
      <w:r w:rsidRPr="003331EF">
        <w:rPr>
          <w:bCs/>
          <w:iCs/>
          <w:spacing w:val="-5"/>
          <w:lang w:eastAsia="en-US"/>
        </w:rPr>
        <w:t>tokeni</w:t>
      </w:r>
      <w:proofErr w:type="spellEnd"/>
      <w:r w:rsidRPr="003331EF">
        <w:rPr>
          <w:bCs/>
          <w:iCs/>
          <w:spacing w:val="-5"/>
          <w:lang w:eastAsia="en-US"/>
        </w:rPr>
        <w:t xml:space="preserve"> emitent peab </w:t>
      </w:r>
      <w:proofErr w:type="spellStart"/>
      <w:r w:rsidRPr="003331EF">
        <w:rPr>
          <w:bCs/>
          <w:iCs/>
          <w:spacing w:val="-5"/>
          <w:lang w:eastAsia="en-US"/>
        </w:rPr>
        <w:t>M</w:t>
      </w:r>
      <w:r w:rsidR="00A03096">
        <w:rPr>
          <w:bCs/>
          <w:iCs/>
          <w:spacing w:val="-5"/>
          <w:lang w:eastAsia="en-US"/>
        </w:rPr>
        <w:t>i</w:t>
      </w:r>
      <w:r w:rsidRPr="003331EF">
        <w:rPr>
          <w:bCs/>
          <w:iCs/>
          <w:spacing w:val="-5"/>
          <w:lang w:eastAsia="en-US"/>
        </w:rPr>
        <w:t>CA</w:t>
      </w:r>
      <w:proofErr w:type="spellEnd"/>
      <w:r w:rsidRPr="003331EF">
        <w:rPr>
          <w:bCs/>
          <w:iCs/>
          <w:spacing w:val="-5"/>
          <w:lang w:eastAsia="en-US"/>
        </w:rPr>
        <w:t xml:space="preserve"> määruses sätestatud nõudeid rakendama hakkama alates 2024. aasta 30. juunist;</w:t>
      </w:r>
    </w:p>
    <w:p w14:paraId="278C627D" w14:textId="19646292" w:rsidR="0071703A" w:rsidRPr="003331EF" w:rsidRDefault="0071703A" w:rsidP="003331EF">
      <w:pPr>
        <w:numPr>
          <w:ilvl w:val="0"/>
          <w:numId w:val="12"/>
        </w:numPr>
        <w:spacing w:before="0"/>
        <w:ind w:left="284" w:hanging="284"/>
        <w:contextualSpacing/>
        <w:rPr>
          <w:bCs/>
          <w:iCs/>
          <w:spacing w:val="-5"/>
          <w:lang w:eastAsia="en-US"/>
        </w:rPr>
      </w:pPr>
      <w:proofErr w:type="spellStart"/>
      <w:r w:rsidRPr="003331EF">
        <w:rPr>
          <w:bCs/>
          <w:iCs/>
          <w:spacing w:val="-5"/>
          <w:lang w:eastAsia="en-US"/>
        </w:rPr>
        <w:t>krüptovarateenuse</w:t>
      </w:r>
      <w:proofErr w:type="spellEnd"/>
      <w:r w:rsidRPr="003331EF">
        <w:rPr>
          <w:bCs/>
          <w:iCs/>
          <w:spacing w:val="-5"/>
          <w:lang w:eastAsia="en-US"/>
        </w:rPr>
        <w:t xml:space="preserve"> osutaja peab </w:t>
      </w:r>
      <w:proofErr w:type="spellStart"/>
      <w:r w:rsidRPr="003331EF">
        <w:rPr>
          <w:bCs/>
          <w:iCs/>
          <w:spacing w:val="-5"/>
          <w:lang w:eastAsia="en-US"/>
        </w:rPr>
        <w:t>M</w:t>
      </w:r>
      <w:r w:rsidR="00A03096">
        <w:rPr>
          <w:bCs/>
          <w:iCs/>
          <w:spacing w:val="-5"/>
          <w:lang w:eastAsia="en-US"/>
        </w:rPr>
        <w:t>i</w:t>
      </w:r>
      <w:r w:rsidRPr="003331EF">
        <w:rPr>
          <w:bCs/>
          <w:iCs/>
          <w:spacing w:val="-5"/>
          <w:lang w:eastAsia="en-US"/>
        </w:rPr>
        <w:t>CA</w:t>
      </w:r>
      <w:proofErr w:type="spellEnd"/>
      <w:r w:rsidRPr="003331EF">
        <w:rPr>
          <w:bCs/>
          <w:iCs/>
          <w:spacing w:val="-5"/>
          <w:lang w:eastAsia="en-US"/>
        </w:rPr>
        <w:t xml:space="preserve"> määruses ja TFR määruses sätestatud nõudeid rakendama hakkama alates 2024. aasta 30. detsembrist (ette on nähtud üleminekuperiood 2025. aasta 1. juulini);</w:t>
      </w:r>
    </w:p>
    <w:p w14:paraId="4FAB1686" w14:textId="77777777" w:rsidR="0071703A" w:rsidRPr="003331EF" w:rsidRDefault="0071703A" w:rsidP="003331EF">
      <w:pPr>
        <w:numPr>
          <w:ilvl w:val="0"/>
          <w:numId w:val="12"/>
        </w:numPr>
        <w:spacing w:before="0"/>
        <w:ind w:left="284" w:hanging="284"/>
        <w:contextualSpacing/>
        <w:rPr>
          <w:bCs/>
          <w:iCs/>
          <w:spacing w:val="-5"/>
          <w:lang w:eastAsia="en-US"/>
        </w:rPr>
      </w:pPr>
      <w:r w:rsidRPr="003331EF">
        <w:rPr>
          <w:bCs/>
          <w:iCs/>
          <w:spacing w:val="-5"/>
          <w:lang w:eastAsia="en-US"/>
        </w:rPr>
        <w:t xml:space="preserve">varapõhise </w:t>
      </w:r>
      <w:proofErr w:type="spellStart"/>
      <w:r w:rsidRPr="003331EF">
        <w:rPr>
          <w:bCs/>
          <w:iCs/>
          <w:spacing w:val="-5"/>
          <w:lang w:eastAsia="en-US"/>
        </w:rPr>
        <w:t>tokeni</w:t>
      </w:r>
      <w:proofErr w:type="spellEnd"/>
      <w:r w:rsidRPr="003331EF">
        <w:rPr>
          <w:bCs/>
          <w:iCs/>
          <w:spacing w:val="-5"/>
          <w:lang w:eastAsia="en-US"/>
        </w:rPr>
        <w:t xml:space="preserve"> emitent ja </w:t>
      </w:r>
      <w:proofErr w:type="spellStart"/>
      <w:r w:rsidRPr="003331EF">
        <w:rPr>
          <w:bCs/>
          <w:iCs/>
          <w:spacing w:val="-5"/>
          <w:lang w:eastAsia="en-US"/>
        </w:rPr>
        <w:t>krüptovarateenuse</w:t>
      </w:r>
      <w:proofErr w:type="spellEnd"/>
      <w:r w:rsidRPr="003331EF">
        <w:rPr>
          <w:bCs/>
          <w:iCs/>
          <w:spacing w:val="-5"/>
          <w:lang w:eastAsia="en-US"/>
        </w:rPr>
        <w:t xml:space="preserve"> osutaja peab DORA määruses sätestatud nõudeid rakendama hakkama 2025. aasta 17. jaanuarist. </w:t>
      </w:r>
    </w:p>
    <w:p w14:paraId="718BE699" w14:textId="77777777" w:rsidR="0071703A" w:rsidRPr="003331EF" w:rsidRDefault="0071703A" w:rsidP="003331EF">
      <w:pPr>
        <w:spacing w:before="0"/>
        <w:rPr>
          <w:bCs/>
          <w:iCs/>
          <w:spacing w:val="-5"/>
          <w:lang w:eastAsia="en-US"/>
        </w:rPr>
      </w:pPr>
    </w:p>
    <w:p w14:paraId="1F1A6635" w14:textId="77777777" w:rsidR="0071703A" w:rsidRPr="003331EF" w:rsidRDefault="0071703A" w:rsidP="003331EF">
      <w:pPr>
        <w:spacing w:before="0"/>
        <w:rPr>
          <w:b/>
          <w:iCs/>
          <w:spacing w:val="-5"/>
          <w:lang w:eastAsia="en-US"/>
        </w:rPr>
      </w:pPr>
      <w:r w:rsidRPr="003331EF">
        <w:rPr>
          <w:b/>
          <w:iCs/>
          <w:spacing w:val="-5"/>
          <w:lang w:eastAsia="en-US"/>
        </w:rPr>
        <w:t>Direktiivide riigisisene ülevõtmine:</w:t>
      </w:r>
    </w:p>
    <w:p w14:paraId="52CFC503" w14:textId="43464A74" w:rsidR="0071703A" w:rsidRPr="003331EF" w:rsidRDefault="0071703A" w:rsidP="003331EF">
      <w:pPr>
        <w:numPr>
          <w:ilvl w:val="0"/>
          <w:numId w:val="12"/>
        </w:numPr>
        <w:spacing w:before="0"/>
        <w:ind w:left="284" w:hanging="284"/>
        <w:contextualSpacing/>
        <w:rPr>
          <w:bCs/>
          <w:iCs/>
          <w:spacing w:val="-5"/>
          <w:lang w:eastAsia="en-US"/>
        </w:rPr>
      </w:pPr>
      <w:proofErr w:type="spellStart"/>
      <w:r w:rsidRPr="003331EF">
        <w:rPr>
          <w:bCs/>
          <w:iCs/>
          <w:spacing w:val="-5"/>
          <w:lang w:eastAsia="en-US"/>
        </w:rPr>
        <w:t>M</w:t>
      </w:r>
      <w:r w:rsidR="00A03096">
        <w:rPr>
          <w:bCs/>
          <w:iCs/>
          <w:spacing w:val="-5"/>
          <w:lang w:eastAsia="en-US"/>
        </w:rPr>
        <w:t>i</w:t>
      </w:r>
      <w:r w:rsidRPr="003331EF">
        <w:rPr>
          <w:bCs/>
          <w:iCs/>
          <w:spacing w:val="-5"/>
          <w:lang w:eastAsia="en-US"/>
        </w:rPr>
        <w:t>CA</w:t>
      </w:r>
      <w:proofErr w:type="spellEnd"/>
      <w:r w:rsidRPr="003331EF">
        <w:rPr>
          <w:bCs/>
          <w:iCs/>
          <w:spacing w:val="-5"/>
          <w:lang w:eastAsia="en-US"/>
        </w:rPr>
        <w:t xml:space="preserve"> määrus näeb mh ette direktiivide 2013/36/EL ja (EL) 2019/1937 muudatused, mis tuleb riigisiseselt üle võtta 2024. aasta 30. detsembriks;</w:t>
      </w:r>
    </w:p>
    <w:p w14:paraId="07C5E20E" w14:textId="0C0FA994" w:rsidR="0071703A" w:rsidRPr="003331EF" w:rsidRDefault="0071703A" w:rsidP="003331EF">
      <w:pPr>
        <w:numPr>
          <w:ilvl w:val="0"/>
          <w:numId w:val="12"/>
        </w:numPr>
        <w:spacing w:before="0"/>
        <w:ind w:left="284" w:hanging="284"/>
        <w:contextualSpacing/>
        <w:rPr>
          <w:bCs/>
          <w:iCs/>
          <w:spacing w:val="-5"/>
          <w:lang w:eastAsia="en-US"/>
        </w:rPr>
      </w:pPr>
      <w:r w:rsidRPr="003331EF">
        <w:rPr>
          <w:bCs/>
          <w:iCs/>
          <w:spacing w:val="-5"/>
          <w:lang w:eastAsia="en-US"/>
        </w:rPr>
        <w:t>TFR määrus näeb ette direktiivi (EL) 2015/849 muudatused, tuleb riigisiseselt üle võtta 2024.</w:t>
      </w:r>
      <w:r w:rsidR="003B3ACE">
        <w:rPr>
          <w:bCs/>
          <w:iCs/>
          <w:spacing w:val="-5"/>
          <w:lang w:eastAsia="en-US"/>
        </w:rPr>
        <w:t> </w:t>
      </w:r>
      <w:r w:rsidRPr="003331EF">
        <w:rPr>
          <w:bCs/>
          <w:iCs/>
          <w:spacing w:val="-5"/>
          <w:lang w:eastAsia="en-US"/>
        </w:rPr>
        <w:t xml:space="preserve">aasta 30. detsembriks. </w:t>
      </w:r>
    </w:p>
    <w:p w14:paraId="477A5EB3" w14:textId="77777777" w:rsidR="0071703A" w:rsidRPr="003331EF" w:rsidRDefault="0071703A" w:rsidP="003331EF">
      <w:pPr>
        <w:spacing w:before="0"/>
        <w:ind w:right="-64"/>
        <w:rPr>
          <w:bCs/>
          <w:iCs/>
          <w:spacing w:val="-5"/>
          <w:lang w:eastAsia="en-US"/>
        </w:rPr>
      </w:pPr>
    </w:p>
    <w:p w14:paraId="60CEAB37" w14:textId="596B3539" w:rsidR="00440EDD" w:rsidRPr="003331EF" w:rsidRDefault="005508E5" w:rsidP="003331EF">
      <w:pPr>
        <w:pStyle w:val="Pealkiri1"/>
        <w:numPr>
          <w:ilvl w:val="0"/>
          <w:numId w:val="9"/>
        </w:numPr>
        <w:rPr>
          <w:caps/>
          <w:color w:val="auto"/>
          <w:sz w:val="24"/>
          <w:lang w:val="et-EE"/>
        </w:rPr>
      </w:pPr>
      <w:r w:rsidRPr="003331EF">
        <w:rPr>
          <w:caps/>
          <w:color w:val="auto"/>
          <w:sz w:val="24"/>
          <w:lang w:val="et-EE"/>
        </w:rPr>
        <w:t>Seaduse eesmärk</w:t>
      </w:r>
    </w:p>
    <w:p w14:paraId="7659F0B5" w14:textId="77777777" w:rsidR="00FA614C" w:rsidRPr="003331EF" w:rsidRDefault="00FA614C" w:rsidP="003331EF">
      <w:pPr>
        <w:spacing w:before="0"/>
        <w:rPr>
          <w:b/>
        </w:rPr>
      </w:pPr>
      <w:r w:rsidRPr="003331EF">
        <w:rPr>
          <w:b/>
        </w:rPr>
        <w:t>2.1. Eelnõu algatamise vajalikkus</w:t>
      </w:r>
    </w:p>
    <w:p w14:paraId="52259D10" w14:textId="77777777" w:rsidR="00FA614C" w:rsidRPr="003331EF" w:rsidRDefault="00FA614C" w:rsidP="003331EF">
      <w:pPr>
        <w:spacing w:before="0"/>
        <w:rPr>
          <w:b/>
        </w:rPr>
      </w:pPr>
    </w:p>
    <w:p w14:paraId="6E3F3167" w14:textId="28A25A30" w:rsidR="00FA614C" w:rsidRPr="003331EF" w:rsidRDefault="0057540C" w:rsidP="003331EF">
      <w:pPr>
        <w:spacing w:before="0"/>
        <w:ind w:right="-62"/>
        <w:contextualSpacing/>
        <w:rPr>
          <w:bCs/>
          <w:iCs/>
          <w:spacing w:val="-5"/>
          <w:lang w:eastAsia="en-US"/>
        </w:rPr>
      </w:pPr>
      <w:r w:rsidRPr="003331EF">
        <w:rPr>
          <w:bCs/>
          <w:iCs/>
          <w:spacing w:val="-5"/>
          <w:lang w:eastAsia="en-US"/>
        </w:rPr>
        <w:t>E</w:t>
      </w:r>
      <w:r w:rsidR="00422C66" w:rsidRPr="003331EF">
        <w:rPr>
          <w:bCs/>
          <w:iCs/>
          <w:spacing w:val="-5"/>
          <w:lang w:eastAsia="en-US"/>
        </w:rPr>
        <w:t>elnõu</w:t>
      </w:r>
      <w:r w:rsidRPr="003331EF">
        <w:rPr>
          <w:bCs/>
          <w:iCs/>
          <w:spacing w:val="-5"/>
          <w:lang w:eastAsia="en-US"/>
        </w:rPr>
        <w:t>ga tagatakse</w:t>
      </w:r>
      <w:r w:rsidR="009B5621" w:rsidRPr="003331EF">
        <w:rPr>
          <w:bCs/>
          <w:iCs/>
          <w:spacing w:val="-5"/>
          <w:lang w:eastAsia="en-US"/>
        </w:rPr>
        <w:t xml:space="preserve"> </w:t>
      </w:r>
      <w:proofErr w:type="spellStart"/>
      <w:r w:rsidR="00FA614C" w:rsidRPr="003331EF">
        <w:rPr>
          <w:bCs/>
          <w:iCs/>
          <w:spacing w:val="-5"/>
          <w:lang w:eastAsia="en-US"/>
        </w:rPr>
        <w:t>M</w:t>
      </w:r>
      <w:r w:rsidR="00A03096">
        <w:rPr>
          <w:bCs/>
          <w:iCs/>
          <w:spacing w:val="-5"/>
          <w:lang w:eastAsia="en-US"/>
        </w:rPr>
        <w:t>i</w:t>
      </w:r>
      <w:r w:rsidR="00FA614C" w:rsidRPr="003331EF">
        <w:rPr>
          <w:bCs/>
          <w:iCs/>
          <w:spacing w:val="-5"/>
          <w:lang w:eastAsia="en-US"/>
        </w:rPr>
        <w:t>CA</w:t>
      </w:r>
      <w:proofErr w:type="spellEnd"/>
      <w:r w:rsidR="009B5621" w:rsidRPr="003331EF">
        <w:rPr>
          <w:bCs/>
          <w:iCs/>
          <w:spacing w:val="-5"/>
          <w:lang w:eastAsia="en-US"/>
        </w:rPr>
        <w:t xml:space="preserve">, TFR ja </w:t>
      </w:r>
      <w:r w:rsidR="00FA614C" w:rsidRPr="003331EF">
        <w:rPr>
          <w:bCs/>
          <w:iCs/>
          <w:spacing w:val="-5"/>
          <w:lang w:eastAsia="en-US"/>
        </w:rPr>
        <w:t>DORA määruste riigisisene nõuetekohane rakendamine.</w:t>
      </w:r>
      <w:r w:rsidR="0003560E" w:rsidRPr="003331EF">
        <w:rPr>
          <w:bCs/>
          <w:iCs/>
          <w:spacing w:val="-5"/>
          <w:lang w:eastAsia="en-US"/>
        </w:rPr>
        <w:t xml:space="preserve"> </w:t>
      </w:r>
      <w:proofErr w:type="spellStart"/>
      <w:r w:rsidR="00B1222F" w:rsidRPr="003331EF">
        <w:rPr>
          <w:bCs/>
          <w:iCs/>
          <w:spacing w:val="-5"/>
          <w:lang w:eastAsia="en-US"/>
        </w:rPr>
        <w:t>Kõrvaleesmärgina</w:t>
      </w:r>
      <w:proofErr w:type="spellEnd"/>
      <w:r w:rsidR="00B1222F" w:rsidRPr="003331EF">
        <w:rPr>
          <w:bCs/>
          <w:iCs/>
          <w:spacing w:val="-5"/>
          <w:lang w:eastAsia="en-US"/>
        </w:rPr>
        <w:t xml:space="preserve"> soovitakse käesoleva eelnõuga lihtsustada kapitali kaasamist nö klassikalisel väärtpaberiturul (vastava prospekti koostamise künnise tõstmine 5 mln euro pealt 8 mln euro peal</w:t>
      </w:r>
      <w:r w:rsidR="00B54552">
        <w:rPr>
          <w:bCs/>
          <w:iCs/>
          <w:spacing w:val="-5"/>
          <w:lang w:eastAsia="en-US"/>
        </w:rPr>
        <w:t>e</w:t>
      </w:r>
      <w:r w:rsidR="00B1222F" w:rsidRPr="003331EF">
        <w:rPr>
          <w:bCs/>
          <w:iCs/>
          <w:spacing w:val="-5"/>
          <w:lang w:eastAsia="en-US"/>
        </w:rPr>
        <w:t xml:space="preserve">). Praktikas võivad teatud väärtpaberid omada </w:t>
      </w:r>
      <w:proofErr w:type="spellStart"/>
      <w:r w:rsidR="00B1222F" w:rsidRPr="003331EF">
        <w:rPr>
          <w:bCs/>
          <w:iCs/>
          <w:spacing w:val="-5"/>
          <w:lang w:eastAsia="en-US"/>
        </w:rPr>
        <w:t>krüptovara</w:t>
      </w:r>
      <w:proofErr w:type="spellEnd"/>
      <w:r w:rsidR="00B1222F" w:rsidRPr="003331EF">
        <w:rPr>
          <w:bCs/>
          <w:iCs/>
          <w:spacing w:val="-5"/>
          <w:lang w:eastAsia="en-US"/>
        </w:rPr>
        <w:t xml:space="preserve"> tunnuseid ja seega on emitendi jaoks oluline </w:t>
      </w:r>
      <w:r w:rsidR="00B1222F" w:rsidRPr="003331EF">
        <w:rPr>
          <w:bCs/>
          <w:iCs/>
          <w:spacing w:val="-5"/>
          <w:lang w:eastAsia="en-US"/>
        </w:rPr>
        <w:lastRenderedPageBreak/>
        <w:t xml:space="preserve">aru saada, kas tegemist on väärtpaberiga väärtpaberituru seaduse § 2 tähenduses või </w:t>
      </w:r>
      <w:proofErr w:type="spellStart"/>
      <w:r w:rsidR="00B1222F" w:rsidRPr="003331EF">
        <w:rPr>
          <w:bCs/>
          <w:iCs/>
          <w:spacing w:val="-5"/>
          <w:lang w:eastAsia="en-US"/>
        </w:rPr>
        <w:t>krüptovaraga</w:t>
      </w:r>
      <w:proofErr w:type="spellEnd"/>
      <w:r w:rsidR="00B1222F" w:rsidRPr="003331EF">
        <w:rPr>
          <w:bCs/>
          <w:iCs/>
          <w:spacing w:val="-5"/>
          <w:lang w:eastAsia="en-US"/>
        </w:rPr>
        <w:t xml:space="preserve"> käesoleva seaduse tähenduses – vastavalt sellele sõltub ka kohaldatav režiim.</w:t>
      </w:r>
    </w:p>
    <w:p w14:paraId="0646DD27" w14:textId="77777777" w:rsidR="00FA614C" w:rsidRPr="003331EF" w:rsidRDefault="00FA614C" w:rsidP="003331EF">
      <w:pPr>
        <w:spacing w:before="0"/>
        <w:rPr>
          <w:bCs/>
          <w:iCs/>
          <w:spacing w:val="-5"/>
          <w:lang w:eastAsia="en-US"/>
        </w:rPr>
      </w:pPr>
    </w:p>
    <w:p w14:paraId="7D41F907" w14:textId="519F047C" w:rsidR="00990623" w:rsidRPr="003331EF" w:rsidRDefault="00422C66" w:rsidP="003331EF">
      <w:pPr>
        <w:pStyle w:val="muutmisksk"/>
        <w:spacing w:before="0"/>
        <w:rPr>
          <w:bCs/>
          <w:iCs/>
          <w:spacing w:val="-5"/>
          <w:lang w:eastAsia="en-US"/>
        </w:rPr>
      </w:pPr>
      <w:bookmarkStart w:id="2" w:name="_Toc55577727"/>
      <w:proofErr w:type="spellStart"/>
      <w:r w:rsidRPr="003331EF">
        <w:rPr>
          <w:bCs/>
          <w:iCs/>
          <w:spacing w:val="-5"/>
          <w:lang w:eastAsia="en-US"/>
        </w:rPr>
        <w:t>M</w:t>
      </w:r>
      <w:r w:rsidR="00A03096">
        <w:rPr>
          <w:bCs/>
          <w:iCs/>
          <w:spacing w:val="-5"/>
          <w:lang w:eastAsia="en-US"/>
        </w:rPr>
        <w:t>i</w:t>
      </w:r>
      <w:r w:rsidRPr="003331EF">
        <w:rPr>
          <w:bCs/>
          <w:iCs/>
          <w:spacing w:val="-5"/>
          <w:lang w:eastAsia="en-US"/>
        </w:rPr>
        <w:t>CA</w:t>
      </w:r>
      <w:proofErr w:type="spellEnd"/>
      <w:r w:rsidRPr="003331EF">
        <w:rPr>
          <w:bCs/>
          <w:iCs/>
          <w:spacing w:val="-5"/>
          <w:lang w:eastAsia="en-US"/>
        </w:rPr>
        <w:t xml:space="preserve"> määruse eesmärgid on järgmised:</w:t>
      </w:r>
      <w:r w:rsidR="00990623" w:rsidRPr="003331EF">
        <w:rPr>
          <w:bCs/>
          <w:iCs/>
          <w:spacing w:val="-5"/>
          <w:lang w:eastAsia="en-US"/>
        </w:rPr>
        <w:t xml:space="preserve"> </w:t>
      </w:r>
    </w:p>
    <w:p w14:paraId="58E5AA1C" w14:textId="6A64388D" w:rsidR="00990623" w:rsidRPr="003331EF" w:rsidRDefault="009B5621" w:rsidP="003331EF">
      <w:pPr>
        <w:numPr>
          <w:ilvl w:val="0"/>
          <w:numId w:val="13"/>
        </w:numPr>
        <w:spacing w:before="0"/>
        <w:ind w:left="284" w:right="-62" w:hanging="284"/>
        <w:contextualSpacing/>
        <w:rPr>
          <w:bCs/>
          <w:iCs/>
          <w:spacing w:val="-5"/>
          <w:lang w:eastAsia="en-US"/>
        </w:rPr>
      </w:pPr>
      <w:r w:rsidRPr="003331EF">
        <w:rPr>
          <w:bCs/>
          <w:iCs/>
          <w:spacing w:val="-5"/>
          <w:lang w:eastAsia="en-US"/>
        </w:rPr>
        <w:t>näha ette</w:t>
      </w:r>
      <w:r w:rsidR="009E5CB4" w:rsidRPr="003331EF">
        <w:rPr>
          <w:bCs/>
          <w:iCs/>
          <w:spacing w:val="-5"/>
          <w:lang w:eastAsia="en-US"/>
        </w:rPr>
        <w:t xml:space="preserve"> </w:t>
      </w:r>
      <w:proofErr w:type="spellStart"/>
      <w:r w:rsidR="009E5CB4" w:rsidRPr="003331EF">
        <w:rPr>
          <w:bCs/>
          <w:iCs/>
          <w:spacing w:val="-5"/>
          <w:lang w:eastAsia="en-US"/>
        </w:rPr>
        <w:t>k</w:t>
      </w:r>
      <w:r w:rsidR="00F02DB9" w:rsidRPr="003331EF">
        <w:rPr>
          <w:bCs/>
          <w:iCs/>
          <w:spacing w:val="-5"/>
          <w:lang w:eastAsia="en-US"/>
        </w:rPr>
        <w:t>rüptovaratur</w:t>
      </w:r>
      <w:r w:rsidR="009E5CB4" w:rsidRPr="003331EF">
        <w:rPr>
          <w:bCs/>
          <w:iCs/>
          <w:spacing w:val="-5"/>
          <w:lang w:eastAsia="en-US"/>
        </w:rPr>
        <w:t>gude</w:t>
      </w:r>
      <w:proofErr w:type="spellEnd"/>
      <w:r w:rsidR="009E5CB4" w:rsidRPr="003331EF">
        <w:rPr>
          <w:bCs/>
          <w:iCs/>
          <w:spacing w:val="-5"/>
          <w:lang w:eastAsia="en-US"/>
        </w:rPr>
        <w:t xml:space="preserve"> arenemiseks</w:t>
      </w:r>
      <w:r w:rsidR="00F02DB9" w:rsidRPr="003331EF">
        <w:rPr>
          <w:bCs/>
          <w:iCs/>
          <w:spacing w:val="-5"/>
          <w:lang w:eastAsia="en-US"/>
        </w:rPr>
        <w:t xml:space="preserve"> ELis kind</w:t>
      </w:r>
      <w:r w:rsidR="009E5CB4" w:rsidRPr="003331EF">
        <w:rPr>
          <w:bCs/>
          <w:iCs/>
          <w:spacing w:val="-5"/>
          <w:lang w:eastAsia="en-US"/>
        </w:rPr>
        <w:t>el</w:t>
      </w:r>
      <w:r w:rsidR="00F02DB9" w:rsidRPr="003331EF">
        <w:rPr>
          <w:bCs/>
          <w:iCs/>
          <w:spacing w:val="-5"/>
          <w:lang w:eastAsia="en-US"/>
        </w:rPr>
        <w:t xml:space="preserve"> õigusraamistik, milles oleks selgelt kindlaks määratud, </w:t>
      </w:r>
      <w:r w:rsidR="00422C66" w:rsidRPr="003331EF">
        <w:rPr>
          <w:bCs/>
          <w:iCs/>
          <w:spacing w:val="-5"/>
          <w:lang w:eastAsia="en-US"/>
        </w:rPr>
        <w:t>mida mõistetakse</w:t>
      </w:r>
      <w:r w:rsidR="00F02DB9" w:rsidRPr="003331EF">
        <w:rPr>
          <w:bCs/>
          <w:iCs/>
          <w:spacing w:val="-5"/>
          <w:lang w:eastAsia="en-US"/>
        </w:rPr>
        <w:t xml:space="preserve"> </w:t>
      </w:r>
      <w:proofErr w:type="spellStart"/>
      <w:r w:rsidR="00F02DB9" w:rsidRPr="003331EF">
        <w:rPr>
          <w:bCs/>
          <w:iCs/>
          <w:spacing w:val="-5"/>
          <w:lang w:eastAsia="en-US"/>
        </w:rPr>
        <w:t>krüptovara</w:t>
      </w:r>
      <w:proofErr w:type="spellEnd"/>
      <w:r w:rsidR="00422C66" w:rsidRPr="003331EF">
        <w:rPr>
          <w:bCs/>
          <w:iCs/>
          <w:spacing w:val="-5"/>
          <w:lang w:eastAsia="en-US"/>
        </w:rPr>
        <w:t xml:space="preserve"> all (s.t. mis eristab seda aktsiatest või muudest väärtpaberitest)</w:t>
      </w:r>
      <w:r w:rsidR="00990623" w:rsidRPr="003331EF">
        <w:rPr>
          <w:bCs/>
          <w:iCs/>
          <w:spacing w:val="-5"/>
          <w:lang w:eastAsia="en-US"/>
        </w:rPr>
        <w:t>;</w:t>
      </w:r>
    </w:p>
    <w:p w14:paraId="44D270A3" w14:textId="53C40EC6" w:rsidR="00990623" w:rsidRPr="003331EF" w:rsidRDefault="00422C66" w:rsidP="003331EF">
      <w:pPr>
        <w:numPr>
          <w:ilvl w:val="0"/>
          <w:numId w:val="13"/>
        </w:numPr>
        <w:spacing w:before="0"/>
        <w:ind w:left="284" w:right="-62" w:hanging="284"/>
        <w:contextualSpacing/>
        <w:rPr>
          <w:bCs/>
          <w:iCs/>
          <w:spacing w:val="-5"/>
          <w:lang w:eastAsia="en-US"/>
        </w:rPr>
      </w:pPr>
      <w:r w:rsidRPr="003331EF">
        <w:rPr>
          <w:bCs/>
          <w:iCs/>
          <w:spacing w:val="-5"/>
          <w:lang w:eastAsia="en-US"/>
        </w:rPr>
        <w:t xml:space="preserve">tagada läbi ausa konkurentsi ja ühtsete mängureeglite ka </w:t>
      </w:r>
      <w:r w:rsidR="00F02DB9" w:rsidRPr="003331EF">
        <w:rPr>
          <w:bCs/>
          <w:iCs/>
          <w:spacing w:val="-5"/>
          <w:lang w:eastAsia="en-US"/>
        </w:rPr>
        <w:t>innovatsiooni</w:t>
      </w:r>
      <w:r w:rsidRPr="003331EF">
        <w:rPr>
          <w:bCs/>
          <w:iCs/>
          <w:spacing w:val="-5"/>
          <w:lang w:eastAsia="en-US"/>
        </w:rPr>
        <w:t xml:space="preserve"> areng</w:t>
      </w:r>
      <w:r w:rsidR="00990623" w:rsidRPr="003331EF">
        <w:rPr>
          <w:bCs/>
          <w:iCs/>
          <w:spacing w:val="-5"/>
          <w:lang w:eastAsia="en-US"/>
        </w:rPr>
        <w:t>;</w:t>
      </w:r>
    </w:p>
    <w:p w14:paraId="76508A19" w14:textId="36B26147" w:rsidR="00990623" w:rsidRPr="003331EF" w:rsidRDefault="00F02DB9" w:rsidP="003331EF">
      <w:pPr>
        <w:numPr>
          <w:ilvl w:val="0"/>
          <w:numId w:val="13"/>
        </w:numPr>
        <w:spacing w:before="0"/>
        <w:ind w:left="284" w:right="-62" w:hanging="284"/>
        <w:contextualSpacing/>
        <w:rPr>
          <w:bCs/>
          <w:iCs/>
          <w:spacing w:val="-5"/>
          <w:lang w:eastAsia="en-US"/>
        </w:rPr>
      </w:pPr>
      <w:r w:rsidRPr="003331EF">
        <w:rPr>
          <w:bCs/>
          <w:iCs/>
          <w:spacing w:val="-5"/>
          <w:lang w:eastAsia="en-US"/>
        </w:rPr>
        <w:t xml:space="preserve">tagada investorite asjakohane kaitse ja </w:t>
      </w:r>
      <w:proofErr w:type="spellStart"/>
      <w:r w:rsidR="00422C66" w:rsidRPr="003331EF">
        <w:rPr>
          <w:bCs/>
          <w:iCs/>
          <w:spacing w:val="-5"/>
          <w:lang w:eastAsia="en-US"/>
        </w:rPr>
        <w:t>krüpto</w:t>
      </w:r>
      <w:r w:rsidR="00F550D2" w:rsidRPr="003331EF">
        <w:rPr>
          <w:bCs/>
          <w:iCs/>
          <w:spacing w:val="-5"/>
          <w:lang w:eastAsia="en-US"/>
        </w:rPr>
        <w:t>vara</w:t>
      </w:r>
      <w:r w:rsidRPr="003331EF">
        <w:rPr>
          <w:bCs/>
          <w:iCs/>
          <w:spacing w:val="-5"/>
          <w:lang w:eastAsia="en-US"/>
        </w:rPr>
        <w:t>turu</w:t>
      </w:r>
      <w:proofErr w:type="spellEnd"/>
      <w:r w:rsidRPr="003331EF">
        <w:rPr>
          <w:bCs/>
          <w:iCs/>
          <w:spacing w:val="-5"/>
          <w:lang w:eastAsia="en-US"/>
        </w:rPr>
        <w:t xml:space="preserve"> usaldusväärsus, </w:t>
      </w:r>
      <w:r w:rsidR="00422C66" w:rsidRPr="003331EF">
        <w:rPr>
          <w:bCs/>
          <w:iCs/>
          <w:spacing w:val="-5"/>
          <w:lang w:eastAsia="en-US"/>
        </w:rPr>
        <w:t xml:space="preserve">lähtudes eelkõige sellest, et investeerimine </w:t>
      </w:r>
      <w:proofErr w:type="spellStart"/>
      <w:r w:rsidR="00422C66" w:rsidRPr="003331EF">
        <w:rPr>
          <w:bCs/>
          <w:iCs/>
          <w:spacing w:val="-5"/>
          <w:lang w:eastAsia="en-US"/>
        </w:rPr>
        <w:t>krüptovaradesse</w:t>
      </w:r>
      <w:proofErr w:type="spellEnd"/>
      <w:r w:rsidR="00422C66" w:rsidRPr="003331EF">
        <w:rPr>
          <w:bCs/>
          <w:iCs/>
          <w:spacing w:val="-5"/>
          <w:lang w:eastAsia="en-US"/>
        </w:rPr>
        <w:t xml:space="preserve"> võib olla üsna sarnane investeerimisega finantsinstrumentidesse (aktsiatesse, võlakirjadesse, </w:t>
      </w:r>
      <w:proofErr w:type="spellStart"/>
      <w:r w:rsidR="00422C66" w:rsidRPr="003331EF">
        <w:rPr>
          <w:bCs/>
          <w:iCs/>
          <w:spacing w:val="-5"/>
          <w:lang w:eastAsia="en-US"/>
        </w:rPr>
        <w:t>derivatiividesse</w:t>
      </w:r>
      <w:proofErr w:type="spellEnd"/>
      <w:r w:rsidR="00422C66" w:rsidRPr="003331EF">
        <w:rPr>
          <w:bCs/>
          <w:iCs/>
          <w:spacing w:val="-5"/>
          <w:lang w:eastAsia="en-US"/>
        </w:rPr>
        <w:t>)</w:t>
      </w:r>
      <w:r w:rsidR="00990623" w:rsidRPr="003331EF">
        <w:rPr>
          <w:bCs/>
          <w:iCs/>
          <w:spacing w:val="-5"/>
          <w:lang w:eastAsia="en-US"/>
        </w:rPr>
        <w:t>;</w:t>
      </w:r>
      <w:r w:rsidRPr="003331EF">
        <w:rPr>
          <w:bCs/>
          <w:iCs/>
          <w:spacing w:val="-5"/>
          <w:lang w:eastAsia="en-US"/>
        </w:rPr>
        <w:t xml:space="preserve"> </w:t>
      </w:r>
    </w:p>
    <w:p w14:paraId="3107A04A" w14:textId="6B57EF16" w:rsidR="00364DAC" w:rsidRPr="003331EF" w:rsidRDefault="00F02DB9" w:rsidP="003331EF">
      <w:pPr>
        <w:numPr>
          <w:ilvl w:val="0"/>
          <w:numId w:val="13"/>
        </w:numPr>
        <w:spacing w:before="0"/>
        <w:ind w:left="284" w:right="-62" w:hanging="284"/>
        <w:contextualSpacing/>
      </w:pPr>
      <w:r w:rsidRPr="003331EF">
        <w:rPr>
          <w:bCs/>
          <w:iCs/>
          <w:spacing w:val="-5"/>
          <w:lang w:eastAsia="en-US"/>
        </w:rPr>
        <w:t>tagada finantsstabiilsus</w:t>
      </w:r>
      <w:r w:rsidR="00422C66" w:rsidRPr="003331EF">
        <w:rPr>
          <w:bCs/>
          <w:iCs/>
          <w:spacing w:val="-5"/>
          <w:lang w:eastAsia="en-US"/>
        </w:rPr>
        <w:t xml:space="preserve"> </w:t>
      </w:r>
      <w:proofErr w:type="spellStart"/>
      <w:r w:rsidR="00422C66" w:rsidRPr="003331EF">
        <w:rPr>
          <w:bCs/>
          <w:iCs/>
          <w:spacing w:val="-5"/>
          <w:lang w:eastAsia="en-US"/>
        </w:rPr>
        <w:t>krüptovarade</w:t>
      </w:r>
      <w:proofErr w:type="spellEnd"/>
      <w:r w:rsidR="00422C66" w:rsidRPr="003331EF">
        <w:rPr>
          <w:bCs/>
          <w:iCs/>
          <w:spacing w:val="-5"/>
          <w:lang w:eastAsia="en-US"/>
        </w:rPr>
        <w:t xml:space="preserve"> mahtude kasvades</w:t>
      </w:r>
      <w:r w:rsidR="00DC268C" w:rsidRPr="003331EF">
        <w:rPr>
          <w:bCs/>
          <w:iCs/>
          <w:spacing w:val="-5"/>
          <w:lang w:eastAsia="en-US"/>
        </w:rPr>
        <w:t>, seda eelkõige varaga tagatud ja e-</w:t>
      </w:r>
      <w:r w:rsidR="00DC268C" w:rsidRPr="003331EF">
        <w:t xml:space="preserve">raha </w:t>
      </w:r>
      <w:proofErr w:type="spellStart"/>
      <w:r w:rsidR="00DC268C" w:rsidRPr="003331EF">
        <w:rPr>
          <w:bCs/>
          <w:iCs/>
          <w:spacing w:val="-5"/>
          <w:lang w:eastAsia="en-US"/>
        </w:rPr>
        <w:t>tokenite</w:t>
      </w:r>
      <w:proofErr w:type="spellEnd"/>
      <w:r w:rsidR="00DC268C" w:rsidRPr="003331EF">
        <w:rPr>
          <w:bCs/>
          <w:iCs/>
          <w:spacing w:val="-5"/>
          <w:lang w:eastAsia="en-US"/>
        </w:rPr>
        <w:t xml:space="preserve"> puhul</w:t>
      </w:r>
      <w:r w:rsidR="00DC268C" w:rsidRPr="003331EF">
        <w:t xml:space="preserve"> (</w:t>
      </w:r>
      <w:proofErr w:type="spellStart"/>
      <w:r w:rsidR="00DC268C" w:rsidRPr="003331EF">
        <w:rPr>
          <w:i/>
          <w:iCs/>
        </w:rPr>
        <w:t>stablecoin</w:t>
      </w:r>
      <w:r w:rsidR="00DC268C" w:rsidRPr="003B3ACE">
        <w:t>’</w:t>
      </w:r>
      <w:r w:rsidR="00F550D2" w:rsidRPr="003B3ACE">
        <w:t>i</w:t>
      </w:r>
      <w:r w:rsidR="00DC268C" w:rsidRPr="003B3ACE">
        <w:t>d</w:t>
      </w:r>
      <w:proofErr w:type="spellEnd"/>
      <w:r w:rsidR="00DC268C" w:rsidRPr="003331EF">
        <w:t>)</w:t>
      </w:r>
      <w:r w:rsidRPr="003331EF">
        <w:t xml:space="preserve">. </w:t>
      </w:r>
      <w:r w:rsidR="00DC268C" w:rsidRPr="003331EF">
        <w:rPr>
          <w:bCs/>
          <w:iCs/>
          <w:spacing w:val="-5"/>
          <w:lang w:eastAsia="en-US"/>
        </w:rPr>
        <w:t xml:space="preserve">Seepärast nähakse </w:t>
      </w:r>
      <w:proofErr w:type="spellStart"/>
      <w:r w:rsidR="00DC268C" w:rsidRPr="003331EF">
        <w:rPr>
          <w:bCs/>
          <w:i/>
          <w:spacing w:val="-5"/>
          <w:lang w:eastAsia="en-US"/>
        </w:rPr>
        <w:t>stablecoin</w:t>
      </w:r>
      <w:r w:rsidR="00DC268C" w:rsidRPr="003B3ACE">
        <w:rPr>
          <w:bCs/>
          <w:iCs/>
          <w:spacing w:val="-5"/>
          <w:lang w:eastAsia="en-US"/>
        </w:rPr>
        <w:t>’</w:t>
      </w:r>
      <w:r w:rsidR="00F550D2" w:rsidRPr="003B3ACE">
        <w:rPr>
          <w:bCs/>
          <w:iCs/>
          <w:spacing w:val="-5"/>
          <w:lang w:eastAsia="en-US"/>
        </w:rPr>
        <w:t>i</w:t>
      </w:r>
      <w:r w:rsidR="00DC268C" w:rsidRPr="003B3ACE">
        <w:rPr>
          <w:bCs/>
          <w:iCs/>
          <w:spacing w:val="-5"/>
          <w:lang w:eastAsia="en-US"/>
        </w:rPr>
        <w:t>de</w:t>
      </w:r>
      <w:proofErr w:type="spellEnd"/>
      <w:r w:rsidR="00DC268C" w:rsidRPr="003331EF">
        <w:rPr>
          <w:bCs/>
          <w:iCs/>
          <w:spacing w:val="-5"/>
          <w:lang w:eastAsia="en-US"/>
        </w:rPr>
        <w:t xml:space="preserve"> </w:t>
      </w:r>
      <w:proofErr w:type="spellStart"/>
      <w:r w:rsidR="00DC268C" w:rsidRPr="003331EF">
        <w:rPr>
          <w:bCs/>
          <w:iCs/>
          <w:spacing w:val="-5"/>
          <w:lang w:eastAsia="en-US"/>
        </w:rPr>
        <w:t>emiteerijatele</w:t>
      </w:r>
      <w:proofErr w:type="spellEnd"/>
      <w:r w:rsidR="00DC268C" w:rsidRPr="003331EF">
        <w:rPr>
          <w:bCs/>
          <w:iCs/>
          <w:spacing w:val="-5"/>
          <w:lang w:eastAsia="en-US"/>
        </w:rPr>
        <w:t xml:space="preserve"> ette täiendavad reeglid võrreldes nn tavapäraste </w:t>
      </w:r>
      <w:proofErr w:type="spellStart"/>
      <w:r w:rsidR="00DC268C" w:rsidRPr="003331EF">
        <w:rPr>
          <w:bCs/>
          <w:iCs/>
          <w:spacing w:val="-5"/>
          <w:lang w:eastAsia="en-US"/>
        </w:rPr>
        <w:t>krüptovara</w:t>
      </w:r>
      <w:proofErr w:type="spellEnd"/>
      <w:r w:rsidR="00DC268C" w:rsidRPr="003331EF">
        <w:rPr>
          <w:bCs/>
          <w:iCs/>
          <w:spacing w:val="-5"/>
          <w:lang w:eastAsia="en-US"/>
        </w:rPr>
        <w:t xml:space="preserve"> emitentidega.</w:t>
      </w:r>
      <w:r w:rsidR="00DC268C" w:rsidRPr="003331EF">
        <w:t xml:space="preserve"> </w:t>
      </w:r>
    </w:p>
    <w:p w14:paraId="3D3988F3" w14:textId="77777777" w:rsidR="00043956" w:rsidRPr="003331EF" w:rsidRDefault="00043956" w:rsidP="003331EF">
      <w:pPr>
        <w:spacing w:before="0"/>
        <w:ind w:right="-62"/>
        <w:contextualSpacing/>
      </w:pPr>
    </w:p>
    <w:p w14:paraId="7CB0114A" w14:textId="657FAF5B" w:rsidR="00043956" w:rsidRPr="003331EF" w:rsidRDefault="00043956" w:rsidP="003331EF">
      <w:pPr>
        <w:spacing w:before="0"/>
        <w:ind w:right="-62"/>
        <w:contextualSpacing/>
        <w:rPr>
          <w:bCs/>
          <w:iCs/>
          <w:spacing w:val="-5"/>
          <w:lang w:eastAsia="en-US"/>
        </w:rPr>
      </w:pPr>
      <w:r w:rsidRPr="003331EF">
        <w:rPr>
          <w:bCs/>
          <w:iCs/>
          <w:spacing w:val="-5"/>
          <w:lang w:eastAsia="en-US"/>
        </w:rPr>
        <w:t xml:space="preserve">TFR määruse eesmärk on eelkõige rahapesu ja terrorismi rahastamise tõkestamine, muu hulgas rahvusvaheliste standardite rakendamise ning rahaülekannete maksjate ja makse saajate ja </w:t>
      </w:r>
      <w:proofErr w:type="spellStart"/>
      <w:r w:rsidRPr="003331EF">
        <w:rPr>
          <w:bCs/>
          <w:iCs/>
          <w:spacing w:val="-5"/>
          <w:lang w:eastAsia="en-US"/>
        </w:rPr>
        <w:t>krüptovaraülekannete</w:t>
      </w:r>
      <w:proofErr w:type="spellEnd"/>
      <w:r w:rsidRPr="003331EF">
        <w:rPr>
          <w:bCs/>
          <w:iCs/>
          <w:spacing w:val="-5"/>
          <w:lang w:eastAsia="en-US"/>
        </w:rPr>
        <w:t xml:space="preserve"> algatajate ja saajate kohta käiva põhiteabe kättesaadavuse tagamise kaudu. </w:t>
      </w:r>
    </w:p>
    <w:p w14:paraId="71C9D172" w14:textId="77777777" w:rsidR="00043956" w:rsidRPr="003331EF" w:rsidRDefault="00043956" w:rsidP="003331EF">
      <w:pPr>
        <w:spacing w:before="0"/>
        <w:ind w:right="-62"/>
        <w:contextualSpacing/>
      </w:pPr>
    </w:p>
    <w:p w14:paraId="2F20203B" w14:textId="6655E00B" w:rsidR="00043956" w:rsidRPr="003331EF" w:rsidRDefault="00043956" w:rsidP="003331EF">
      <w:pPr>
        <w:spacing w:before="0"/>
        <w:ind w:right="-62"/>
        <w:contextualSpacing/>
        <w:rPr>
          <w:bCs/>
          <w:iCs/>
          <w:spacing w:val="-5"/>
          <w:lang w:eastAsia="en-US"/>
        </w:rPr>
      </w:pPr>
      <w:r w:rsidRPr="003331EF">
        <w:rPr>
          <w:bCs/>
          <w:iCs/>
          <w:spacing w:val="-5"/>
          <w:lang w:eastAsia="en-US"/>
        </w:rPr>
        <w:t xml:space="preserve">DORA määruse eesmärk on tagada </w:t>
      </w:r>
      <w:proofErr w:type="spellStart"/>
      <w:r w:rsidRPr="003331EF">
        <w:rPr>
          <w:bCs/>
          <w:iCs/>
          <w:spacing w:val="-5"/>
          <w:lang w:eastAsia="en-US"/>
        </w:rPr>
        <w:t>krüptovaraturu</w:t>
      </w:r>
      <w:proofErr w:type="spellEnd"/>
      <w:r w:rsidRPr="003331EF">
        <w:rPr>
          <w:bCs/>
          <w:iCs/>
          <w:spacing w:val="-5"/>
          <w:lang w:eastAsia="en-US"/>
        </w:rPr>
        <w:t xml:space="preserve"> osaliste:</w:t>
      </w:r>
    </w:p>
    <w:p w14:paraId="7EE605A2" w14:textId="77777777" w:rsidR="0045444B" w:rsidRPr="003331EF" w:rsidRDefault="00043956" w:rsidP="003331EF">
      <w:pPr>
        <w:numPr>
          <w:ilvl w:val="0"/>
          <w:numId w:val="13"/>
        </w:numPr>
        <w:spacing w:before="0"/>
        <w:ind w:left="284" w:right="-62" w:hanging="284"/>
        <w:contextualSpacing/>
        <w:rPr>
          <w:bCs/>
          <w:iCs/>
          <w:spacing w:val="-5"/>
          <w:lang w:eastAsia="en-US"/>
        </w:rPr>
      </w:pPr>
      <w:r w:rsidRPr="003331EF">
        <w:rPr>
          <w:bCs/>
          <w:iCs/>
          <w:spacing w:val="-5"/>
          <w:lang w:eastAsia="en-US"/>
        </w:rPr>
        <w:t xml:space="preserve">tegevuse toimimine, terviklikkus ja usaldusväärus mh info- ja kommunikatsioonitehnoloogia (edaspidi </w:t>
      </w:r>
      <w:r w:rsidRPr="003331EF">
        <w:rPr>
          <w:bCs/>
          <w:i/>
          <w:spacing w:val="-5"/>
          <w:lang w:eastAsia="en-US"/>
        </w:rPr>
        <w:t>IKT</w:t>
      </w:r>
      <w:r w:rsidRPr="003331EF">
        <w:rPr>
          <w:bCs/>
          <w:iCs/>
          <w:spacing w:val="-5"/>
          <w:lang w:eastAsia="en-US"/>
        </w:rPr>
        <w:t>) suutlikkusega seonduvalt;</w:t>
      </w:r>
    </w:p>
    <w:p w14:paraId="4076EEDB" w14:textId="483D9E12" w:rsidR="00043956" w:rsidRPr="003331EF" w:rsidRDefault="00043956" w:rsidP="003331EF">
      <w:pPr>
        <w:numPr>
          <w:ilvl w:val="0"/>
          <w:numId w:val="13"/>
        </w:numPr>
        <w:spacing w:before="0"/>
        <w:ind w:left="284" w:right="-62" w:hanging="284"/>
        <w:contextualSpacing/>
        <w:rPr>
          <w:bCs/>
          <w:iCs/>
          <w:spacing w:val="-5"/>
          <w:lang w:eastAsia="en-US"/>
        </w:rPr>
      </w:pPr>
      <w:r w:rsidRPr="003331EF">
        <w:rPr>
          <w:bCs/>
          <w:iCs/>
          <w:spacing w:val="-5"/>
          <w:lang w:eastAsia="en-US"/>
        </w:rPr>
        <w:t>võime kohaneda, toimida ja taastuda IKT-</w:t>
      </w:r>
      <w:proofErr w:type="spellStart"/>
      <w:r w:rsidRPr="003331EF">
        <w:rPr>
          <w:bCs/>
          <w:iCs/>
          <w:spacing w:val="-5"/>
          <w:lang w:eastAsia="en-US"/>
        </w:rPr>
        <w:t>ga</w:t>
      </w:r>
      <w:proofErr w:type="spellEnd"/>
      <w:r w:rsidRPr="003331EF">
        <w:rPr>
          <w:bCs/>
          <w:iCs/>
          <w:spacing w:val="-5"/>
          <w:lang w:eastAsia="en-US"/>
        </w:rPr>
        <w:t xml:space="preserve"> seotud riskide realiseerumisel, sh </w:t>
      </w:r>
      <w:proofErr w:type="spellStart"/>
      <w:r w:rsidRPr="003331EF">
        <w:rPr>
          <w:bCs/>
          <w:iCs/>
          <w:spacing w:val="-5"/>
          <w:lang w:eastAsia="en-US"/>
        </w:rPr>
        <w:t>küberrünnete</w:t>
      </w:r>
      <w:proofErr w:type="spellEnd"/>
      <w:r w:rsidRPr="003331EF">
        <w:rPr>
          <w:bCs/>
          <w:iCs/>
          <w:spacing w:val="-5"/>
          <w:lang w:eastAsia="en-US"/>
        </w:rPr>
        <w:t xml:space="preserve"> korral;</w:t>
      </w:r>
    </w:p>
    <w:p w14:paraId="2DB610C4" w14:textId="77777777" w:rsidR="00043956" w:rsidRPr="003331EF" w:rsidRDefault="00043956" w:rsidP="003331EF">
      <w:pPr>
        <w:pStyle w:val="Loendilik"/>
        <w:numPr>
          <w:ilvl w:val="0"/>
          <w:numId w:val="50"/>
        </w:numPr>
        <w:jc w:val="both"/>
        <w:rPr>
          <w:bCs/>
          <w:iCs/>
          <w:spacing w:val="-5"/>
        </w:rPr>
      </w:pPr>
      <w:r w:rsidRPr="003331EF">
        <w:rPr>
          <w:bCs/>
          <w:iCs/>
          <w:spacing w:val="-5"/>
        </w:rPr>
        <w:t>suutlikkus teenuse osutamist kiiresti jätkata.</w:t>
      </w:r>
    </w:p>
    <w:p w14:paraId="565169B2" w14:textId="3CADF470" w:rsidR="00043956" w:rsidRPr="003331EF" w:rsidRDefault="00043956" w:rsidP="003331EF">
      <w:pPr>
        <w:spacing w:before="0"/>
        <w:ind w:right="-62"/>
        <w:contextualSpacing/>
      </w:pPr>
    </w:p>
    <w:p w14:paraId="46D6DC79" w14:textId="3B2B8854" w:rsidR="00364DAC" w:rsidRPr="003331EF" w:rsidRDefault="00364DAC" w:rsidP="003331EF">
      <w:pPr>
        <w:spacing w:before="0"/>
        <w:rPr>
          <w:bCs/>
          <w:iCs/>
          <w:spacing w:val="-5"/>
        </w:rPr>
      </w:pPr>
      <w:r w:rsidRPr="003331EF">
        <w:rPr>
          <w:bCs/>
          <w:iCs/>
          <w:spacing w:val="-5"/>
        </w:rPr>
        <w:t xml:space="preserve">Järgmisel joonisel on näha lihtsustatud kujul subjektide klassifikatsioon tulenevalt </w:t>
      </w:r>
      <w:proofErr w:type="spellStart"/>
      <w:r w:rsidRPr="003331EF">
        <w:rPr>
          <w:bCs/>
          <w:iCs/>
          <w:spacing w:val="-5"/>
        </w:rPr>
        <w:t>M</w:t>
      </w:r>
      <w:r w:rsidR="00A03096">
        <w:rPr>
          <w:bCs/>
          <w:iCs/>
          <w:spacing w:val="-5"/>
        </w:rPr>
        <w:t>i</w:t>
      </w:r>
      <w:r w:rsidRPr="003331EF">
        <w:rPr>
          <w:bCs/>
          <w:iCs/>
          <w:spacing w:val="-5"/>
        </w:rPr>
        <w:t>CA</w:t>
      </w:r>
      <w:proofErr w:type="spellEnd"/>
      <w:r w:rsidRPr="003331EF">
        <w:rPr>
          <w:bCs/>
          <w:iCs/>
          <w:spacing w:val="-5"/>
        </w:rPr>
        <w:t xml:space="preserve"> määrusest.</w:t>
      </w:r>
      <w:r w:rsidR="00CD5474" w:rsidRPr="003331EF">
        <w:rPr>
          <w:bCs/>
          <w:iCs/>
          <w:spacing w:val="-5"/>
        </w:rPr>
        <w:t xml:space="preserve"> Vastavalt sellele, millisesse klassi isik kvalifitseerub, sõltuvad temale kohaldatavad nõuded.</w:t>
      </w:r>
    </w:p>
    <w:p w14:paraId="35E6349B" w14:textId="77777777" w:rsidR="00364DAC" w:rsidRPr="003331EF" w:rsidRDefault="00364DAC" w:rsidP="003331EF">
      <w:pPr>
        <w:spacing w:before="0"/>
        <w:ind w:right="-62"/>
        <w:contextualSpacing/>
      </w:pPr>
    </w:p>
    <w:p w14:paraId="68A73533" w14:textId="37ABB5DD" w:rsidR="00364DAC" w:rsidRPr="003331EF" w:rsidRDefault="00364DAC" w:rsidP="003331EF">
      <w:pPr>
        <w:spacing w:before="0"/>
        <w:ind w:right="-62"/>
        <w:contextualSpacing/>
      </w:pPr>
      <w:r w:rsidRPr="003331EF">
        <w:rPr>
          <w:noProof/>
        </w:rPr>
        <w:drawing>
          <wp:inline distT="0" distB="0" distL="0" distR="0" wp14:anchorId="516CBB39" wp14:editId="22912FB8">
            <wp:extent cx="5613400" cy="2997200"/>
            <wp:effectExtent l="0" t="0" r="0" b="50800"/>
            <wp:docPr id="2080079017" name="Diagram 1">
              <a:extLst xmlns:a="http://schemas.openxmlformats.org/drawingml/2006/main">
                <a:ext uri="{FF2B5EF4-FFF2-40B4-BE49-F238E27FC236}">
                  <a16:creationId xmlns:a16="http://schemas.microsoft.com/office/drawing/2014/main" id="{8754180A-E1EC-08BF-6968-41499E7494B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E494F87" w14:textId="55FE7D3E" w:rsidR="00043956" w:rsidRPr="003331EF" w:rsidRDefault="001A31B6" w:rsidP="003331EF">
      <w:pPr>
        <w:spacing w:before="0"/>
        <w:ind w:right="-62"/>
        <w:contextualSpacing/>
      </w:pPr>
      <w:r w:rsidRPr="003331EF">
        <w:rPr>
          <w:b/>
          <w:bCs/>
        </w:rPr>
        <w:t>Joonis</w:t>
      </w:r>
      <w:r w:rsidR="00043956" w:rsidRPr="003331EF">
        <w:rPr>
          <w:b/>
          <w:bCs/>
        </w:rPr>
        <w:t xml:space="preserve"> 1.</w:t>
      </w:r>
      <w:r w:rsidR="00043956" w:rsidRPr="003331EF">
        <w:t xml:space="preserve"> </w:t>
      </w:r>
      <w:r w:rsidR="00043956" w:rsidRPr="003331EF">
        <w:rPr>
          <w:bCs/>
          <w:iCs/>
          <w:spacing w:val="-5"/>
        </w:rPr>
        <w:t xml:space="preserve">Subjektide liigitamine vastavalt </w:t>
      </w:r>
      <w:proofErr w:type="spellStart"/>
      <w:r w:rsidR="00043956" w:rsidRPr="003331EF">
        <w:rPr>
          <w:bCs/>
          <w:iCs/>
          <w:spacing w:val="-5"/>
        </w:rPr>
        <w:t>M</w:t>
      </w:r>
      <w:r w:rsidR="00A03096">
        <w:rPr>
          <w:bCs/>
          <w:iCs/>
          <w:spacing w:val="-5"/>
        </w:rPr>
        <w:t>i</w:t>
      </w:r>
      <w:r w:rsidR="00043956" w:rsidRPr="003331EF">
        <w:rPr>
          <w:bCs/>
          <w:iCs/>
          <w:spacing w:val="-5"/>
        </w:rPr>
        <w:t>CA</w:t>
      </w:r>
      <w:proofErr w:type="spellEnd"/>
      <w:r w:rsidR="00043956" w:rsidRPr="003331EF">
        <w:rPr>
          <w:bCs/>
          <w:iCs/>
          <w:spacing w:val="-5"/>
        </w:rPr>
        <w:t xml:space="preserve"> määrusele</w:t>
      </w:r>
    </w:p>
    <w:p w14:paraId="22F03BDE" w14:textId="77777777" w:rsidR="00364DAC" w:rsidRPr="003331EF" w:rsidRDefault="00364DAC" w:rsidP="003331EF">
      <w:pPr>
        <w:spacing w:before="0"/>
        <w:ind w:right="-62"/>
        <w:contextualSpacing/>
      </w:pPr>
    </w:p>
    <w:p w14:paraId="3E202A3B" w14:textId="1019CCBE" w:rsidR="00D67C76" w:rsidRPr="003331EF" w:rsidRDefault="00D67C76" w:rsidP="003331EF">
      <w:pPr>
        <w:spacing w:before="0"/>
        <w:ind w:right="-62"/>
        <w:contextualSpacing/>
        <w:rPr>
          <w:bCs/>
          <w:iCs/>
          <w:spacing w:val="-5"/>
        </w:rPr>
      </w:pPr>
      <w:r w:rsidRPr="003331EF">
        <w:rPr>
          <w:bCs/>
          <w:iCs/>
          <w:spacing w:val="-5"/>
        </w:rPr>
        <w:t xml:space="preserve">Vt ka seletuskirja punktis 2.3 kirjeldatud ülevaadet </w:t>
      </w:r>
      <w:proofErr w:type="spellStart"/>
      <w:r w:rsidRPr="003331EF">
        <w:rPr>
          <w:bCs/>
          <w:iCs/>
          <w:spacing w:val="-5"/>
        </w:rPr>
        <w:t>krüptovara</w:t>
      </w:r>
      <w:proofErr w:type="spellEnd"/>
      <w:r w:rsidRPr="003331EF">
        <w:rPr>
          <w:bCs/>
          <w:iCs/>
          <w:spacing w:val="-5"/>
        </w:rPr>
        <w:t xml:space="preserve"> turgudest globaalselt.</w:t>
      </w:r>
    </w:p>
    <w:p w14:paraId="10231F66" w14:textId="77777777" w:rsidR="00D700C5" w:rsidRDefault="00D700C5" w:rsidP="003331EF">
      <w:pPr>
        <w:spacing w:before="0"/>
        <w:ind w:right="-62"/>
        <w:contextualSpacing/>
      </w:pPr>
    </w:p>
    <w:p w14:paraId="33539A05" w14:textId="77777777" w:rsidR="00C617C8" w:rsidRPr="003331EF" w:rsidRDefault="00C617C8" w:rsidP="003331EF">
      <w:pPr>
        <w:spacing w:before="0"/>
        <w:ind w:right="-62"/>
        <w:contextualSpacing/>
      </w:pPr>
    </w:p>
    <w:p w14:paraId="6950D81D" w14:textId="18FE387E" w:rsidR="00FA614C" w:rsidRPr="003331EF" w:rsidRDefault="00801563" w:rsidP="003331EF">
      <w:pPr>
        <w:spacing w:before="0"/>
        <w:rPr>
          <w:b/>
          <w:bCs/>
        </w:rPr>
      </w:pPr>
      <w:r w:rsidRPr="003331EF">
        <w:rPr>
          <w:b/>
          <w:bCs/>
        </w:rPr>
        <w:lastRenderedPageBreak/>
        <w:t>2</w:t>
      </w:r>
      <w:r w:rsidR="00A32097" w:rsidRPr="003331EF">
        <w:rPr>
          <w:b/>
          <w:bCs/>
        </w:rPr>
        <w:t>.</w:t>
      </w:r>
      <w:r w:rsidR="00D700C5" w:rsidRPr="003331EF">
        <w:rPr>
          <w:b/>
          <w:bCs/>
        </w:rPr>
        <w:t>2</w:t>
      </w:r>
      <w:r w:rsidR="00A32097" w:rsidRPr="003331EF">
        <w:rPr>
          <w:b/>
          <w:bCs/>
        </w:rPr>
        <w:t xml:space="preserve">. </w:t>
      </w:r>
      <w:r w:rsidR="00FA614C" w:rsidRPr="003331EF">
        <w:rPr>
          <w:b/>
          <w:bCs/>
        </w:rPr>
        <w:t xml:space="preserve">Ülevaade </w:t>
      </w:r>
      <w:proofErr w:type="spellStart"/>
      <w:r w:rsidR="004A38A8" w:rsidRPr="003331EF">
        <w:rPr>
          <w:b/>
          <w:bCs/>
        </w:rPr>
        <w:t>krüptovara</w:t>
      </w:r>
      <w:r w:rsidR="00997B26" w:rsidRPr="003331EF">
        <w:rPr>
          <w:b/>
          <w:bCs/>
        </w:rPr>
        <w:t>dest</w:t>
      </w:r>
      <w:proofErr w:type="spellEnd"/>
      <w:r w:rsidR="00997B26" w:rsidRPr="003331EF">
        <w:rPr>
          <w:b/>
          <w:bCs/>
        </w:rPr>
        <w:t xml:space="preserve"> ja kehtiva</w:t>
      </w:r>
      <w:r w:rsidR="003C4AD0" w:rsidRPr="003331EF">
        <w:rPr>
          <w:b/>
          <w:bCs/>
        </w:rPr>
        <w:t>st</w:t>
      </w:r>
      <w:r w:rsidR="00653DFD" w:rsidRPr="003331EF">
        <w:rPr>
          <w:b/>
          <w:bCs/>
        </w:rPr>
        <w:t xml:space="preserve"> regulatsiooni</w:t>
      </w:r>
      <w:r w:rsidRPr="003331EF">
        <w:rPr>
          <w:b/>
          <w:bCs/>
        </w:rPr>
        <w:t>st</w:t>
      </w:r>
    </w:p>
    <w:p w14:paraId="696925CB" w14:textId="77777777" w:rsidR="00FA614C" w:rsidRPr="003331EF" w:rsidRDefault="00FA614C" w:rsidP="003331EF">
      <w:pPr>
        <w:pStyle w:val="muutmisksk"/>
        <w:spacing w:before="0"/>
      </w:pPr>
    </w:p>
    <w:p w14:paraId="184100F7" w14:textId="68F827DF" w:rsidR="004A38A8" w:rsidRPr="003331EF" w:rsidRDefault="004A38A8" w:rsidP="003331EF">
      <w:pPr>
        <w:spacing w:before="0"/>
        <w:rPr>
          <w:bCs/>
          <w:iCs/>
          <w:spacing w:val="-5"/>
        </w:rPr>
      </w:pPr>
      <w:r w:rsidRPr="003331EF">
        <w:rPr>
          <w:bCs/>
          <w:iCs/>
          <w:spacing w:val="-5"/>
        </w:rPr>
        <w:t>EL</w:t>
      </w:r>
      <w:r w:rsidR="000B214D">
        <w:rPr>
          <w:bCs/>
          <w:iCs/>
          <w:spacing w:val="-5"/>
        </w:rPr>
        <w:noBreakHyphen/>
        <w:t>i</w:t>
      </w:r>
      <w:r w:rsidRPr="003331EF">
        <w:rPr>
          <w:bCs/>
          <w:iCs/>
          <w:spacing w:val="-5"/>
        </w:rPr>
        <w:t xml:space="preserve"> väärtpaberituru või investorikaitse alane õigus ei olnud senini </w:t>
      </w:r>
      <w:proofErr w:type="spellStart"/>
      <w:r w:rsidRPr="003331EF">
        <w:rPr>
          <w:bCs/>
          <w:iCs/>
          <w:spacing w:val="-5"/>
        </w:rPr>
        <w:t>krüptovarasid</w:t>
      </w:r>
      <w:proofErr w:type="spellEnd"/>
      <w:r w:rsidRPr="003331EF">
        <w:rPr>
          <w:bCs/>
          <w:iCs/>
          <w:spacing w:val="-5"/>
        </w:rPr>
        <w:t xml:space="preserve"> eraldi reguleerinud. EL</w:t>
      </w:r>
      <w:r w:rsidR="000B214D">
        <w:rPr>
          <w:bCs/>
          <w:iCs/>
          <w:spacing w:val="-5"/>
        </w:rPr>
        <w:noBreakHyphen/>
        <w:t>i</w:t>
      </w:r>
      <w:r w:rsidRPr="003331EF">
        <w:rPr>
          <w:bCs/>
          <w:iCs/>
          <w:spacing w:val="-5"/>
        </w:rPr>
        <w:t xml:space="preserve"> regulatsioon </w:t>
      </w:r>
      <w:proofErr w:type="spellStart"/>
      <w:r w:rsidRPr="003331EF">
        <w:rPr>
          <w:bCs/>
          <w:iCs/>
          <w:spacing w:val="-5"/>
        </w:rPr>
        <w:t>krüptovarade</w:t>
      </w:r>
      <w:proofErr w:type="spellEnd"/>
      <w:r w:rsidRPr="003331EF">
        <w:rPr>
          <w:bCs/>
          <w:iCs/>
          <w:spacing w:val="-5"/>
        </w:rPr>
        <w:t xml:space="preserve"> kohta piirdub direktiiviga (EL) 2015/849</w:t>
      </w:r>
      <w:r w:rsidRPr="003331EF">
        <w:rPr>
          <w:b/>
          <w:iCs/>
          <w:spacing w:val="-5"/>
          <w:vertAlign w:val="superscript"/>
        </w:rPr>
        <w:footnoteReference w:id="11"/>
      </w:r>
      <w:r w:rsidRPr="003331EF">
        <w:rPr>
          <w:bCs/>
          <w:iCs/>
          <w:spacing w:val="-5"/>
        </w:rPr>
        <w:t xml:space="preserve">, mis käsitleb finantssüsteemi rahapesu või terrorismi rahastamise eesmärgil kasutamise tõkestamist. See direktiiv sätestab õigusliku raamistiku </w:t>
      </w:r>
      <w:proofErr w:type="spellStart"/>
      <w:r w:rsidR="005E7406" w:rsidRPr="003331EF">
        <w:rPr>
          <w:bCs/>
          <w:iCs/>
          <w:spacing w:val="-5"/>
        </w:rPr>
        <w:t>VASP</w:t>
      </w:r>
      <w:r w:rsidR="006C76DD" w:rsidRPr="003331EF">
        <w:rPr>
          <w:bCs/>
          <w:iCs/>
          <w:spacing w:val="-5"/>
        </w:rPr>
        <w:t>-ide</w:t>
      </w:r>
      <w:proofErr w:type="spellEnd"/>
      <w:r w:rsidR="005E7406" w:rsidRPr="003331EF">
        <w:rPr>
          <w:bCs/>
          <w:iCs/>
          <w:spacing w:val="-5"/>
        </w:rPr>
        <w:t xml:space="preserve"> </w:t>
      </w:r>
      <w:r w:rsidRPr="003331EF">
        <w:rPr>
          <w:bCs/>
          <w:iCs/>
          <w:spacing w:val="-5"/>
        </w:rPr>
        <w:t>suhtes rakendatavatele rahapesu ja terrorismi rahastamise tõkestamise nõuetele, jättes sealjuures reguleerimata teenuse osutamisele seatavad nõuded või ka üldisema finantsjärelevalve raamistiku.</w:t>
      </w:r>
      <w:r w:rsidR="00AE38F0" w:rsidRPr="003331EF">
        <w:rPr>
          <w:bCs/>
          <w:iCs/>
          <w:spacing w:val="-5"/>
        </w:rPr>
        <w:t xml:space="preserve"> Reeglite puudumine </w:t>
      </w:r>
      <w:r w:rsidR="00675E07" w:rsidRPr="003331EF">
        <w:rPr>
          <w:bCs/>
          <w:iCs/>
          <w:spacing w:val="-5"/>
        </w:rPr>
        <w:t xml:space="preserve">on toonud kaasa </w:t>
      </w:r>
      <w:proofErr w:type="spellStart"/>
      <w:r w:rsidR="00AE38F0" w:rsidRPr="003331EF">
        <w:rPr>
          <w:bCs/>
          <w:iCs/>
          <w:spacing w:val="-5"/>
        </w:rPr>
        <w:t>krüptovara</w:t>
      </w:r>
      <w:proofErr w:type="spellEnd"/>
      <w:r w:rsidR="00AE38F0" w:rsidRPr="003331EF">
        <w:rPr>
          <w:bCs/>
          <w:iCs/>
          <w:spacing w:val="-5"/>
        </w:rPr>
        <w:t xml:space="preserve"> omanikele riske, eelkõige valdkondades, mida tarbijakaitse-eeskirjad ei hõlma. Reeglite puudumine </w:t>
      </w:r>
      <w:r w:rsidR="00675E07" w:rsidRPr="003331EF">
        <w:rPr>
          <w:bCs/>
          <w:iCs/>
          <w:spacing w:val="-5"/>
        </w:rPr>
        <w:t>on toonud</w:t>
      </w:r>
      <w:r w:rsidR="00AE38F0" w:rsidRPr="003331EF">
        <w:rPr>
          <w:bCs/>
          <w:iCs/>
          <w:spacing w:val="-5"/>
        </w:rPr>
        <w:t xml:space="preserve"> kaasa ka olulisi riske turu usaldusväärsusele, sh turu kuritarvitamise ja finantskuritegevuse mõttes. </w:t>
      </w:r>
      <w:r w:rsidR="00777DDD" w:rsidRPr="003331EF">
        <w:rPr>
          <w:bCs/>
          <w:iCs/>
          <w:spacing w:val="-5"/>
        </w:rPr>
        <w:t xml:space="preserve">Usalduse puudumine </w:t>
      </w:r>
      <w:proofErr w:type="spellStart"/>
      <w:r w:rsidR="00777DDD" w:rsidRPr="003331EF">
        <w:rPr>
          <w:bCs/>
          <w:iCs/>
          <w:spacing w:val="-5"/>
        </w:rPr>
        <w:t>krüptovara</w:t>
      </w:r>
      <w:proofErr w:type="spellEnd"/>
      <w:r w:rsidR="00777DDD" w:rsidRPr="003331EF">
        <w:rPr>
          <w:bCs/>
          <w:iCs/>
          <w:spacing w:val="-5"/>
        </w:rPr>
        <w:t xml:space="preserve"> vastu on märkimisväärselt takistanud sellise vara turu arengut ja viinud selleni, et ettevõtjate jaoks on jäänud kasutamata uuenduslike digiteenuste, alternatiivsete maksevahendite või uute rahastamisallikatega seotud võimalused.</w:t>
      </w:r>
    </w:p>
    <w:p w14:paraId="3ACEEF8E" w14:textId="77777777" w:rsidR="004A38A8" w:rsidRPr="003331EF" w:rsidRDefault="004A38A8" w:rsidP="003331EF">
      <w:pPr>
        <w:spacing w:before="0"/>
      </w:pPr>
    </w:p>
    <w:p w14:paraId="6981032E" w14:textId="4AFBEB88" w:rsidR="00073221" w:rsidRPr="003331EF" w:rsidRDefault="00073221" w:rsidP="003331EF">
      <w:pPr>
        <w:spacing w:before="0"/>
        <w:rPr>
          <w:bCs/>
          <w:iCs/>
          <w:spacing w:val="-5"/>
        </w:rPr>
      </w:pPr>
      <w:proofErr w:type="spellStart"/>
      <w:r w:rsidRPr="003331EF">
        <w:rPr>
          <w:bCs/>
          <w:iCs/>
          <w:spacing w:val="-5"/>
        </w:rPr>
        <w:t>Krüptovarad</w:t>
      </w:r>
      <w:proofErr w:type="spellEnd"/>
      <w:r w:rsidRPr="003331EF">
        <w:rPr>
          <w:bCs/>
          <w:iCs/>
          <w:spacing w:val="-5"/>
        </w:rPr>
        <w:t xml:space="preserve"> on Eesti õiguses </w:t>
      </w:r>
      <w:r w:rsidR="00124A4F" w:rsidRPr="003331EF">
        <w:rPr>
          <w:bCs/>
          <w:iCs/>
          <w:spacing w:val="-5"/>
        </w:rPr>
        <w:t xml:space="preserve">seni </w:t>
      </w:r>
      <w:r w:rsidRPr="003331EF">
        <w:rPr>
          <w:bCs/>
          <w:iCs/>
          <w:spacing w:val="-5"/>
        </w:rPr>
        <w:t xml:space="preserve">defineerimata mõiste, kuid </w:t>
      </w:r>
      <w:proofErr w:type="spellStart"/>
      <w:r w:rsidRPr="003331EF">
        <w:rPr>
          <w:bCs/>
          <w:iCs/>
          <w:spacing w:val="-5"/>
        </w:rPr>
        <w:t>krüptovarade</w:t>
      </w:r>
      <w:proofErr w:type="spellEnd"/>
      <w:r w:rsidRPr="003331EF">
        <w:rPr>
          <w:bCs/>
          <w:iCs/>
          <w:spacing w:val="-5"/>
        </w:rPr>
        <w:t xml:space="preserve"> alla võib tinglikult liigitada kõiki instrumente, mis on esitatud </w:t>
      </w:r>
      <w:proofErr w:type="spellStart"/>
      <w:r w:rsidRPr="003331EF">
        <w:rPr>
          <w:bCs/>
          <w:iCs/>
          <w:spacing w:val="-5"/>
        </w:rPr>
        <w:t>krüptograafilisel</w:t>
      </w:r>
      <w:proofErr w:type="spellEnd"/>
      <w:r w:rsidRPr="003331EF">
        <w:rPr>
          <w:bCs/>
          <w:iCs/>
          <w:spacing w:val="-5"/>
        </w:rPr>
        <w:t xml:space="preserve"> kujul. </w:t>
      </w:r>
    </w:p>
    <w:p w14:paraId="1563E9B5" w14:textId="77777777" w:rsidR="00073221" w:rsidRPr="003331EF" w:rsidRDefault="00073221" w:rsidP="003331EF">
      <w:pPr>
        <w:spacing w:before="0"/>
      </w:pPr>
    </w:p>
    <w:tbl>
      <w:tblPr>
        <w:tblW w:w="9072" w:type="dxa"/>
        <w:tblInd w:w="-5" w:type="dxa"/>
        <w:tblLook w:val="04A0" w:firstRow="1" w:lastRow="0" w:firstColumn="1" w:lastColumn="0" w:noHBand="0" w:noVBand="1"/>
      </w:tblPr>
      <w:tblGrid>
        <w:gridCol w:w="3261"/>
        <w:gridCol w:w="2976"/>
        <w:gridCol w:w="2835"/>
      </w:tblGrid>
      <w:tr w:rsidR="003331EF" w:rsidRPr="003331EF" w14:paraId="01E68260" w14:textId="77777777" w:rsidTr="004459FD">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10962B" w14:textId="77777777" w:rsidR="00073221" w:rsidRPr="003331EF" w:rsidRDefault="00073221" w:rsidP="003331EF">
            <w:pPr>
              <w:spacing w:before="0"/>
              <w:jc w:val="center"/>
              <w:rPr>
                <w:b/>
                <w:bCs/>
                <w:i/>
                <w:iCs/>
                <w:sz w:val="20"/>
                <w:szCs w:val="20"/>
                <w:lang w:eastAsia="en-US"/>
              </w:rPr>
            </w:pPr>
            <w:proofErr w:type="spellStart"/>
            <w:r w:rsidRPr="003331EF">
              <w:rPr>
                <w:b/>
                <w:bCs/>
                <w:i/>
                <w:iCs/>
                <w:sz w:val="20"/>
                <w:szCs w:val="20"/>
                <w:lang w:eastAsia="en-US"/>
              </w:rPr>
              <w:t>Maksetokenid</w:t>
            </w:r>
            <w:proofErr w:type="spellEnd"/>
            <w:r w:rsidRPr="003331EF">
              <w:rPr>
                <w:b/>
                <w:bCs/>
                <w:i/>
                <w:iCs/>
                <w:sz w:val="20"/>
                <w:szCs w:val="20"/>
                <w:lang w:eastAsia="en-US"/>
              </w:rPr>
              <w:t xml:space="preserve"> (eelkõige virtuaalvääringud)</w:t>
            </w:r>
          </w:p>
        </w:tc>
        <w:tc>
          <w:tcPr>
            <w:tcW w:w="29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5DD5E6" w14:textId="77777777" w:rsidR="00073221" w:rsidRPr="003331EF" w:rsidRDefault="00073221" w:rsidP="003331EF">
            <w:pPr>
              <w:spacing w:before="0"/>
              <w:jc w:val="center"/>
              <w:rPr>
                <w:b/>
                <w:bCs/>
                <w:i/>
                <w:iCs/>
                <w:sz w:val="20"/>
                <w:szCs w:val="20"/>
                <w:lang w:eastAsia="en-US"/>
              </w:rPr>
            </w:pPr>
            <w:r w:rsidRPr="003331EF">
              <w:rPr>
                <w:b/>
                <w:bCs/>
                <w:i/>
                <w:iCs/>
                <w:sz w:val="20"/>
                <w:szCs w:val="20"/>
                <w:lang w:eastAsia="en-US"/>
              </w:rPr>
              <w:t xml:space="preserve">Investeerimislaadsed </w:t>
            </w:r>
            <w:proofErr w:type="spellStart"/>
            <w:r w:rsidRPr="003331EF">
              <w:rPr>
                <w:b/>
                <w:bCs/>
                <w:i/>
                <w:iCs/>
                <w:sz w:val="20"/>
                <w:szCs w:val="20"/>
                <w:lang w:eastAsia="en-US"/>
              </w:rPr>
              <w:t>tokenid</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E3B012" w14:textId="77777777" w:rsidR="00073221" w:rsidRPr="003331EF" w:rsidRDefault="00073221" w:rsidP="003331EF">
            <w:pPr>
              <w:spacing w:before="0"/>
              <w:jc w:val="center"/>
              <w:rPr>
                <w:b/>
                <w:bCs/>
                <w:i/>
                <w:iCs/>
                <w:sz w:val="20"/>
                <w:szCs w:val="20"/>
                <w:lang w:eastAsia="en-US"/>
              </w:rPr>
            </w:pPr>
            <w:proofErr w:type="spellStart"/>
            <w:r w:rsidRPr="003331EF">
              <w:rPr>
                <w:b/>
                <w:bCs/>
                <w:i/>
                <w:iCs/>
                <w:sz w:val="20"/>
                <w:szCs w:val="20"/>
                <w:lang w:eastAsia="en-US"/>
              </w:rPr>
              <w:t>Kasutustokenid</w:t>
            </w:r>
            <w:proofErr w:type="spellEnd"/>
          </w:p>
        </w:tc>
      </w:tr>
      <w:tr w:rsidR="003331EF" w:rsidRPr="003331EF" w14:paraId="1B2E1C90" w14:textId="77777777" w:rsidTr="004459FD">
        <w:tc>
          <w:tcPr>
            <w:tcW w:w="3261" w:type="dxa"/>
            <w:tcBorders>
              <w:top w:val="single" w:sz="4" w:space="0" w:color="auto"/>
              <w:left w:val="single" w:sz="4" w:space="0" w:color="auto"/>
              <w:bottom w:val="single" w:sz="4" w:space="0" w:color="auto"/>
              <w:right w:val="single" w:sz="4" w:space="0" w:color="auto"/>
            </w:tcBorders>
          </w:tcPr>
          <w:p w14:paraId="03245C91" w14:textId="77777777" w:rsidR="00073221" w:rsidRPr="003331EF" w:rsidRDefault="00073221" w:rsidP="003331EF">
            <w:pPr>
              <w:spacing w:before="0"/>
              <w:rPr>
                <w:i/>
                <w:iCs/>
                <w:sz w:val="20"/>
                <w:szCs w:val="20"/>
                <w:lang w:eastAsia="en-US"/>
              </w:rPr>
            </w:pPr>
            <w:r w:rsidRPr="003331EF">
              <w:rPr>
                <w:i/>
                <w:iCs/>
                <w:sz w:val="20"/>
                <w:szCs w:val="20"/>
                <w:lang w:eastAsia="en-US"/>
              </w:rPr>
              <w:t xml:space="preserve">Eeskätt maksete tegemiseks või väärtuse ülekandmiseks kasutatavad </w:t>
            </w:r>
            <w:proofErr w:type="spellStart"/>
            <w:r w:rsidRPr="003331EF">
              <w:rPr>
                <w:i/>
                <w:iCs/>
                <w:sz w:val="20"/>
                <w:szCs w:val="20"/>
                <w:lang w:eastAsia="en-US"/>
              </w:rPr>
              <w:t>krüptovarad</w:t>
            </w:r>
            <w:proofErr w:type="spellEnd"/>
            <w:r w:rsidRPr="003331EF">
              <w:rPr>
                <w:i/>
                <w:iCs/>
                <w:sz w:val="20"/>
                <w:szCs w:val="20"/>
                <w:lang w:eastAsia="en-US"/>
              </w:rPr>
              <w:t xml:space="preserve">, millega tavaliselt ei kaasne õigusi </w:t>
            </w:r>
            <w:proofErr w:type="spellStart"/>
            <w:r w:rsidRPr="003331EF">
              <w:rPr>
                <w:i/>
                <w:iCs/>
                <w:sz w:val="20"/>
                <w:szCs w:val="20"/>
                <w:lang w:eastAsia="en-US"/>
              </w:rPr>
              <w:t>tokeni</w:t>
            </w:r>
            <w:proofErr w:type="spellEnd"/>
            <w:r w:rsidRPr="003331EF">
              <w:rPr>
                <w:i/>
                <w:iCs/>
                <w:sz w:val="20"/>
                <w:szCs w:val="20"/>
                <w:lang w:eastAsia="en-US"/>
              </w:rPr>
              <w:t xml:space="preserve"> väljastaja enda või tema poolt pakutava toote või teenuse suhtes (erinevalt investeerimis- või </w:t>
            </w:r>
            <w:proofErr w:type="spellStart"/>
            <w:r w:rsidRPr="003331EF">
              <w:rPr>
                <w:i/>
                <w:iCs/>
                <w:sz w:val="20"/>
                <w:szCs w:val="20"/>
                <w:lang w:eastAsia="en-US"/>
              </w:rPr>
              <w:t>kasutustoken’itest</w:t>
            </w:r>
            <w:proofErr w:type="spellEnd"/>
            <w:r w:rsidRPr="003331EF">
              <w:rPr>
                <w:i/>
                <w:iCs/>
                <w:sz w:val="20"/>
                <w:szCs w:val="20"/>
                <w:lang w:eastAsia="en-US"/>
              </w:rPr>
              <w:t xml:space="preserve">). Teisisõnu kasutatakse virtuaalvääringuid pigem vahetusvääringuna (nt kaupade/ teenuste müümiseks või ostmiseks kellegi käest, kes ise ei ole </w:t>
            </w:r>
            <w:proofErr w:type="spellStart"/>
            <w:r w:rsidRPr="003331EF">
              <w:rPr>
                <w:i/>
                <w:iCs/>
                <w:sz w:val="20"/>
                <w:szCs w:val="20"/>
                <w:lang w:eastAsia="en-US"/>
              </w:rPr>
              <w:t>tokenite</w:t>
            </w:r>
            <w:proofErr w:type="spellEnd"/>
            <w:r w:rsidRPr="003331EF">
              <w:rPr>
                <w:i/>
                <w:iCs/>
                <w:sz w:val="20"/>
                <w:szCs w:val="20"/>
                <w:lang w:eastAsia="en-US"/>
              </w:rPr>
              <w:t xml:space="preserve"> väljastaja) või ka investeerimise eesmärgil läbi </w:t>
            </w:r>
            <w:proofErr w:type="spellStart"/>
            <w:r w:rsidRPr="003331EF">
              <w:rPr>
                <w:i/>
                <w:iCs/>
                <w:sz w:val="20"/>
                <w:szCs w:val="20"/>
                <w:lang w:eastAsia="en-US"/>
              </w:rPr>
              <w:t>tokeni</w:t>
            </w:r>
            <w:proofErr w:type="spellEnd"/>
            <w:r w:rsidRPr="003331EF">
              <w:rPr>
                <w:i/>
                <w:iCs/>
                <w:sz w:val="20"/>
                <w:szCs w:val="20"/>
                <w:lang w:eastAsia="en-US"/>
              </w:rPr>
              <w:t xml:space="preserve"> enda väärtuse säilitamise/suurendamise. </w:t>
            </w:r>
          </w:p>
          <w:p w14:paraId="69FBCDFB" w14:textId="77777777" w:rsidR="00997B26" w:rsidRPr="003331EF" w:rsidRDefault="00997B26" w:rsidP="003331EF">
            <w:pPr>
              <w:spacing w:before="0"/>
              <w:rPr>
                <w:i/>
                <w:iCs/>
                <w:sz w:val="20"/>
                <w:szCs w:val="20"/>
                <w:lang w:eastAsia="en-US"/>
              </w:rPr>
            </w:pPr>
          </w:p>
          <w:p w14:paraId="24FFE94B" w14:textId="77777777" w:rsidR="00073221" w:rsidRPr="003331EF" w:rsidRDefault="00073221" w:rsidP="003331EF">
            <w:pPr>
              <w:spacing w:before="0"/>
              <w:rPr>
                <w:i/>
                <w:iCs/>
                <w:sz w:val="20"/>
                <w:szCs w:val="20"/>
                <w:lang w:eastAsia="en-US"/>
              </w:rPr>
            </w:pPr>
            <w:r w:rsidRPr="003331EF">
              <w:rPr>
                <w:i/>
                <w:iCs/>
                <w:sz w:val="20"/>
                <w:szCs w:val="20"/>
                <w:lang w:eastAsia="en-US"/>
              </w:rPr>
              <w:t xml:space="preserve">Tuntum ja esimene näide on </w:t>
            </w:r>
            <w:proofErr w:type="spellStart"/>
            <w:r w:rsidRPr="003331EF">
              <w:rPr>
                <w:i/>
                <w:iCs/>
                <w:sz w:val="20"/>
                <w:szCs w:val="20"/>
                <w:lang w:eastAsia="en-US"/>
              </w:rPr>
              <w:t>bitcoin</w:t>
            </w:r>
            <w:proofErr w:type="spellEnd"/>
            <w:r w:rsidRPr="003331EF">
              <w:rPr>
                <w:i/>
                <w:iCs/>
                <w:sz w:val="20"/>
                <w:szCs w:val="20"/>
                <w:lang w:eastAsia="en-US"/>
              </w:rPr>
              <w:t xml:space="preserve">. Uuem nähtus on „varaga tagatud </w:t>
            </w:r>
            <w:proofErr w:type="spellStart"/>
            <w:r w:rsidRPr="003331EF">
              <w:rPr>
                <w:i/>
                <w:iCs/>
                <w:sz w:val="20"/>
                <w:szCs w:val="20"/>
                <w:lang w:eastAsia="en-US"/>
              </w:rPr>
              <w:t>token</w:t>
            </w:r>
            <w:proofErr w:type="spellEnd"/>
            <w:r w:rsidRPr="003331EF">
              <w:rPr>
                <w:i/>
                <w:iCs/>
                <w:sz w:val="20"/>
                <w:szCs w:val="20"/>
                <w:lang w:eastAsia="en-US"/>
              </w:rPr>
              <w:t xml:space="preserve">“, mis on suhteliselt uus vorm viis maksmiseks ja mis on tagatud teatud varaga (riiklik valuuta, kaup või toorme, või ka teine </w:t>
            </w:r>
            <w:proofErr w:type="spellStart"/>
            <w:r w:rsidRPr="003331EF">
              <w:rPr>
                <w:i/>
                <w:iCs/>
                <w:sz w:val="20"/>
                <w:szCs w:val="20"/>
                <w:lang w:eastAsia="en-US"/>
              </w:rPr>
              <w:t>krüptovara</w:t>
            </w:r>
            <w:proofErr w:type="spellEnd"/>
            <w:r w:rsidRPr="003331EF">
              <w:rPr>
                <w:i/>
                <w:iCs/>
                <w:sz w:val="20"/>
                <w:szCs w:val="20"/>
                <w:lang w:eastAsia="en-US"/>
              </w:rPr>
              <w:t>).</w:t>
            </w:r>
          </w:p>
        </w:tc>
        <w:tc>
          <w:tcPr>
            <w:tcW w:w="2976" w:type="dxa"/>
            <w:tcBorders>
              <w:top w:val="single" w:sz="4" w:space="0" w:color="auto"/>
              <w:left w:val="single" w:sz="4" w:space="0" w:color="auto"/>
              <w:bottom w:val="single" w:sz="4" w:space="0" w:color="auto"/>
              <w:right w:val="single" w:sz="4" w:space="0" w:color="auto"/>
            </w:tcBorders>
          </w:tcPr>
          <w:p w14:paraId="08A598B8" w14:textId="77777777" w:rsidR="00073221" w:rsidRPr="003331EF" w:rsidRDefault="00073221" w:rsidP="003331EF">
            <w:pPr>
              <w:spacing w:before="0"/>
              <w:rPr>
                <w:i/>
                <w:iCs/>
                <w:sz w:val="20"/>
                <w:szCs w:val="20"/>
                <w:lang w:eastAsia="en-US"/>
              </w:rPr>
            </w:pPr>
            <w:r w:rsidRPr="003331EF">
              <w:rPr>
                <w:i/>
                <w:iCs/>
                <w:sz w:val="20"/>
                <w:szCs w:val="20"/>
                <w:lang w:eastAsia="en-US"/>
              </w:rPr>
              <w:t xml:space="preserve">Selliseid instrumente võib pidada väärtpaberiteks või väärtpaberitega sarnanevateks instrumentideks, mis annavad </w:t>
            </w:r>
            <w:proofErr w:type="spellStart"/>
            <w:r w:rsidRPr="003331EF">
              <w:rPr>
                <w:i/>
                <w:iCs/>
                <w:sz w:val="20"/>
                <w:szCs w:val="20"/>
                <w:lang w:eastAsia="en-US"/>
              </w:rPr>
              <w:t>tokeni</w:t>
            </w:r>
            <w:proofErr w:type="spellEnd"/>
            <w:r w:rsidRPr="003331EF">
              <w:rPr>
                <w:i/>
                <w:iCs/>
                <w:sz w:val="20"/>
                <w:szCs w:val="20"/>
                <w:lang w:eastAsia="en-US"/>
              </w:rPr>
              <w:t xml:space="preserve"> omanikele hääle-, kasumi jaotamise- või muid õigusi, mida tavapäraselt seostatakse aktsia või osaühingu osa omamisega. </w:t>
            </w:r>
          </w:p>
          <w:p w14:paraId="53E078B3" w14:textId="77777777" w:rsidR="00073221" w:rsidRPr="003331EF" w:rsidRDefault="00073221" w:rsidP="003331EF">
            <w:pPr>
              <w:spacing w:before="0"/>
              <w:rPr>
                <w:i/>
                <w:iCs/>
                <w:sz w:val="20"/>
                <w:szCs w:val="20"/>
                <w:lang w:eastAsia="en-US"/>
              </w:rPr>
            </w:pPr>
          </w:p>
          <w:p w14:paraId="65834B29" w14:textId="77777777" w:rsidR="00073221" w:rsidRPr="003331EF" w:rsidRDefault="00073221" w:rsidP="003331EF">
            <w:pPr>
              <w:spacing w:before="0"/>
              <w:rPr>
                <w:i/>
                <w:iCs/>
                <w:sz w:val="20"/>
                <w:szCs w:val="20"/>
                <w:lang w:eastAsia="en-US"/>
              </w:rPr>
            </w:pPr>
          </w:p>
          <w:p w14:paraId="78E73F74" w14:textId="77777777" w:rsidR="00073221" w:rsidRPr="003331EF" w:rsidRDefault="00073221" w:rsidP="003331EF">
            <w:pPr>
              <w:spacing w:before="0"/>
              <w:rPr>
                <w:i/>
                <w:iCs/>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5A7A43FE" w14:textId="77777777" w:rsidR="00073221" w:rsidRPr="003331EF" w:rsidRDefault="00073221" w:rsidP="003331EF">
            <w:pPr>
              <w:spacing w:before="0"/>
              <w:rPr>
                <w:i/>
                <w:iCs/>
                <w:sz w:val="20"/>
                <w:szCs w:val="20"/>
                <w:lang w:eastAsia="en-US"/>
              </w:rPr>
            </w:pPr>
            <w:r w:rsidRPr="003331EF">
              <w:rPr>
                <w:i/>
                <w:iCs/>
                <w:sz w:val="20"/>
                <w:szCs w:val="20"/>
                <w:lang w:eastAsia="en-US"/>
              </w:rPr>
              <w:t xml:space="preserve">Üldiselt võimaldavad sellised </w:t>
            </w:r>
            <w:proofErr w:type="spellStart"/>
            <w:r w:rsidRPr="003331EF">
              <w:rPr>
                <w:i/>
                <w:iCs/>
                <w:sz w:val="20"/>
                <w:szCs w:val="20"/>
                <w:lang w:eastAsia="en-US"/>
              </w:rPr>
              <w:t>krüptovarad</w:t>
            </w:r>
            <w:proofErr w:type="spellEnd"/>
            <w:r w:rsidRPr="003331EF">
              <w:rPr>
                <w:i/>
                <w:iCs/>
                <w:sz w:val="20"/>
                <w:szCs w:val="20"/>
                <w:lang w:eastAsia="en-US"/>
              </w:rPr>
              <w:t xml:space="preserve"> juurdepääsu konkreetsele tootele või teenusele, mida sageli pakutakse kasutades hajusraamatu platvormi, kuid mida ei aktsepteerita kui maksevahendit. </w:t>
            </w:r>
          </w:p>
          <w:p w14:paraId="1F8F550C" w14:textId="77777777" w:rsidR="00073221" w:rsidRPr="003331EF" w:rsidRDefault="00073221" w:rsidP="003331EF">
            <w:pPr>
              <w:spacing w:before="0"/>
              <w:rPr>
                <w:i/>
                <w:iCs/>
                <w:sz w:val="20"/>
                <w:szCs w:val="20"/>
                <w:lang w:eastAsia="en-US"/>
              </w:rPr>
            </w:pPr>
          </w:p>
          <w:p w14:paraId="58BE64CE" w14:textId="77777777" w:rsidR="00073221" w:rsidRPr="003331EF" w:rsidRDefault="00073221" w:rsidP="003331EF">
            <w:pPr>
              <w:spacing w:before="0"/>
              <w:rPr>
                <w:i/>
                <w:iCs/>
                <w:sz w:val="20"/>
                <w:szCs w:val="20"/>
                <w:lang w:eastAsia="en-US"/>
              </w:rPr>
            </w:pPr>
          </w:p>
        </w:tc>
      </w:tr>
    </w:tbl>
    <w:p w14:paraId="3976ACD8" w14:textId="77777777" w:rsidR="00534F9D" w:rsidRPr="003331EF" w:rsidRDefault="00534F9D" w:rsidP="003331EF">
      <w:pPr>
        <w:spacing w:before="0"/>
        <w:rPr>
          <w:b/>
        </w:rPr>
      </w:pPr>
    </w:p>
    <w:p w14:paraId="530A7F1A" w14:textId="31FEB13F" w:rsidR="00073221" w:rsidRPr="003331EF" w:rsidRDefault="004A38A8" w:rsidP="003331EF">
      <w:pPr>
        <w:spacing w:before="0"/>
      </w:pPr>
      <w:r w:rsidRPr="003331EF">
        <w:rPr>
          <w:b/>
        </w:rPr>
        <w:t xml:space="preserve">Tabel </w:t>
      </w:r>
      <w:r w:rsidR="001A31B6" w:rsidRPr="003331EF">
        <w:rPr>
          <w:b/>
        </w:rPr>
        <w:t>1</w:t>
      </w:r>
      <w:r w:rsidRPr="003331EF">
        <w:rPr>
          <w:b/>
        </w:rPr>
        <w:t xml:space="preserve">. </w:t>
      </w:r>
      <w:r w:rsidRPr="003331EF">
        <w:rPr>
          <w:bCs/>
          <w:iCs/>
          <w:spacing w:val="-5"/>
          <w:lang w:eastAsia="en-US"/>
        </w:rPr>
        <w:t xml:space="preserve">Erinevate </w:t>
      </w:r>
      <w:proofErr w:type="spellStart"/>
      <w:r w:rsidRPr="003331EF">
        <w:rPr>
          <w:bCs/>
          <w:iCs/>
          <w:spacing w:val="-5"/>
          <w:lang w:eastAsia="en-US"/>
        </w:rPr>
        <w:t>krüptovarade</w:t>
      </w:r>
      <w:proofErr w:type="spellEnd"/>
      <w:r w:rsidRPr="003331EF">
        <w:rPr>
          <w:bCs/>
          <w:iCs/>
          <w:spacing w:val="-5"/>
          <w:lang w:eastAsia="en-US"/>
        </w:rPr>
        <w:t xml:space="preserve"> (</w:t>
      </w:r>
      <w:proofErr w:type="spellStart"/>
      <w:r w:rsidRPr="003331EF">
        <w:rPr>
          <w:bCs/>
          <w:iCs/>
          <w:spacing w:val="-5"/>
          <w:lang w:eastAsia="en-US"/>
        </w:rPr>
        <w:t>tokenite</w:t>
      </w:r>
      <w:proofErr w:type="spellEnd"/>
      <w:r w:rsidRPr="003331EF">
        <w:rPr>
          <w:bCs/>
          <w:iCs/>
          <w:spacing w:val="-5"/>
          <w:lang w:eastAsia="en-US"/>
        </w:rPr>
        <w:t>) klassifitseerimine üldistatud kujul</w:t>
      </w:r>
      <w:r w:rsidRPr="003331EF">
        <w:rPr>
          <w:bCs/>
          <w:iCs/>
          <w:spacing w:val="-5"/>
          <w:vertAlign w:val="superscript"/>
          <w:lang w:eastAsia="en-US"/>
        </w:rPr>
        <w:footnoteReference w:id="12"/>
      </w:r>
    </w:p>
    <w:p w14:paraId="2523BCE1" w14:textId="77777777" w:rsidR="004A38A8" w:rsidRPr="003331EF" w:rsidRDefault="004A38A8" w:rsidP="003331EF">
      <w:pPr>
        <w:spacing w:before="0"/>
      </w:pPr>
    </w:p>
    <w:p w14:paraId="22EA0F7C" w14:textId="3E4856FB" w:rsidR="00653DFD" w:rsidRPr="003331EF" w:rsidRDefault="00653DFD" w:rsidP="003331EF">
      <w:pPr>
        <w:spacing w:before="0"/>
        <w:rPr>
          <w:bCs/>
          <w:iCs/>
          <w:spacing w:val="-5"/>
          <w:lang w:eastAsia="en-US"/>
        </w:rPr>
      </w:pPr>
      <w:r w:rsidRPr="003331EF">
        <w:rPr>
          <w:bCs/>
          <w:iCs/>
          <w:spacing w:val="-5"/>
          <w:lang w:eastAsia="en-US"/>
        </w:rPr>
        <w:t xml:space="preserve">Kõigi kolme </w:t>
      </w:r>
      <w:proofErr w:type="spellStart"/>
      <w:r w:rsidRPr="003331EF">
        <w:rPr>
          <w:bCs/>
          <w:iCs/>
          <w:spacing w:val="-5"/>
          <w:lang w:eastAsia="en-US"/>
        </w:rPr>
        <w:t>tokeni</w:t>
      </w:r>
      <w:proofErr w:type="spellEnd"/>
      <w:r w:rsidRPr="003331EF">
        <w:rPr>
          <w:bCs/>
          <w:iCs/>
          <w:spacing w:val="-5"/>
          <w:lang w:eastAsia="en-US"/>
        </w:rPr>
        <w:t xml:space="preserve"> liigi puhul on ühendavaks jooneks tehnoloogiast tulenevad riskid, mida kehtiv õigus ei kajasta. Seega võib regulatsiooni täiendamise seisukohalt olulise kohana välja tuua sellekohase lünga, mis vajab täpsustamist. </w:t>
      </w:r>
    </w:p>
    <w:p w14:paraId="2FB08BA5" w14:textId="77777777" w:rsidR="00653DFD" w:rsidRDefault="00653DFD" w:rsidP="003331EF">
      <w:pPr>
        <w:spacing w:before="0"/>
      </w:pPr>
    </w:p>
    <w:p w14:paraId="5B374AD6" w14:textId="77777777" w:rsidR="00C617C8" w:rsidRDefault="00C617C8" w:rsidP="003331EF">
      <w:pPr>
        <w:spacing w:before="0"/>
      </w:pPr>
    </w:p>
    <w:p w14:paraId="4E21DF1E" w14:textId="77777777" w:rsidR="00C617C8" w:rsidRDefault="00C617C8" w:rsidP="003331EF">
      <w:pPr>
        <w:spacing w:before="0"/>
      </w:pPr>
    </w:p>
    <w:p w14:paraId="3CDE490F" w14:textId="77777777" w:rsidR="00C617C8" w:rsidRPr="003331EF" w:rsidRDefault="00C617C8" w:rsidP="003331EF">
      <w:pPr>
        <w:spacing w:before="0"/>
      </w:pPr>
    </w:p>
    <w:p w14:paraId="54BAEA87" w14:textId="4B22926A" w:rsidR="00073221" w:rsidRPr="003331EF" w:rsidRDefault="00073221" w:rsidP="003331EF">
      <w:pPr>
        <w:pStyle w:val="Loendilik"/>
        <w:numPr>
          <w:ilvl w:val="0"/>
          <w:numId w:val="40"/>
        </w:numPr>
        <w:rPr>
          <w:b/>
          <w:bCs/>
        </w:rPr>
      </w:pPr>
      <w:r w:rsidRPr="003331EF">
        <w:rPr>
          <w:b/>
          <w:bCs/>
        </w:rPr>
        <w:lastRenderedPageBreak/>
        <w:t xml:space="preserve"> Virtuaalvääringud ja nendega seotud teenused</w:t>
      </w:r>
    </w:p>
    <w:p w14:paraId="3D750FD4" w14:textId="77777777" w:rsidR="00997B26" w:rsidRPr="003331EF" w:rsidRDefault="00997B26" w:rsidP="003331EF">
      <w:pPr>
        <w:pStyle w:val="Loendilik"/>
        <w:ind w:left="360"/>
        <w:rPr>
          <w:b/>
          <w:bCs/>
        </w:rPr>
      </w:pPr>
    </w:p>
    <w:p w14:paraId="3653B880" w14:textId="4F8283E0" w:rsidR="00A633D7" w:rsidRPr="003331EF" w:rsidRDefault="00A633D7" w:rsidP="003331EF">
      <w:pPr>
        <w:spacing w:before="0"/>
        <w:rPr>
          <w:bCs/>
          <w:iCs/>
          <w:spacing w:val="-5"/>
          <w:lang w:eastAsia="en-US"/>
        </w:rPr>
      </w:pPr>
      <w:r w:rsidRPr="003331EF">
        <w:rPr>
          <w:bCs/>
          <w:iCs/>
          <w:spacing w:val="-5"/>
          <w:lang w:eastAsia="en-US"/>
        </w:rPr>
        <w:t xml:space="preserve">Virtuaalvääringu teenuse pakkumise tegevusalas on kõrgendatud rahapesu ja terrorismi rahastamise risk, mille realiseerumine õõnestaks Eesti majandussüsteemi tervikuna. Riskide maandamiseks on virtuaalvääringu teenuse pakkumise suhtes </w:t>
      </w:r>
      <w:proofErr w:type="spellStart"/>
      <w:r w:rsidR="006B2A40" w:rsidRPr="003331EF">
        <w:rPr>
          <w:bCs/>
          <w:iCs/>
          <w:spacing w:val="-5"/>
          <w:lang w:eastAsia="en-US"/>
        </w:rPr>
        <w:t>RahaPTS</w:t>
      </w:r>
      <w:r w:rsidR="009B5621" w:rsidRPr="003331EF">
        <w:rPr>
          <w:bCs/>
          <w:iCs/>
          <w:spacing w:val="-5"/>
          <w:lang w:eastAsia="en-US"/>
        </w:rPr>
        <w:t>-is</w:t>
      </w:r>
      <w:proofErr w:type="spellEnd"/>
      <w:r w:rsidR="006B2A40" w:rsidRPr="003331EF">
        <w:rPr>
          <w:bCs/>
          <w:iCs/>
          <w:spacing w:val="-5"/>
          <w:lang w:eastAsia="en-US"/>
        </w:rPr>
        <w:t xml:space="preserve"> </w:t>
      </w:r>
      <w:r w:rsidRPr="003331EF">
        <w:rPr>
          <w:bCs/>
          <w:iCs/>
          <w:spacing w:val="-5"/>
          <w:lang w:eastAsia="en-US"/>
        </w:rPr>
        <w:t>kehtestatud tegevusloa nõu</w:t>
      </w:r>
      <w:r w:rsidR="006B2A40" w:rsidRPr="003331EF">
        <w:rPr>
          <w:bCs/>
          <w:iCs/>
          <w:spacing w:val="-5"/>
          <w:lang w:eastAsia="en-US"/>
        </w:rPr>
        <w:t>e</w:t>
      </w:r>
      <w:r w:rsidRPr="003331EF">
        <w:rPr>
          <w:bCs/>
          <w:iCs/>
          <w:spacing w:val="-5"/>
          <w:lang w:eastAsia="en-US"/>
        </w:rPr>
        <w:t xml:space="preserve">. </w:t>
      </w:r>
      <w:r w:rsidR="00073221" w:rsidRPr="003331EF">
        <w:rPr>
          <w:bCs/>
          <w:iCs/>
          <w:spacing w:val="-5"/>
          <w:lang w:eastAsia="en-US"/>
        </w:rPr>
        <w:t xml:space="preserve">Rahapesu andmebüroo väljastab alates 27.11.2017 tegevuslubasid Eestis virtuaalvääringu teenuse pakkumiseks. </w:t>
      </w:r>
    </w:p>
    <w:p w14:paraId="762CB384" w14:textId="77777777" w:rsidR="00A633D7" w:rsidRPr="003331EF" w:rsidRDefault="00A633D7" w:rsidP="003331EF">
      <w:pPr>
        <w:spacing w:before="0"/>
        <w:rPr>
          <w:bCs/>
          <w:iCs/>
          <w:spacing w:val="-5"/>
          <w:lang w:eastAsia="en-US"/>
        </w:rPr>
      </w:pPr>
    </w:p>
    <w:p w14:paraId="21C40DF8" w14:textId="44D9E4D6" w:rsidR="00073221" w:rsidRPr="003331EF" w:rsidRDefault="00073221" w:rsidP="003331EF">
      <w:pPr>
        <w:spacing w:before="0"/>
        <w:rPr>
          <w:bCs/>
          <w:iCs/>
          <w:spacing w:val="-5"/>
          <w:lang w:eastAsia="en-US"/>
        </w:rPr>
      </w:pPr>
      <w:r w:rsidRPr="003331EF">
        <w:rPr>
          <w:bCs/>
          <w:iCs/>
          <w:spacing w:val="-5"/>
          <w:lang w:eastAsia="en-US"/>
        </w:rPr>
        <w:t xml:space="preserve">Virtuaalvääring on defineeritud </w:t>
      </w:r>
      <w:proofErr w:type="spellStart"/>
      <w:r w:rsidRPr="003331EF">
        <w:rPr>
          <w:bCs/>
          <w:iCs/>
          <w:spacing w:val="-5"/>
          <w:lang w:eastAsia="en-US"/>
        </w:rPr>
        <w:t>RahaPTS</w:t>
      </w:r>
      <w:proofErr w:type="spellEnd"/>
      <w:r w:rsidRPr="003331EF">
        <w:rPr>
          <w:bCs/>
          <w:iCs/>
          <w:spacing w:val="-5"/>
          <w:lang w:eastAsia="en-US"/>
        </w:rPr>
        <w:t xml:space="preserve"> § 3 punktis 9, mille kohaselt virtuaalvääring on digitaalsel kujul esitatud väärtus, mis on digitaalselt ülekantav, säilitatav või kaubeldav ja mida füüsilised või juriidilised isikud aktsepteerivad maksevahendina, kuid mis ei ole ühegi riigi seaduslik maksevahend ega rahaline vahend direktiivi (EL) 2015/2366</w:t>
      </w:r>
      <w:r w:rsidR="00A633D7" w:rsidRPr="003331EF">
        <w:rPr>
          <w:b/>
          <w:iCs/>
          <w:spacing w:val="-5"/>
          <w:vertAlign w:val="superscript"/>
          <w:lang w:eastAsia="en-US"/>
        </w:rPr>
        <w:footnoteReference w:id="13"/>
      </w:r>
      <w:r w:rsidRPr="003331EF">
        <w:rPr>
          <w:bCs/>
          <w:iCs/>
          <w:spacing w:val="-5"/>
          <w:lang w:eastAsia="en-US"/>
        </w:rPr>
        <w:t xml:space="preserve"> artikli 4 punkti 25 tähenduses ega makseinstrument või maksetehing sama direktiivi artikli 3 punktide k ja l tähenduses. </w:t>
      </w:r>
    </w:p>
    <w:p w14:paraId="74ED3198" w14:textId="77777777" w:rsidR="00997B26" w:rsidRPr="003331EF" w:rsidRDefault="00997B26" w:rsidP="003331EF">
      <w:pPr>
        <w:spacing w:before="0"/>
        <w:rPr>
          <w:bCs/>
          <w:iCs/>
          <w:spacing w:val="-5"/>
          <w:lang w:eastAsia="en-US"/>
        </w:rPr>
      </w:pPr>
    </w:p>
    <w:p w14:paraId="79589D29" w14:textId="77777777" w:rsidR="00073221" w:rsidRPr="003331EF" w:rsidRDefault="00073221" w:rsidP="003331EF">
      <w:pPr>
        <w:spacing w:before="0"/>
        <w:rPr>
          <w:bCs/>
          <w:iCs/>
          <w:spacing w:val="-5"/>
          <w:lang w:eastAsia="en-US"/>
        </w:rPr>
      </w:pPr>
      <w:r w:rsidRPr="003331EF">
        <w:rPr>
          <w:bCs/>
          <w:iCs/>
          <w:spacing w:val="-5"/>
          <w:lang w:eastAsia="en-US"/>
        </w:rPr>
        <w:t xml:space="preserve">Virtuaalvääringu teenus jaguneb kehtiva </w:t>
      </w:r>
      <w:proofErr w:type="spellStart"/>
      <w:r w:rsidRPr="003331EF">
        <w:rPr>
          <w:bCs/>
          <w:iCs/>
          <w:spacing w:val="-5"/>
          <w:lang w:eastAsia="en-US"/>
        </w:rPr>
        <w:t>RahaPTS</w:t>
      </w:r>
      <w:proofErr w:type="spellEnd"/>
      <w:r w:rsidRPr="003331EF">
        <w:rPr>
          <w:bCs/>
          <w:iCs/>
          <w:spacing w:val="-5"/>
          <w:lang w:eastAsia="en-US"/>
        </w:rPr>
        <w:t xml:space="preserve"> järgi neljaks eraldi teenuseks:</w:t>
      </w:r>
    </w:p>
    <w:p w14:paraId="0B066DD1" w14:textId="77777777" w:rsidR="00A633D7" w:rsidRPr="003331EF" w:rsidRDefault="00073221" w:rsidP="003331EF">
      <w:pPr>
        <w:numPr>
          <w:ilvl w:val="0"/>
          <w:numId w:val="13"/>
        </w:numPr>
        <w:spacing w:before="0"/>
        <w:ind w:left="284" w:right="-62" w:hanging="284"/>
        <w:contextualSpacing/>
        <w:rPr>
          <w:bCs/>
          <w:iCs/>
          <w:spacing w:val="-5"/>
          <w:lang w:eastAsia="en-US"/>
        </w:rPr>
      </w:pPr>
      <w:r w:rsidRPr="003331EF">
        <w:rPr>
          <w:bCs/>
          <w:iCs/>
          <w:spacing w:val="-5"/>
          <w:lang w:eastAsia="en-US"/>
        </w:rPr>
        <w:t>virtuaalvääringu rahakotiteenus on teenus, mille raames luuakse klientidele või hoitakse klientide krüpteeritud võtmeid, mida saab kasutada virtuaalvääringute hoidmise, talletamise ja ülekandmise eesmärgil;</w:t>
      </w:r>
    </w:p>
    <w:p w14:paraId="792CE08B" w14:textId="77777777" w:rsidR="00A633D7" w:rsidRPr="003331EF" w:rsidRDefault="00073221" w:rsidP="003331EF">
      <w:pPr>
        <w:numPr>
          <w:ilvl w:val="0"/>
          <w:numId w:val="13"/>
        </w:numPr>
        <w:spacing w:before="0"/>
        <w:ind w:left="284" w:right="-62" w:hanging="284"/>
        <w:contextualSpacing/>
        <w:rPr>
          <w:bCs/>
          <w:iCs/>
          <w:spacing w:val="-5"/>
          <w:lang w:eastAsia="en-US"/>
        </w:rPr>
      </w:pPr>
      <w:r w:rsidRPr="003331EF">
        <w:rPr>
          <w:bCs/>
          <w:iCs/>
          <w:spacing w:val="-5"/>
          <w:lang w:eastAsia="en-US"/>
        </w:rPr>
        <w:t>virtuaalvääringu vahetamise teenus on teenus, mille raames vahetab isik virtuaalvääringut raha vastu või raha virtuaalvääringu vastu või üht virtuaalvääringut teise vastu;</w:t>
      </w:r>
    </w:p>
    <w:p w14:paraId="3D27B023" w14:textId="77777777" w:rsidR="00A633D7" w:rsidRPr="003331EF" w:rsidRDefault="00073221" w:rsidP="003331EF">
      <w:pPr>
        <w:numPr>
          <w:ilvl w:val="0"/>
          <w:numId w:val="13"/>
        </w:numPr>
        <w:spacing w:before="0"/>
        <w:ind w:left="284" w:right="-62" w:hanging="284"/>
        <w:contextualSpacing/>
        <w:rPr>
          <w:bCs/>
          <w:iCs/>
          <w:spacing w:val="-5"/>
          <w:lang w:eastAsia="en-US"/>
        </w:rPr>
      </w:pPr>
      <w:r w:rsidRPr="003331EF">
        <w:rPr>
          <w:bCs/>
          <w:iCs/>
          <w:spacing w:val="-5"/>
          <w:lang w:eastAsia="en-US"/>
        </w:rPr>
        <w:t>virtuaalvääringu ülekande teenus on teenus, mis võimaldab teha vähemalt osaliselt elektrooniliselt tehingu virtuaalvääringu teenuse pakkuja kaudu algataja nimel eesmärgiga teisaldada virtuaalvääring saaja virtuaalvääringu rahakotti või -kontole, sõltumata sellest, kas tehingu algataja ja saaja on üks ja sama isik või kas tehingu algataja ja saaja kasutavad sama teenusepakkujat;</w:t>
      </w:r>
    </w:p>
    <w:p w14:paraId="4552D625" w14:textId="41B7A452" w:rsidR="00073221" w:rsidRPr="003331EF" w:rsidRDefault="00073221" w:rsidP="003331EF">
      <w:pPr>
        <w:numPr>
          <w:ilvl w:val="0"/>
          <w:numId w:val="13"/>
        </w:numPr>
        <w:spacing w:before="0"/>
        <w:ind w:left="284" w:right="-62" w:hanging="284"/>
        <w:contextualSpacing/>
        <w:rPr>
          <w:bCs/>
          <w:iCs/>
          <w:spacing w:val="-5"/>
          <w:lang w:eastAsia="en-US"/>
        </w:rPr>
      </w:pPr>
      <w:r w:rsidRPr="003331EF">
        <w:rPr>
          <w:bCs/>
          <w:iCs/>
          <w:spacing w:val="-5"/>
          <w:lang w:eastAsia="en-US"/>
        </w:rPr>
        <w:t>virtuaalvääringu väljastamisega seonduva väljastaja eest või nimel avaliku või suunatud pakkumise või müügi korraldamine või sellega seotud finantsteenuse osutamine.</w:t>
      </w:r>
    </w:p>
    <w:p w14:paraId="2EB2F5A4" w14:textId="77777777" w:rsidR="00997B26" w:rsidRPr="003331EF" w:rsidRDefault="00997B26" w:rsidP="003331EF">
      <w:pPr>
        <w:spacing w:before="0"/>
      </w:pPr>
    </w:p>
    <w:p w14:paraId="15EE326B" w14:textId="00C93827" w:rsidR="00073221" w:rsidRPr="003331EF" w:rsidRDefault="00A633D7" w:rsidP="003331EF">
      <w:pPr>
        <w:spacing w:before="0"/>
        <w:rPr>
          <w:bCs/>
          <w:iCs/>
          <w:spacing w:val="-5"/>
          <w:lang w:eastAsia="en-US"/>
        </w:rPr>
      </w:pPr>
      <w:r w:rsidRPr="003331EF">
        <w:rPr>
          <w:bCs/>
          <w:iCs/>
          <w:spacing w:val="-5"/>
          <w:lang w:eastAsia="en-US"/>
        </w:rPr>
        <w:t>Kuna lihtsalt tegevusloast ei piisa, et ohjata tegevuslubadega ettevõtete kelmuskahtlusega tegevus</w:t>
      </w:r>
      <w:r w:rsidR="001369ED" w:rsidRPr="003331EF">
        <w:rPr>
          <w:bCs/>
          <w:iCs/>
          <w:spacing w:val="-5"/>
          <w:lang w:eastAsia="en-US"/>
        </w:rPr>
        <w:t xml:space="preserve">t, on </w:t>
      </w:r>
      <w:proofErr w:type="spellStart"/>
      <w:r w:rsidR="001369ED" w:rsidRPr="003331EF">
        <w:rPr>
          <w:bCs/>
          <w:iCs/>
          <w:spacing w:val="-5"/>
          <w:lang w:eastAsia="en-US"/>
        </w:rPr>
        <w:t>RahaPTSis</w:t>
      </w:r>
      <w:proofErr w:type="spellEnd"/>
      <w:r w:rsidR="001369ED" w:rsidRPr="003331EF">
        <w:rPr>
          <w:bCs/>
          <w:iCs/>
          <w:spacing w:val="-5"/>
          <w:lang w:eastAsia="en-US"/>
        </w:rPr>
        <w:t xml:space="preserve"> täiendavalt ette nähtud nõuded, et tagada </w:t>
      </w:r>
      <w:proofErr w:type="spellStart"/>
      <w:r w:rsidR="005E7406" w:rsidRPr="003331EF">
        <w:rPr>
          <w:bCs/>
          <w:iCs/>
          <w:spacing w:val="-5"/>
          <w:lang w:eastAsia="en-US"/>
        </w:rPr>
        <w:t>VASP-ide</w:t>
      </w:r>
      <w:proofErr w:type="spellEnd"/>
      <w:r w:rsidR="001369ED" w:rsidRPr="003331EF">
        <w:rPr>
          <w:bCs/>
          <w:iCs/>
          <w:spacing w:val="-5"/>
          <w:lang w:eastAsia="en-US"/>
        </w:rPr>
        <w:t xml:space="preserve"> tegevuse läbipaistvus ja usaldusväärsus. Need nõuded on </w:t>
      </w:r>
      <w:r w:rsidRPr="003331EF">
        <w:rPr>
          <w:bCs/>
          <w:iCs/>
          <w:spacing w:val="-5"/>
          <w:lang w:eastAsia="en-US"/>
        </w:rPr>
        <w:t xml:space="preserve">analoogsed finantssektori turuosaliste suhtes kehtestatud nõuetele (näiteks krediidiasutused, kindlustusandjad). </w:t>
      </w:r>
      <w:r w:rsidR="001369ED" w:rsidRPr="003331EF">
        <w:rPr>
          <w:bCs/>
          <w:iCs/>
          <w:spacing w:val="-5"/>
          <w:lang w:eastAsia="en-US"/>
        </w:rPr>
        <w:t xml:space="preserve">Tänu vastavatele nõuetele on </w:t>
      </w:r>
      <w:r w:rsidRPr="003331EF">
        <w:rPr>
          <w:bCs/>
          <w:iCs/>
          <w:spacing w:val="-5"/>
          <w:lang w:eastAsia="en-US"/>
        </w:rPr>
        <w:t xml:space="preserve">järelevalveasutustel </w:t>
      </w:r>
      <w:r w:rsidR="00E9791D" w:rsidRPr="003331EF">
        <w:rPr>
          <w:bCs/>
          <w:iCs/>
          <w:spacing w:val="-5"/>
          <w:lang w:eastAsia="en-US"/>
        </w:rPr>
        <w:t xml:space="preserve">olnud </w:t>
      </w:r>
      <w:r w:rsidRPr="003331EF">
        <w:rPr>
          <w:bCs/>
          <w:iCs/>
          <w:spacing w:val="-5"/>
          <w:lang w:eastAsia="en-US"/>
        </w:rPr>
        <w:t xml:space="preserve">rohkem informatsiooni virtuaalvääringu teenuse pakkumise tegevusluba taotlevate ja omavate ettevõtjate kohta, et teha informeeritud otsuseid tegevusloa andmise, andmata jätmise või kehtetuks tunnistamise osas. Tegevusloa kehtivuse ajal tagavad uued nõuded </w:t>
      </w:r>
      <w:proofErr w:type="spellStart"/>
      <w:r w:rsidR="005E7406" w:rsidRPr="003331EF">
        <w:rPr>
          <w:bCs/>
          <w:iCs/>
          <w:spacing w:val="-5"/>
          <w:lang w:eastAsia="en-US"/>
        </w:rPr>
        <w:t>VASP-i</w:t>
      </w:r>
      <w:proofErr w:type="spellEnd"/>
      <w:r w:rsidRPr="003331EF">
        <w:rPr>
          <w:bCs/>
          <w:iCs/>
          <w:spacing w:val="-5"/>
          <w:lang w:eastAsia="en-US"/>
        </w:rPr>
        <w:t xml:space="preserve"> kapitaliseerituse ja kompetentse juhtimise. </w:t>
      </w:r>
    </w:p>
    <w:p w14:paraId="5C215F29" w14:textId="77777777" w:rsidR="00A633D7" w:rsidRPr="003331EF" w:rsidRDefault="00A633D7" w:rsidP="003331EF">
      <w:pPr>
        <w:spacing w:before="0"/>
      </w:pPr>
    </w:p>
    <w:p w14:paraId="6E10F8B4" w14:textId="6F001B61" w:rsidR="00073221" w:rsidRPr="003331EF" w:rsidRDefault="00073221" w:rsidP="003331EF">
      <w:pPr>
        <w:pStyle w:val="Loendilik"/>
        <w:numPr>
          <w:ilvl w:val="0"/>
          <w:numId w:val="40"/>
        </w:numPr>
        <w:rPr>
          <w:b/>
          <w:bCs/>
        </w:rPr>
      </w:pPr>
      <w:r w:rsidRPr="003331EF">
        <w:rPr>
          <w:b/>
          <w:bCs/>
        </w:rPr>
        <w:t xml:space="preserve">Investeerimise eesmärki kandvad </w:t>
      </w:r>
      <w:proofErr w:type="spellStart"/>
      <w:r w:rsidRPr="003331EF">
        <w:rPr>
          <w:b/>
          <w:bCs/>
        </w:rPr>
        <w:t>krüptovarad</w:t>
      </w:r>
      <w:proofErr w:type="spellEnd"/>
    </w:p>
    <w:p w14:paraId="6B8BCD80" w14:textId="77777777" w:rsidR="00653DFD" w:rsidRPr="003331EF" w:rsidRDefault="00653DFD" w:rsidP="003331EF">
      <w:pPr>
        <w:pStyle w:val="Loendilik"/>
        <w:ind w:left="360"/>
        <w:rPr>
          <w:b/>
          <w:bCs/>
        </w:rPr>
      </w:pPr>
    </w:p>
    <w:p w14:paraId="7886C5BC" w14:textId="1E56D924" w:rsidR="00801563" w:rsidRPr="003331EF" w:rsidRDefault="00801563" w:rsidP="003331EF">
      <w:pPr>
        <w:spacing w:before="0"/>
        <w:rPr>
          <w:bCs/>
          <w:iCs/>
          <w:spacing w:val="-5"/>
          <w:lang w:eastAsia="en-US"/>
        </w:rPr>
      </w:pPr>
      <w:r w:rsidRPr="003331EF">
        <w:rPr>
          <w:bCs/>
          <w:iCs/>
          <w:spacing w:val="-5"/>
          <w:lang w:eastAsia="en-US"/>
        </w:rPr>
        <w:t xml:space="preserve">Teatud </w:t>
      </w:r>
      <w:proofErr w:type="spellStart"/>
      <w:r w:rsidRPr="003331EF">
        <w:rPr>
          <w:bCs/>
          <w:iCs/>
          <w:spacing w:val="-5"/>
          <w:lang w:eastAsia="en-US"/>
        </w:rPr>
        <w:t>krüptovara</w:t>
      </w:r>
      <w:proofErr w:type="spellEnd"/>
      <w:r w:rsidRPr="003331EF">
        <w:rPr>
          <w:bCs/>
          <w:iCs/>
          <w:spacing w:val="-5"/>
          <w:lang w:eastAsia="en-US"/>
        </w:rPr>
        <w:t xml:space="preserve"> liigid, eelkõige need, mis kvalifitseeruvad finantsinstrumentideks, nagu on määratletud direktiivis 2014/65/EL</w:t>
      </w:r>
      <w:r w:rsidR="002B1D09" w:rsidRPr="003331EF">
        <w:rPr>
          <w:bCs/>
          <w:iCs/>
          <w:spacing w:val="-5"/>
          <w:lang w:eastAsia="en-US"/>
        </w:rPr>
        <w:t xml:space="preserve"> finantsinstrumentide turgude kohta</w:t>
      </w:r>
      <w:r w:rsidRPr="003331EF">
        <w:rPr>
          <w:bCs/>
          <w:iCs/>
          <w:spacing w:val="-5"/>
          <w:vertAlign w:val="superscript"/>
          <w:lang w:eastAsia="en-US"/>
        </w:rPr>
        <w:footnoteReference w:id="14"/>
      </w:r>
      <w:r w:rsidRPr="003331EF">
        <w:rPr>
          <w:bCs/>
          <w:iCs/>
          <w:spacing w:val="-5"/>
          <w:lang w:eastAsia="en-US"/>
        </w:rPr>
        <w:t xml:space="preserve">, kuuluvad kehtivate finantsteenuseid käsitlevate liidu seadusandlike </w:t>
      </w:r>
      <w:r w:rsidR="006C76DD" w:rsidRPr="003331EF">
        <w:rPr>
          <w:bCs/>
          <w:iCs/>
          <w:spacing w:val="-5"/>
          <w:lang w:eastAsia="en-US"/>
        </w:rPr>
        <w:t>õigus</w:t>
      </w:r>
      <w:r w:rsidRPr="003331EF">
        <w:rPr>
          <w:bCs/>
          <w:iCs/>
          <w:spacing w:val="-5"/>
          <w:lang w:eastAsia="en-US"/>
        </w:rPr>
        <w:t xml:space="preserve">aktide kohaldamisalasse. Seetõttu kohaldatakse sellise </w:t>
      </w:r>
      <w:proofErr w:type="spellStart"/>
      <w:r w:rsidRPr="003331EF">
        <w:rPr>
          <w:bCs/>
          <w:iCs/>
          <w:spacing w:val="-5"/>
          <w:lang w:eastAsia="en-US"/>
        </w:rPr>
        <w:t>krüptovara</w:t>
      </w:r>
      <w:proofErr w:type="spellEnd"/>
      <w:r w:rsidRPr="003331EF">
        <w:rPr>
          <w:bCs/>
          <w:iCs/>
          <w:spacing w:val="-5"/>
          <w:lang w:eastAsia="en-US"/>
        </w:rPr>
        <w:t xml:space="preserve"> emitentide ja sellise </w:t>
      </w:r>
      <w:proofErr w:type="spellStart"/>
      <w:r w:rsidRPr="003331EF">
        <w:rPr>
          <w:bCs/>
          <w:iCs/>
          <w:spacing w:val="-5"/>
          <w:lang w:eastAsia="en-US"/>
        </w:rPr>
        <w:t>krüptovaraga</w:t>
      </w:r>
      <w:proofErr w:type="spellEnd"/>
      <w:r w:rsidRPr="003331EF">
        <w:rPr>
          <w:bCs/>
          <w:iCs/>
          <w:spacing w:val="-5"/>
          <w:lang w:eastAsia="en-US"/>
        </w:rPr>
        <w:t xml:space="preserve"> tegelevate ettevõtete suhtes juba praegu </w:t>
      </w:r>
      <w:r w:rsidR="00347E91" w:rsidRPr="003331EF">
        <w:rPr>
          <w:bCs/>
          <w:iCs/>
          <w:spacing w:val="-5"/>
          <w:lang w:eastAsia="en-US"/>
        </w:rPr>
        <w:t>EL</w:t>
      </w:r>
      <w:r w:rsidRPr="003331EF">
        <w:rPr>
          <w:bCs/>
          <w:iCs/>
          <w:spacing w:val="-5"/>
          <w:lang w:eastAsia="en-US"/>
        </w:rPr>
        <w:t xml:space="preserve"> asjaomaseid reegleid.</w:t>
      </w:r>
    </w:p>
    <w:p w14:paraId="24C283AC" w14:textId="77777777" w:rsidR="00073727" w:rsidRPr="003331EF" w:rsidRDefault="00073727" w:rsidP="003331EF">
      <w:pPr>
        <w:spacing w:before="0"/>
      </w:pPr>
    </w:p>
    <w:p w14:paraId="1C21F652" w14:textId="7C3C554F" w:rsidR="00073221" w:rsidRPr="003331EF" w:rsidRDefault="00AE38F0" w:rsidP="003331EF">
      <w:pPr>
        <w:spacing w:before="0"/>
        <w:rPr>
          <w:bCs/>
          <w:iCs/>
          <w:spacing w:val="-5"/>
          <w:lang w:eastAsia="en-US"/>
        </w:rPr>
      </w:pPr>
      <w:r w:rsidRPr="003331EF">
        <w:rPr>
          <w:bCs/>
          <w:iCs/>
          <w:spacing w:val="-5"/>
          <w:lang w:eastAsia="en-US"/>
        </w:rPr>
        <w:t>I</w:t>
      </w:r>
      <w:r w:rsidR="00073221" w:rsidRPr="003331EF">
        <w:rPr>
          <w:bCs/>
          <w:iCs/>
          <w:spacing w:val="-5"/>
          <w:lang w:eastAsia="en-US"/>
        </w:rPr>
        <w:t xml:space="preserve">nvesteerimise eesmärki kandvate </w:t>
      </w:r>
      <w:proofErr w:type="spellStart"/>
      <w:r w:rsidR="00073221" w:rsidRPr="003331EF">
        <w:rPr>
          <w:bCs/>
          <w:iCs/>
          <w:spacing w:val="-5"/>
          <w:lang w:eastAsia="en-US"/>
        </w:rPr>
        <w:t>krüptovarade</w:t>
      </w:r>
      <w:proofErr w:type="spellEnd"/>
      <w:r w:rsidR="00073221" w:rsidRPr="003331EF">
        <w:rPr>
          <w:bCs/>
          <w:iCs/>
          <w:spacing w:val="-5"/>
          <w:lang w:eastAsia="en-US"/>
        </w:rPr>
        <w:t xml:space="preserve"> alla võib liigitada sellised instrumendid, mille omamisega kaasnevad õigused ja kohustused sarnanevad eeskätt osalusele äriühingus või mille omajal on võimalik teenida tulu vastavalt instrumendi pakkumises esitatud tingimustele. Seega, kui </w:t>
      </w:r>
      <w:proofErr w:type="spellStart"/>
      <w:r w:rsidR="00073221" w:rsidRPr="003331EF">
        <w:rPr>
          <w:bCs/>
          <w:iCs/>
          <w:spacing w:val="-5"/>
          <w:lang w:eastAsia="en-US"/>
        </w:rPr>
        <w:t>investeerimistoken</w:t>
      </w:r>
      <w:proofErr w:type="spellEnd"/>
      <w:r w:rsidR="00073221" w:rsidRPr="003331EF">
        <w:rPr>
          <w:bCs/>
          <w:iCs/>
          <w:spacing w:val="-5"/>
          <w:lang w:eastAsia="en-US"/>
        </w:rPr>
        <w:t xml:space="preserve"> esindab plokiahelasse kantud ühikuna osa või muud instrumenti, mida </w:t>
      </w:r>
      <w:r w:rsidR="00073221" w:rsidRPr="003331EF">
        <w:rPr>
          <w:bCs/>
          <w:iCs/>
          <w:spacing w:val="-5"/>
          <w:lang w:eastAsia="en-US"/>
        </w:rPr>
        <w:lastRenderedPageBreak/>
        <w:t xml:space="preserve">seostatakse osaluse omamisega, on võimalik selgitada selle </w:t>
      </w:r>
      <w:proofErr w:type="spellStart"/>
      <w:r w:rsidR="00073221" w:rsidRPr="003331EF">
        <w:rPr>
          <w:bCs/>
          <w:iCs/>
          <w:spacing w:val="-5"/>
          <w:lang w:eastAsia="en-US"/>
        </w:rPr>
        <w:t>tokeniga</w:t>
      </w:r>
      <w:proofErr w:type="spellEnd"/>
      <w:r w:rsidR="00073221" w:rsidRPr="003331EF">
        <w:rPr>
          <w:bCs/>
          <w:iCs/>
          <w:spacing w:val="-5"/>
          <w:lang w:eastAsia="en-US"/>
        </w:rPr>
        <w:t xml:space="preserve"> seotud igakordse omaniku õigusi osalusele ja hüvedele äriseadustiku regulatsiooni põhjal. Siiski jäävad </w:t>
      </w:r>
      <w:r w:rsidR="006C76DD" w:rsidRPr="003331EF">
        <w:rPr>
          <w:bCs/>
          <w:iCs/>
          <w:spacing w:val="-5"/>
          <w:lang w:eastAsia="en-US"/>
        </w:rPr>
        <w:t>käsitlemata</w:t>
      </w:r>
      <w:r w:rsidR="00073221" w:rsidRPr="003331EF">
        <w:rPr>
          <w:bCs/>
          <w:iCs/>
          <w:spacing w:val="-5"/>
          <w:lang w:eastAsia="en-US"/>
        </w:rPr>
        <w:t xml:space="preserve"> näiteks plokiahelas tehingute kajastamisega (ehk registri pidamisega) seotud küsimused, samuti </w:t>
      </w:r>
      <w:proofErr w:type="spellStart"/>
      <w:r w:rsidR="00073221" w:rsidRPr="003331EF">
        <w:rPr>
          <w:bCs/>
          <w:iCs/>
          <w:spacing w:val="-5"/>
          <w:lang w:eastAsia="en-US"/>
        </w:rPr>
        <w:t>tokeniga</w:t>
      </w:r>
      <w:proofErr w:type="spellEnd"/>
      <w:r w:rsidR="00073221" w:rsidRPr="003331EF">
        <w:rPr>
          <w:bCs/>
          <w:iCs/>
          <w:spacing w:val="-5"/>
          <w:lang w:eastAsia="en-US"/>
        </w:rPr>
        <w:t xml:space="preserve"> tehingu tegemise ja selle hoidmisega (virtuaalse rahakoti ja selle võtmetega) seotud temaatika ning muud </w:t>
      </w:r>
      <w:proofErr w:type="spellStart"/>
      <w:r w:rsidR="00073221" w:rsidRPr="003331EF">
        <w:rPr>
          <w:bCs/>
          <w:iCs/>
          <w:spacing w:val="-5"/>
          <w:lang w:eastAsia="en-US"/>
        </w:rPr>
        <w:t>tokeni</w:t>
      </w:r>
      <w:proofErr w:type="spellEnd"/>
      <w:r w:rsidR="00073221" w:rsidRPr="003331EF">
        <w:rPr>
          <w:bCs/>
          <w:iCs/>
          <w:spacing w:val="-5"/>
          <w:lang w:eastAsia="en-US"/>
        </w:rPr>
        <w:t xml:space="preserve"> tehnoloogilisest eripärast tulenevad aspektid. </w:t>
      </w:r>
    </w:p>
    <w:p w14:paraId="4F4DF751" w14:textId="77777777" w:rsidR="00EA2729" w:rsidRPr="003331EF" w:rsidRDefault="00EA2729" w:rsidP="003331EF">
      <w:pPr>
        <w:spacing w:before="0"/>
        <w:rPr>
          <w:bCs/>
          <w:iCs/>
          <w:spacing w:val="-5"/>
          <w:lang w:eastAsia="en-US"/>
        </w:rPr>
      </w:pPr>
    </w:p>
    <w:p w14:paraId="22D2E9AF" w14:textId="0223A8D1" w:rsidR="00073221" w:rsidRPr="003331EF" w:rsidRDefault="00073221" w:rsidP="003331EF">
      <w:pPr>
        <w:spacing w:before="0"/>
        <w:rPr>
          <w:bCs/>
          <w:iCs/>
          <w:spacing w:val="-5"/>
          <w:lang w:eastAsia="en-US"/>
        </w:rPr>
      </w:pPr>
      <w:r w:rsidRPr="003331EF">
        <w:rPr>
          <w:bCs/>
          <w:iCs/>
          <w:spacing w:val="-5"/>
          <w:lang w:eastAsia="en-US"/>
        </w:rPr>
        <w:t xml:space="preserve">Kui eesmärk ei ole mitte </w:t>
      </w:r>
      <w:proofErr w:type="spellStart"/>
      <w:r w:rsidRPr="003331EF">
        <w:rPr>
          <w:bCs/>
          <w:iCs/>
          <w:spacing w:val="-5"/>
          <w:lang w:eastAsia="en-US"/>
        </w:rPr>
        <w:t>tokeniseerida</w:t>
      </w:r>
      <w:proofErr w:type="spellEnd"/>
      <w:r w:rsidRPr="003331EF">
        <w:rPr>
          <w:bCs/>
          <w:iCs/>
          <w:spacing w:val="-5"/>
          <w:lang w:eastAsia="en-US"/>
        </w:rPr>
        <w:t xml:space="preserve"> olemasolevat õigust, vaid </w:t>
      </w:r>
      <w:proofErr w:type="spellStart"/>
      <w:r w:rsidRPr="003331EF">
        <w:rPr>
          <w:bCs/>
          <w:iCs/>
          <w:spacing w:val="-5"/>
          <w:lang w:eastAsia="en-US"/>
        </w:rPr>
        <w:t>token</w:t>
      </w:r>
      <w:proofErr w:type="spellEnd"/>
      <w:r w:rsidRPr="003331EF">
        <w:rPr>
          <w:bCs/>
          <w:iCs/>
          <w:spacing w:val="-5"/>
          <w:lang w:eastAsia="en-US"/>
        </w:rPr>
        <w:t xml:space="preserve"> ise esindabki vastavat vara liiki (näitena nn </w:t>
      </w:r>
      <w:proofErr w:type="spellStart"/>
      <w:r w:rsidRPr="003331EF">
        <w:rPr>
          <w:bCs/>
          <w:iCs/>
          <w:spacing w:val="-5"/>
          <w:lang w:eastAsia="en-US"/>
        </w:rPr>
        <w:t>fragmenteeritud</w:t>
      </w:r>
      <w:proofErr w:type="spellEnd"/>
      <w:r w:rsidRPr="003331EF">
        <w:rPr>
          <w:bCs/>
          <w:iCs/>
          <w:spacing w:val="-5"/>
          <w:lang w:eastAsia="en-US"/>
        </w:rPr>
        <w:t xml:space="preserve"> õigus, mis ei ole aktsia, kuid annab õiguse dividendidele lähtuvalt teatud arvestuspõhimõtetest, või hääleõiguse äriühingus), ei</w:t>
      </w:r>
      <w:r w:rsidR="006C76DD" w:rsidRPr="003331EF">
        <w:rPr>
          <w:bCs/>
          <w:iCs/>
          <w:spacing w:val="-5"/>
          <w:lang w:eastAsia="en-US"/>
        </w:rPr>
        <w:t xml:space="preserve"> anna </w:t>
      </w:r>
      <w:r w:rsidRPr="003331EF">
        <w:rPr>
          <w:bCs/>
          <w:iCs/>
          <w:spacing w:val="-5"/>
          <w:lang w:eastAsia="en-US"/>
        </w:rPr>
        <w:t xml:space="preserve">kehtiv õigus </w:t>
      </w:r>
      <w:proofErr w:type="spellStart"/>
      <w:r w:rsidRPr="003331EF">
        <w:rPr>
          <w:bCs/>
          <w:iCs/>
          <w:spacing w:val="-5"/>
          <w:lang w:eastAsia="en-US"/>
        </w:rPr>
        <w:t>tokeni</w:t>
      </w:r>
      <w:proofErr w:type="spellEnd"/>
      <w:r w:rsidRPr="003331EF">
        <w:rPr>
          <w:bCs/>
          <w:iCs/>
          <w:spacing w:val="-5"/>
          <w:lang w:eastAsia="en-US"/>
        </w:rPr>
        <w:t xml:space="preserve"> olemusega seotud aspektidele piisavat selgitust ning pooltevahelised suhted saavad rajaneda üksnes lepingul ehk </w:t>
      </w:r>
      <w:proofErr w:type="spellStart"/>
      <w:r w:rsidRPr="003331EF">
        <w:rPr>
          <w:bCs/>
          <w:iCs/>
          <w:spacing w:val="-5"/>
          <w:lang w:eastAsia="en-US"/>
        </w:rPr>
        <w:t>tokeni</w:t>
      </w:r>
      <w:proofErr w:type="spellEnd"/>
      <w:r w:rsidRPr="003331EF">
        <w:rPr>
          <w:bCs/>
          <w:iCs/>
          <w:spacing w:val="-5"/>
          <w:lang w:eastAsia="en-US"/>
        </w:rPr>
        <w:t xml:space="preserve"> välja andmisel koostatud teabedokumendil (nimetatakse ka </w:t>
      </w:r>
      <w:proofErr w:type="spellStart"/>
      <w:r w:rsidRPr="003331EF">
        <w:rPr>
          <w:bCs/>
          <w:iCs/>
          <w:spacing w:val="-5"/>
          <w:lang w:eastAsia="en-US"/>
        </w:rPr>
        <w:t>white</w:t>
      </w:r>
      <w:proofErr w:type="spellEnd"/>
      <w:r w:rsidRPr="003331EF">
        <w:rPr>
          <w:bCs/>
          <w:iCs/>
          <w:spacing w:val="-5"/>
          <w:lang w:eastAsia="en-US"/>
        </w:rPr>
        <w:t xml:space="preserve"> </w:t>
      </w:r>
      <w:proofErr w:type="spellStart"/>
      <w:r w:rsidRPr="003331EF">
        <w:rPr>
          <w:bCs/>
          <w:iCs/>
          <w:spacing w:val="-5"/>
          <w:lang w:eastAsia="en-US"/>
        </w:rPr>
        <w:t>paper’iks</w:t>
      </w:r>
      <w:proofErr w:type="spellEnd"/>
      <w:r w:rsidR="006C76DD" w:rsidRPr="003331EF">
        <w:rPr>
          <w:bCs/>
          <w:iCs/>
          <w:spacing w:val="-5"/>
          <w:lang w:eastAsia="en-US"/>
        </w:rPr>
        <w:t>/valgeks raamatuks</w:t>
      </w:r>
      <w:r w:rsidRPr="003331EF">
        <w:rPr>
          <w:bCs/>
          <w:iCs/>
          <w:spacing w:val="-5"/>
          <w:lang w:eastAsia="en-US"/>
        </w:rPr>
        <w:t xml:space="preserve">). </w:t>
      </w:r>
    </w:p>
    <w:p w14:paraId="105B9427" w14:textId="77777777" w:rsidR="00073221" w:rsidRPr="003331EF" w:rsidRDefault="00073221" w:rsidP="003331EF">
      <w:pPr>
        <w:spacing w:before="0"/>
      </w:pPr>
    </w:p>
    <w:p w14:paraId="244F4AC6" w14:textId="46BB094E" w:rsidR="00073221" w:rsidRPr="003331EF" w:rsidRDefault="00073221" w:rsidP="003331EF">
      <w:pPr>
        <w:pStyle w:val="Loendilik"/>
        <w:numPr>
          <w:ilvl w:val="0"/>
          <w:numId w:val="40"/>
        </w:numPr>
        <w:rPr>
          <w:b/>
          <w:bCs/>
        </w:rPr>
      </w:pPr>
      <w:proofErr w:type="spellStart"/>
      <w:r w:rsidRPr="003331EF">
        <w:rPr>
          <w:b/>
          <w:bCs/>
        </w:rPr>
        <w:t>Kasutustokenid</w:t>
      </w:r>
      <w:proofErr w:type="spellEnd"/>
    </w:p>
    <w:p w14:paraId="10F46706" w14:textId="77777777" w:rsidR="00073221" w:rsidRPr="003331EF" w:rsidRDefault="00073221" w:rsidP="003331EF">
      <w:pPr>
        <w:spacing w:before="0"/>
      </w:pPr>
    </w:p>
    <w:p w14:paraId="0B210389" w14:textId="77777777" w:rsidR="00073221" w:rsidRPr="003331EF" w:rsidRDefault="00073221" w:rsidP="003331EF">
      <w:pPr>
        <w:spacing w:before="0"/>
        <w:rPr>
          <w:bCs/>
          <w:iCs/>
          <w:spacing w:val="-5"/>
          <w:lang w:eastAsia="en-US"/>
        </w:rPr>
      </w:pPr>
      <w:proofErr w:type="spellStart"/>
      <w:r w:rsidRPr="003331EF">
        <w:rPr>
          <w:bCs/>
          <w:iCs/>
          <w:spacing w:val="-5"/>
          <w:lang w:eastAsia="en-US"/>
        </w:rPr>
        <w:t>Kasutustokenite</w:t>
      </w:r>
      <w:proofErr w:type="spellEnd"/>
      <w:r w:rsidRPr="003331EF">
        <w:rPr>
          <w:bCs/>
          <w:iCs/>
          <w:spacing w:val="-5"/>
          <w:lang w:eastAsia="en-US"/>
        </w:rPr>
        <w:t xml:space="preserve"> alla liigituvad üldjuhul sellised </w:t>
      </w:r>
      <w:proofErr w:type="spellStart"/>
      <w:r w:rsidRPr="003331EF">
        <w:rPr>
          <w:bCs/>
          <w:iCs/>
          <w:spacing w:val="-5"/>
          <w:lang w:eastAsia="en-US"/>
        </w:rPr>
        <w:t>krüptovarad</w:t>
      </w:r>
      <w:proofErr w:type="spellEnd"/>
      <w:r w:rsidRPr="003331EF">
        <w:rPr>
          <w:bCs/>
          <w:iCs/>
          <w:spacing w:val="-5"/>
          <w:lang w:eastAsia="en-US"/>
        </w:rPr>
        <w:t xml:space="preserve">, mida on võimalik vahetada kaupade või teenuste vastu või mida on võimalik näiteks kasutada </w:t>
      </w:r>
      <w:proofErr w:type="spellStart"/>
      <w:r w:rsidRPr="003331EF">
        <w:rPr>
          <w:bCs/>
          <w:iCs/>
          <w:spacing w:val="-5"/>
          <w:lang w:eastAsia="en-US"/>
        </w:rPr>
        <w:t>tokeni</w:t>
      </w:r>
      <w:proofErr w:type="spellEnd"/>
      <w:r w:rsidRPr="003331EF">
        <w:rPr>
          <w:bCs/>
          <w:iCs/>
          <w:spacing w:val="-5"/>
          <w:lang w:eastAsia="en-US"/>
        </w:rPr>
        <w:t xml:space="preserve"> väljastaja teenusele ligi pääsemiseks. Teisisõnu on tegemist piiratud kasutusfunktsiooniga </w:t>
      </w:r>
      <w:proofErr w:type="spellStart"/>
      <w:r w:rsidRPr="003331EF">
        <w:rPr>
          <w:bCs/>
          <w:iCs/>
          <w:spacing w:val="-5"/>
          <w:lang w:eastAsia="en-US"/>
        </w:rPr>
        <w:t>tokeniga</w:t>
      </w:r>
      <w:proofErr w:type="spellEnd"/>
      <w:r w:rsidRPr="003331EF">
        <w:rPr>
          <w:bCs/>
          <w:iCs/>
          <w:spacing w:val="-5"/>
          <w:lang w:eastAsia="en-US"/>
        </w:rPr>
        <w:t xml:space="preserve">, mida aktsepteerib </w:t>
      </w:r>
      <w:proofErr w:type="spellStart"/>
      <w:r w:rsidRPr="003331EF">
        <w:rPr>
          <w:bCs/>
          <w:iCs/>
          <w:spacing w:val="-5"/>
          <w:lang w:eastAsia="en-US"/>
        </w:rPr>
        <w:t>tokeni</w:t>
      </w:r>
      <w:proofErr w:type="spellEnd"/>
      <w:r w:rsidRPr="003331EF">
        <w:rPr>
          <w:bCs/>
          <w:iCs/>
          <w:spacing w:val="-5"/>
          <w:lang w:eastAsia="en-US"/>
        </w:rPr>
        <w:t xml:space="preserve"> müüja ise enda poolt osutatava teenuse või kauba maksevahendina. Sellisest funktsioonist lähtuvalt võib </w:t>
      </w:r>
      <w:proofErr w:type="spellStart"/>
      <w:r w:rsidRPr="003331EF">
        <w:rPr>
          <w:bCs/>
          <w:iCs/>
          <w:spacing w:val="-5"/>
          <w:lang w:eastAsia="en-US"/>
        </w:rPr>
        <w:t>kasutustokeneid</w:t>
      </w:r>
      <w:proofErr w:type="spellEnd"/>
      <w:r w:rsidRPr="003331EF">
        <w:rPr>
          <w:bCs/>
          <w:iCs/>
          <w:spacing w:val="-5"/>
          <w:lang w:eastAsia="en-US"/>
        </w:rPr>
        <w:t xml:space="preserve"> mõista ka kui </w:t>
      </w:r>
      <w:proofErr w:type="spellStart"/>
      <w:r w:rsidRPr="003331EF">
        <w:rPr>
          <w:bCs/>
          <w:iCs/>
          <w:spacing w:val="-5"/>
          <w:lang w:eastAsia="en-US"/>
        </w:rPr>
        <w:t>vautšereid</w:t>
      </w:r>
      <w:proofErr w:type="spellEnd"/>
      <w:r w:rsidRPr="003331EF">
        <w:rPr>
          <w:bCs/>
          <w:iCs/>
          <w:spacing w:val="-5"/>
          <w:lang w:eastAsia="en-US"/>
        </w:rPr>
        <w:t xml:space="preserve"> (</w:t>
      </w:r>
      <w:proofErr w:type="spellStart"/>
      <w:r w:rsidRPr="003331EF">
        <w:rPr>
          <w:bCs/>
          <w:i/>
          <w:spacing w:val="-5"/>
          <w:lang w:eastAsia="en-US"/>
        </w:rPr>
        <w:t>voucher</w:t>
      </w:r>
      <w:proofErr w:type="spellEnd"/>
      <w:r w:rsidRPr="003331EF">
        <w:rPr>
          <w:bCs/>
          <w:iCs/>
          <w:spacing w:val="-5"/>
          <w:lang w:eastAsia="en-US"/>
        </w:rPr>
        <w:t xml:space="preserve">) või kinkekaardi sarnast instrumenti. Ka </w:t>
      </w:r>
      <w:proofErr w:type="spellStart"/>
      <w:r w:rsidRPr="003331EF">
        <w:rPr>
          <w:bCs/>
          <w:iCs/>
          <w:spacing w:val="-5"/>
          <w:lang w:eastAsia="en-US"/>
        </w:rPr>
        <w:t>kasutustokenite</w:t>
      </w:r>
      <w:proofErr w:type="spellEnd"/>
      <w:r w:rsidRPr="003331EF">
        <w:rPr>
          <w:bCs/>
          <w:iCs/>
          <w:spacing w:val="-5"/>
          <w:lang w:eastAsia="en-US"/>
        </w:rPr>
        <w:t xml:space="preserve"> pakkumine ja käitlemine on Eesti õiguses suuresti reguleerimata, ning konkreetselt </w:t>
      </w:r>
      <w:proofErr w:type="spellStart"/>
      <w:r w:rsidRPr="003331EF">
        <w:rPr>
          <w:bCs/>
          <w:iCs/>
          <w:spacing w:val="-5"/>
          <w:lang w:eastAsia="en-US"/>
        </w:rPr>
        <w:t>kasutustokenid</w:t>
      </w:r>
      <w:proofErr w:type="spellEnd"/>
      <w:r w:rsidRPr="003331EF">
        <w:rPr>
          <w:bCs/>
          <w:iCs/>
          <w:spacing w:val="-5"/>
          <w:lang w:eastAsia="en-US"/>
        </w:rPr>
        <w:t xml:space="preserve"> alluvad eelkõige poolte (teenuseosutaja ja kliendi) vahelisele võlaõiguslikule suhtele, mille keskseks elemendiks on </w:t>
      </w:r>
      <w:proofErr w:type="spellStart"/>
      <w:r w:rsidRPr="003331EF">
        <w:rPr>
          <w:bCs/>
          <w:iCs/>
          <w:spacing w:val="-5"/>
          <w:lang w:eastAsia="en-US"/>
        </w:rPr>
        <w:t>kasutustokeni</w:t>
      </w:r>
      <w:proofErr w:type="spellEnd"/>
      <w:r w:rsidRPr="003331EF">
        <w:rPr>
          <w:bCs/>
          <w:iCs/>
          <w:spacing w:val="-5"/>
          <w:lang w:eastAsia="en-US"/>
        </w:rPr>
        <w:t xml:space="preserve"> pakkumisel esitatud teabedokument (</w:t>
      </w:r>
      <w:proofErr w:type="spellStart"/>
      <w:r w:rsidRPr="003331EF">
        <w:rPr>
          <w:bCs/>
          <w:i/>
          <w:spacing w:val="-5"/>
          <w:lang w:eastAsia="en-US"/>
        </w:rPr>
        <w:t>white</w:t>
      </w:r>
      <w:proofErr w:type="spellEnd"/>
      <w:r w:rsidRPr="003331EF">
        <w:rPr>
          <w:bCs/>
          <w:i/>
          <w:spacing w:val="-5"/>
          <w:lang w:eastAsia="en-US"/>
        </w:rPr>
        <w:t xml:space="preserve"> </w:t>
      </w:r>
      <w:proofErr w:type="spellStart"/>
      <w:r w:rsidRPr="003331EF">
        <w:rPr>
          <w:bCs/>
          <w:i/>
          <w:spacing w:val="-5"/>
          <w:lang w:eastAsia="en-US"/>
        </w:rPr>
        <w:t>paper</w:t>
      </w:r>
      <w:proofErr w:type="spellEnd"/>
      <w:r w:rsidRPr="003331EF">
        <w:rPr>
          <w:bCs/>
          <w:iCs/>
          <w:spacing w:val="-5"/>
          <w:lang w:eastAsia="en-US"/>
        </w:rPr>
        <w:t>).</w:t>
      </w:r>
    </w:p>
    <w:p w14:paraId="7747012E" w14:textId="77777777" w:rsidR="001A31B6" w:rsidRPr="003331EF" w:rsidRDefault="001A31B6" w:rsidP="003331EF">
      <w:pPr>
        <w:spacing w:before="0"/>
      </w:pPr>
    </w:p>
    <w:p w14:paraId="0C9154A5" w14:textId="68F0A3E9" w:rsidR="00073221" w:rsidRPr="003331EF" w:rsidRDefault="004459FD" w:rsidP="003331EF">
      <w:pPr>
        <w:pStyle w:val="Loendilik"/>
        <w:numPr>
          <w:ilvl w:val="0"/>
          <w:numId w:val="40"/>
        </w:numPr>
        <w:rPr>
          <w:b/>
        </w:rPr>
      </w:pPr>
      <w:proofErr w:type="spellStart"/>
      <w:r w:rsidRPr="003331EF">
        <w:rPr>
          <w:rStyle w:val="Italic0"/>
          <w:b/>
        </w:rPr>
        <w:t>Not</w:t>
      </w:r>
      <w:proofErr w:type="spellEnd"/>
      <w:r w:rsidRPr="003331EF">
        <w:rPr>
          <w:rStyle w:val="Italic0"/>
          <w:b/>
        </w:rPr>
        <w:t xml:space="preserve"> </w:t>
      </w:r>
      <w:proofErr w:type="spellStart"/>
      <w:r w:rsidRPr="003331EF">
        <w:rPr>
          <w:rStyle w:val="Italic0"/>
          <w:b/>
        </w:rPr>
        <w:t>fungible</w:t>
      </w:r>
      <w:proofErr w:type="spellEnd"/>
      <w:r w:rsidR="00073221" w:rsidRPr="003331EF">
        <w:rPr>
          <w:b/>
        </w:rPr>
        <w:t xml:space="preserve"> </w:t>
      </w:r>
      <w:proofErr w:type="spellStart"/>
      <w:r w:rsidRPr="003331EF">
        <w:rPr>
          <w:b/>
        </w:rPr>
        <w:t>tokenid</w:t>
      </w:r>
      <w:proofErr w:type="spellEnd"/>
      <w:r w:rsidRPr="003331EF">
        <w:rPr>
          <w:b/>
        </w:rPr>
        <w:t xml:space="preserve"> (NFT)</w:t>
      </w:r>
    </w:p>
    <w:p w14:paraId="4C60C4D1" w14:textId="77777777" w:rsidR="004459FD" w:rsidRPr="003331EF" w:rsidRDefault="004459FD" w:rsidP="003331EF">
      <w:pPr>
        <w:pStyle w:val="Loendilik"/>
        <w:ind w:left="360"/>
        <w:rPr>
          <w:b/>
        </w:rPr>
      </w:pPr>
    </w:p>
    <w:p w14:paraId="7408F29F" w14:textId="649A05D6" w:rsidR="00B713F5" w:rsidRPr="003331EF" w:rsidRDefault="004459FD" w:rsidP="003331EF">
      <w:pPr>
        <w:spacing w:before="0"/>
        <w:rPr>
          <w:bCs/>
          <w:iCs/>
          <w:spacing w:val="-5"/>
          <w:lang w:eastAsia="en-US"/>
        </w:rPr>
      </w:pPr>
      <w:proofErr w:type="spellStart"/>
      <w:r w:rsidRPr="003331EF">
        <w:rPr>
          <w:bCs/>
          <w:iCs/>
          <w:spacing w:val="-5"/>
          <w:lang w:eastAsia="en-US"/>
        </w:rPr>
        <w:t>M</w:t>
      </w:r>
      <w:r w:rsidR="00A03096">
        <w:rPr>
          <w:bCs/>
          <w:iCs/>
          <w:spacing w:val="-5"/>
          <w:lang w:eastAsia="en-US"/>
        </w:rPr>
        <w:t>i</w:t>
      </w:r>
      <w:r w:rsidRPr="003331EF">
        <w:rPr>
          <w:bCs/>
          <w:iCs/>
          <w:spacing w:val="-5"/>
          <w:lang w:eastAsia="en-US"/>
        </w:rPr>
        <w:t>CA</w:t>
      </w:r>
      <w:proofErr w:type="spellEnd"/>
      <w:r w:rsidRPr="003331EF">
        <w:rPr>
          <w:bCs/>
          <w:iCs/>
          <w:spacing w:val="-5"/>
          <w:lang w:eastAsia="en-US"/>
        </w:rPr>
        <w:t xml:space="preserve"> määrust ei </w:t>
      </w:r>
      <w:r w:rsidR="00B713F5" w:rsidRPr="003331EF">
        <w:rPr>
          <w:bCs/>
          <w:iCs/>
          <w:spacing w:val="-5"/>
          <w:lang w:eastAsia="en-US"/>
        </w:rPr>
        <w:t>kohalda</w:t>
      </w:r>
      <w:r w:rsidRPr="003331EF">
        <w:rPr>
          <w:bCs/>
          <w:iCs/>
          <w:spacing w:val="-5"/>
          <w:lang w:eastAsia="en-US"/>
        </w:rPr>
        <w:t>t</w:t>
      </w:r>
      <w:r w:rsidR="00B713F5" w:rsidRPr="003331EF">
        <w:rPr>
          <w:bCs/>
          <w:iCs/>
          <w:spacing w:val="-5"/>
          <w:lang w:eastAsia="en-US"/>
        </w:rPr>
        <w:t xml:space="preserve">a </w:t>
      </w:r>
      <w:proofErr w:type="spellStart"/>
      <w:r w:rsidR="00B713F5" w:rsidRPr="003331EF">
        <w:rPr>
          <w:bCs/>
          <w:iCs/>
          <w:spacing w:val="-5"/>
          <w:lang w:eastAsia="en-US"/>
        </w:rPr>
        <w:t>krüptovara</w:t>
      </w:r>
      <w:proofErr w:type="spellEnd"/>
      <w:r w:rsidR="00B713F5" w:rsidRPr="003331EF">
        <w:rPr>
          <w:bCs/>
          <w:iCs/>
          <w:spacing w:val="-5"/>
          <w:lang w:eastAsia="en-US"/>
        </w:rPr>
        <w:t xml:space="preserve"> suhtes, mis on ainulaadne ega ole asendatav muu </w:t>
      </w:r>
      <w:proofErr w:type="spellStart"/>
      <w:r w:rsidR="00B713F5" w:rsidRPr="003331EF">
        <w:rPr>
          <w:bCs/>
          <w:iCs/>
          <w:spacing w:val="-5"/>
          <w:lang w:eastAsia="en-US"/>
        </w:rPr>
        <w:t>krüptovaraga</w:t>
      </w:r>
      <w:proofErr w:type="spellEnd"/>
      <w:r w:rsidR="00B713F5" w:rsidRPr="003331EF">
        <w:rPr>
          <w:bCs/>
          <w:iCs/>
          <w:spacing w:val="-5"/>
          <w:lang w:eastAsia="en-US"/>
        </w:rPr>
        <w:t xml:space="preserve">, sealhulgas digitaalse kunsti ja kogumisobjektide suhtes. Sellise </w:t>
      </w:r>
      <w:proofErr w:type="spellStart"/>
      <w:r w:rsidR="00B713F5" w:rsidRPr="003331EF">
        <w:rPr>
          <w:bCs/>
          <w:iCs/>
          <w:spacing w:val="-5"/>
          <w:lang w:eastAsia="en-US"/>
        </w:rPr>
        <w:t>krüptovara</w:t>
      </w:r>
      <w:proofErr w:type="spellEnd"/>
      <w:r w:rsidR="00B713F5" w:rsidRPr="003331EF">
        <w:rPr>
          <w:bCs/>
          <w:iCs/>
          <w:spacing w:val="-5"/>
          <w:lang w:eastAsia="en-US"/>
        </w:rPr>
        <w:t xml:space="preserve"> väärtus tuleneb iga </w:t>
      </w:r>
      <w:proofErr w:type="spellStart"/>
      <w:r w:rsidR="00B713F5" w:rsidRPr="003331EF">
        <w:rPr>
          <w:bCs/>
          <w:iCs/>
          <w:spacing w:val="-5"/>
          <w:lang w:eastAsia="en-US"/>
        </w:rPr>
        <w:t>krüptovara</w:t>
      </w:r>
      <w:proofErr w:type="spellEnd"/>
      <w:r w:rsidR="00B713F5" w:rsidRPr="003331EF">
        <w:rPr>
          <w:bCs/>
          <w:iCs/>
          <w:spacing w:val="-5"/>
          <w:lang w:eastAsia="en-US"/>
        </w:rPr>
        <w:t xml:space="preserve"> unikaalsetest omadustest ja sellest, millist kasu see annab </w:t>
      </w:r>
      <w:proofErr w:type="spellStart"/>
      <w:r w:rsidR="00B713F5" w:rsidRPr="003331EF">
        <w:rPr>
          <w:bCs/>
          <w:iCs/>
          <w:spacing w:val="-5"/>
          <w:lang w:eastAsia="en-US"/>
        </w:rPr>
        <w:t>tokeni</w:t>
      </w:r>
      <w:proofErr w:type="spellEnd"/>
      <w:r w:rsidR="00B713F5" w:rsidRPr="003331EF">
        <w:rPr>
          <w:bCs/>
          <w:iCs/>
          <w:spacing w:val="-5"/>
          <w:lang w:eastAsia="en-US"/>
        </w:rPr>
        <w:t xml:space="preserve"> omanikule. </w:t>
      </w:r>
    </w:p>
    <w:p w14:paraId="1209777B" w14:textId="77777777" w:rsidR="004459FD" w:rsidRPr="003331EF" w:rsidRDefault="004459FD" w:rsidP="003331EF">
      <w:pPr>
        <w:spacing w:before="0"/>
      </w:pPr>
    </w:p>
    <w:p w14:paraId="421D5269" w14:textId="41092056" w:rsidR="00654E68" w:rsidRPr="003331EF" w:rsidRDefault="00654E68" w:rsidP="003331EF">
      <w:pPr>
        <w:spacing w:before="0"/>
        <w:rPr>
          <w:bCs/>
          <w:iCs/>
          <w:spacing w:val="-5"/>
          <w:lang w:eastAsia="en-US"/>
        </w:rPr>
      </w:pPr>
      <w:r w:rsidRPr="003331EF">
        <w:rPr>
          <w:bCs/>
          <w:iCs/>
          <w:spacing w:val="-5"/>
          <w:lang w:eastAsia="en-US"/>
        </w:rPr>
        <w:t>Selleks, et</w:t>
      </w:r>
      <w:r w:rsidR="004459FD" w:rsidRPr="003331EF">
        <w:rPr>
          <w:bCs/>
          <w:iCs/>
          <w:spacing w:val="-5"/>
          <w:lang w:eastAsia="en-US"/>
        </w:rPr>
        <w:t xml:space="preserve"> </w:t>
      </w:r>
      <w:proofErr w:type="spellStart"/>
      <w:r w:rsidR="004459FD" w:rsidRPr="003331EF">
        <w:rPr>
          <w:bCs/>
          <w:iCs/>
          <w:spacing w:val="-5"/>
          <w:lang w:eastAsia="en-US"/>
        </w:rPr>
        <w:t>krüptovara</w:t>
      </w:r>
      <w:proofErr w:type="spellEnd"/>
      <w:r w:rsidR="004459FD" w:rsidRPr="003331EF">
        <w:rPr>
          <w:bCs/>
          <w:iCs/>
          <w:spacing w:val="-5"/>
          <w:lang w:eastAsia="en-US"/>
        </w:rPr>
        <w:t xml:space="preserve"> oleks võimalik käsitada ainulaadse ja mitteasendatavana, peaksid ainulaadsed ja mitteasendatavad olema ka esindatavad varad ja õigused. Ainulaadse ja mitteasendatava </w:t>
      </w:r>
      <w:proofErr w:type="spellStart"/>
      <w:r w:rsidR="004459FD" w:rsidRPr="003331EF">
        <w:rPr>
          <w:bCs/>
          <w:iCs/>
          <w:spacing w:val="-5"/>
          <w:lang w:eastAsia="en-US"/>
        </w:rPr>
        <w:t>krüptovara</w:t>
      </w:r>
      <w:proofErr w:type="spellEnd"/>
      <w:r w:rsidR="004459FD" w:rsidRPr="003331EF">
        <w:rPr>
          <w:bCs/>
          <w:iCs/>
          <w:spacing w:val="-5"/>
          <w:lang w:eastAsia="en-US"/>
        </w:rPr>
        <w:t xml:space="preserve"> väljajätmine</w:t>
      </w:r>
      <w:r w:rsidRPr="003331EF">
        <w:rPr>
          <w:bCs/>
          <w:iCs/>
          <w:spacing w:val="-5"/>
          <w:lang w:eastAsia="en-US"/>
        </w:rPr>
        <w:t xml:space="preserve"> </w:t>
      </w:r>
      <w:proofErr w:type="spellStart"/>
      <w:r w:rsidRPr="003331EF">
        <w:rPr>
          <w:bCs/>
          <w:iCs/>
          <w:spacing w:val="-5"/>
          <w:lang w:eastAsia="en-US"/>
        </w:rPr>
        <w:t>M</w:t>
      </w:r>
      <w:r w:rsidR="0003560E" w:rsidRPr="003331EF">
        <w:rPr>
          <w:bCs/>
          <w:iCs/>
          <w:spacing w:val="-5"/>
          <w:lang w:eastAsia="en-US"/>
        </w:rPr>
        <w:t>i</w:t>
      </w:r>
      <w:r w:rsidRPr="003331EF">
        <w:rPr>
          <w:bCs/>
          <w:iCs/>
          <w:spacing w:val="-5"/>
          <w:lang w:eastAsia="en-US"/>
        </w:rPr>
        <w:t>CA</w:t>
      </w:r>
      <w:proofErr w:type="spellEnd"/>
      <w:r w:rsidR="004459FD" w:rsidRPr="003331EF">
        <w:rPr>
          <w:bCs/>
          <w:iCs/>
          <w:spacing w:val="-5"/>
          <w:lang w:eastAsia="en-US"/>
        </w:rPr>
        <w:t xml:space="preserve"> määruse kohaldamisalast ei piira sellise </w:t>
      </w:r>
      <w:proofErr w:type="spellStart"/>
      <w:r w:rsidR="004459FD" w:rsidRPr="003331EF">
        <w:rPr>
          <w:bCs/>
          <w:iCs/>
          <w:spacing w:val="-5"/>
          <w:lang w:eastAsia="en-US"/>
        </w:rPr>
        <w:t>krüptovara</w:t>
      </w:r>
      <w:proofErr w:type="spellEnd"/>
      <w:r w:rsidR="004459FD" w:rsidRPr="003331EF">
        <w:rPr>
          <w:bCs/>
          <w:iCs/>
          <w:spacing w:val="-5"/>
          <w:lang w:eastAsia="en-US"/>
        </w:rPr>
        <w:t xml:space="preserve"> kvalifitseerimist finantsinstrumentideks. </w:t>
      </w:r>
      <w:r w:rsidRPr="003331EF">
        <w:rPr>
          <w:bCs/>
          <w:iCs/>
          <w:spacing w:val="-5"/>
          <w:lang w:eastAsia="en-US"/>
        </w:rPr>
        <w:t xml:space="preserve">Kui </w:t>
      </w:r>
      <w:proofErr w:type="spellStart"/>
      <w:r w:rsidR="004459FD" w:rsidRPr="003331EF">
        <w:rPr>
          <w:bCs/>
          <w:iCs/>
          <w:spacing w:val="-5"/>
          <w:lang w:eastAsia="en-US"/>
        </w:rPr>
        <w:t>krüptovara</w:t>
      </w:r>
      <w:proofErr w:type="spellEnd"/>
      <w:r w:rsidR="004459FD" w:rsidRPr="003331EF">
        <w:rPr>
          <w:bCs/>
          <w:iCs/>
          <w:spacing w:val="-5"/>
          <w:lang w:eastAsia="en-US"/>
        </w:rPr>
        <w:t xml:space="preserve"> näib olevat ainulaadne ja mitteasendatav, kuid mille </w:t>
      </w:r>
      <w:r w:rsidR="004459FD" w:rsidRPr="000B214D">
        <w:rPr>
          <w:bCs/>
          <w:i/>
          <w:spacing w:val="-5"/>
          <w:lang w:eastAsia="en-US"/>
        </w:rPr>
        <w:t>de facto</w:t>
      </w:r>
      <w:r w:rsidR="004459FD" w:rsidRPr="003331EF">
        <w:rPr>
          <w:bCs/>
          <w:iCs/>
          <w:spacing w:val="-5"/>
          <w:lang w:eastAsia="en-US"/>
        </w:rPr>
        <w:t xml:space="preserve"> omadused või omadused, mis on seotud selle tegeliku kasutamisega, muudaksid selle kas asendatavaks või mitte ainulaadseks</w:t>
      </w:r>
      <w:r w:rsidRPr="003331EF">
        <w:rPr>
          <w:bCs/>
          <w:iCs/>
          <w:spacing w:val="-5"/>
          <w:lang w:eastAsia="en-US"/>
        </w:rPr>
        <w:t xml:space="preserve">, kohaldatakse sellise </w:t>
      </w:r>
      <w:proofErr w:type="spellStart"/>
      <w:r w:rsidRPr="003331EF">
        <w:rPr>
          <w:bCs/>
          <w:iCs/>
          <w:spacing w:val="-5"/>
          <w:lang w:eastAsia="en-US"/>
        </w:rPr>
        <w:t>krüptovara</w:t>
      </w:r>
      <w:proofErr w:type="spellEnd"/>
      <w:r w:rsidRPr="003331EF">
        <w:rPr>
          <w:bCs/>
          <w:iCs/>
          <w:spacing w:val="-5"/>
          <w:lang w:eastAsia="en-US"/>
        </w:rPr>
        <w:t xml:space="preserve"> suhtes siiski </w:t>
      </w:r>
      <w:proofErr w:type="spellStart"/>
      <w:r w:rsidRPr="003331EF">
        <w:rPr>
          <w:bCs/>
          <w:iCs/>
          <w:spacing w:val="-5"/>
          <w:lang w:eastAsia="en-US"/>
        </w:rPr>
        <w:t>M</w:t>
      </w:r>
      <w:r w:rsidR="00A03096">
        <w:rPr>
          <w:bCs/>
          <w:iCs/>
          <w:spacing w:val="-5"/>
          <w:lang w:eastAsia="en-US"/>
        </w:rPr>
        <w:t>i</w:t>
      </w:r>
      <w:r w:rsidRPr="003331EF">
        <w:rPr>
          <w:bCs/>
          <w:iCs/>
          <w:spacing w:val="-5"/>
          <w:lang w:eastAsia="en-US"/>
        </w:rPr>
        <w:t>CA</w:t>
      </w:r>
      <w:proofErr w:type="spellEnd"/>
      <w:r w:rsidRPr="003331EF">
        <w:rPr>
          <w:bCs/>
          <w:iCs/>
          <w:spacing w:val="-5"/>
          <w:lang w:eastAsia="en-US"/>
        </w:rPr>
        <w:t xml:space="preserve"> määrust. </w:t>
      </w:r>
    </w:p>
    <w:p w14:paraId="5A1D3DA2" w14:textId="77777777" w:rsidR="00B53BB1" w:rsidRPr="003331EF" w:rsidRDefault="00B53BB1" w:rsidP="003331EF">
      <w:pPr>
        <w:spacing w:before="0"/>
        <w:rPr>
          <w:bCs/>
          <w:iCs/>
          <w:spacing w:val="-5"/>
          <w:lang w:eastAsia="en-US"/>
        </w:rPr>
      </w:pPr>
    </w:p>
    <w:p w14:paraId="5710DE10" w14:textId="0F973D03" w:rsidR="00B53BB1" w:rsidRPr="003331EF" w:rsidRDefault="00B53BB1" w:rsidP="003331EF">
      <w:pPr>
        <w:spacing w:before="0"/>
        <w:rPr>
          <w:bCs/>
          <w:iCs/>
          <w:spacing w:val="-5"/>
          <w:lang w:eastAsia="en-US"/>
        </w:rPr>
      </w:pPr>
      <w:r w:rsidRPr="003331EF">
        <w:rPr>
          <w:bCs/>
          <w:iCs/>
          <w:spacing w:val="-5"/>
          <w:lang w:eastAsia="en-US"/>
        </w:rPr>
        <w:t xml:space="preserve">Selleks et tagada selge piiritlemine ühelt poolt </w:t>
      </w:r>
      <w:proofErr w:type="spellStart"/>
      <w:r w:rsidR="00B861D2" w:rsidRPr="003331EF">
        <w:rPr>
          <w:bCs/>
          <w:iCs/>
          <w:spacing w:val="-5"/>
          <w:lang w:eastAsia="en-US"/>
        </w:rPr>
        <w:t>M</w:t>
      </w:r>
      <w:r w:rsidR="0003560E" w:rsidRPr="003331EF">
        <w:rPr>
          <w:bCs/>
          <w:iCs/>
          <w:spacing w:val="-5"/>
          <w:lang w:eastAsia="en-US"/>
        </w:rPr>
        <w:t>i</w:t>
      </w:r>
      <w:r w:rsidR="00B861D2" w:rsidRPr="003331EF">
        <w:rPr>
          <w:bCs/>
          <w:iCs/>
          <w:spacing w:val="-5"/>
          <w:lang w:eastAsia="en-US"/>
        </w:rPr>
        <w:t>CA</w:t>
      </w:r>
      <w:proofErr w:type="spellEnd"/>
      <w:r w:rsidR="00B861D2" w:rsidRPr="003331EF">
        <w:rPr>
          <w:bCs/>
          <w:iCs/>
          <w:spacing w:val="-5"/>
          <w:lang w:eastAsia="en-US"/>
        </w:rPr>
        <w:t xml:space="preserve"> </w:t>
      </w:r>
      <w:r w:rsidRPr="003331EF">
        <w:rPr>
          <w:bCs/>
          <w:iCs/>
          <w:spacing w:val="-5"/>
          <w:lang w:eastAsia="en-US"/>
        </w:rPr>
        <w:t xml:space="preserve">määrusega hõlmatud </w:t>
      </w:r>
      <w:proofErr w:type="spellStart"/>
      <w:r w:rsidRPr="003331EF">
        <w:rPr>
          <w:bCs/>
          <w:iCs/>
          <w:spacing w:val="-5"/>
          <w:lang w:eastAsia="en-US"/>
        </w:rPr>
        <w:t>krüptovara</w:t>
      </w:r>
      <w:proofErr w:type="spellEnd"/>
      <w:r w:rsidRPr="003331EF">
        <w:rPr>
          <w:bCs/>
          <w:iCs/>
          <w:spacing w:val="-5"/>
          <w:lang w:eastAsia="en-US"/>
        </w:rPr>
        <w:t xml:space="preserve"> ja teiselt poolt finantsinstrumentide vahel, </w:t>
      </w:r>
      <w:r w:rsidR="00B861D2" w:rsidRPr="003331EF">
        <w:rPr>
          <w:bCs/>
          <w:iCs/>
          <w:spacing w:val="-5"/>
          <w:lang w:eastAsia="en-US"/>
        </w:rPr>
        <w:t>antakse Euroopa Väärtpaberiturujärelevalve Asutusele (</w:t>
      </w:r>
      <w:r w:rsidRPr="003331EF">
        <w:rPr>
          <w:bCs/>
          <w:iCs/>
          <w:spacing w:val="-5"/>
          <w:lang w:eastAsia="en-US"/>
        </w:rPr>
        <w:t>ESMA</w:t>
      </w:r>
      <w:r w:rsidR="00B861D2" w:rsidRPr="003331EF">
        <w:rPr>
          <w:bCs/>
          <w:iCs/>
          <w:spacing w:val="-5"/>
          <w:lang w:eastAsia="en-US"/>
        </w:rPr>
        <w:t>)</w:t>
      </w:r>
      <w:r w:rsidRPr="003331EF">
        <w:rPr>
          <w:bCs/>
          <w:iCs/>
          <w:spacing w:val="-5"/>
          <w:lang w:eastAsia="en-US"/>
        </w:rPr>
        <w:t xml:space="preserve"> volitus koostada suunised </w:t>
      </w:r>
      <w:proofErr w:type="spellStart"/>
      <w:r w:rsidRPr="003331EF">
        <w:rPr>
          <w:bCs/>
          <w:iCs/>
          <w:spacing w:val="-5"/>
          <w:lang w:eastAsia="en-US"/>
        </w:rPr>
        <w:t>krüptovara</w:t>
      </w:r>
      <w:proofErr w:type="spellEnd"/>
      <w:r w:rsidRPr="003331EF">
        <w:rPr>
          <w:bCs/>
          <w:iCs/>
          <w:spacing w:val="-5"/>
          <w:lang w:eastAsia="en-US"/>
        </w:rPr>
        <w:t xml:space="preserve"> finantsinstrumentideks kvalifitseerimise kriteeriumide ja tingimuste kohta. Suunised võimalda</w:t>
      </w:r>
      <w:r w:rsidR="00B861D2" w:rsidRPr="003331EF">
        <w:rPr>
          <w:bCs/>
          <w:iCs/>
          <w:spacing w:val="-5"/>
          <w:lang w:eastAsia="en-US"/>
        </w:rPr>
        <w:t>vad</w:t>
      </w:r>
      <w:r w:rsidRPr="003331EF">
        <w:rPr>
          <w:bCs/>
          <w:iCs/>
          <w:spacing w:val="-5"/>
          <w:lang w:eastAsia="en-US"/>
        </w:rPr>
        <w:t xml:space="preserve"> paremini mõista juhtumeid, kus finantsinstrumendiks võib kvalifitseeruda </w:t>
      </w:r>
      <w:proofErr w:type="spellStart"/>
      <w:r w:rsidRPr="003331EF">
        <w:rPr>
          <w:bCs/>
          <w:iCs/>
          <w:spacing w:val="-5"/>
          <w:lang w:eastAsia="en-US"/>
        </w:rPr>
        <w:t>krüptovara</w:t>
      </w:r>
      <w:proofErr w:type="spellEnd"/>
      <w:r w:rsidRPr="003331EF">
        <w:rPr>
          <w:bCs/>
          <w:iCs/>
          <w:spacing w:val="-5"/>
          <w:lang w:eastAsia="en-US"/>
        </w:rPr>
        <w:t xml:space="preserve">, mida muidu peetakse ainulaadseks ja muu </w:t>
      </w:r>
      <w:proofErr w:type="spellStart"/>
      <w:r w:rsidRPr="003331EF">
        <w:rPr>
          <w:bCs/>
          <w:iCs/>
          <w:spacing w:val="-5"/>
          <w:lang w:eastAsia="en-US"/>
        </w:rPr>
        <w:t>krüptovaraga</w:t>
      </w:r>
      <w:proofErr w:type="spellEnd"/>
      <w:r w:rsidRPr="003331EF">
        <w:rPr>
          <w:bCs/>
          <w:iCs/>
          <w:spacing w:val="-5"/>
          <w:lang w:eastAsia="en-US"/>
        </w:rPr>
        <w:t xml:space="preserve"> mitteasendatavaks. </w:t>
      </w:r>
    </w:p>
    <w:p w14:paraId="3EB909BD" w14:textId="77777777" w:rsidR="00D700C5" w:rsidRPr="003331EF" w:rsidRDefault="00D700C5" w:rsidP="003331EF">
      <w:pPr>
        <w:spacing w:before="0"/>
      </w:pPr>
    </w:p>
    <w:p w14:paraId="26FA53A4" w14:textId="745867E5" w:rsidR="00D700C5" w:rsidRPr="003331EF" w:rsidRDefault="00D700C5" w:rsidP="003331EF">
      <w:pPr>
        <w:spacing w:before="0"/>
      </w:pPr>
      <w:r w:rsidRPr="003331EF">
        <w:rPr>
          <w:b/>
          <w:bCs/>
        </w:rPr>
        <w:t xml:space="preserve">2.3. Ülevaade </w:t>
      </w:r>
      <w:proofErr w:type="spellStart"/>
      <w:r w:rsidRPr="003331EF">
        <w:rPr>
          <w:b/>
          <w:bCs/>
        </w:rPr>
        <w:t>krüptovaraturu</w:t>
      </w:r>
      <w:proofErr w:type="spellEnd"/>
      <w:r w:rsidRPr="003331EF">
        <w:rPr>
          <w:b/>
          <w:bCs/>
        </w:rPr>
        <w:t xml:space="preserve"> arengutest</w:t>
      </w:r>
    </w:p>
    <w:p w14:paraId="2F05478D" w14:textId="77777777" w:rsidR="00B713F5" w:rsidRPr="003331EF" w:rsidRDefault="00B713F5" w:rsidP="003331EF">
      <w:pPr>
        <w:spacing w:before="0"/>
      </w:pPr>
    </w:p>
    <w:p w14:paraId="17E9FD4C" w14:textId="77777777" w:rsidR="007706BF" w:rsidRPr="003331EF" w:rsidRDefault="00FD5F53" w:rsidP="003331EF">
      <w:pPr>
        <w:spacing w:before="0"/>
        <w:rPr>
          <w:bCs/>
          <w:iCs/>
          <w:spacing w:val="-5"/>
          <w:lang w:eastAsia="en-US"/>
        </w:rPr>
      </w:pPr>
      <w:r w:rsidRPr="003331EF">
        <w:rPr>
          <w:bCs/>
          <w:iCs/>
          <w:spacing w:val="-5"/>
          <w:lang w:eastAsia="en-US"/>
        </w:rPr>
        <w:t xml:space="preserve">Rahvusvaheline Valuutafond (IMF) on oma raportis „G20 </w:t>
      </w:r>
      <w:proofErr w:type="spellStart"/>
      <w:r w:rsidRPr="003331EF">
        <w:rPr>
          <w:bCs/>
          <w:iCs/>
          <w:spacing w:val="-5"/>
          <w:lang w:eastAsia="en-US"/>
        </w:rPr>
        <w:t>note</w:t>
      </w:r>
      <w:proofErr w:type="spellEnd"/>
      <w:r w:rsidRPr="003331EF">
        <w:rPr>
          <w:bCs/>
          <w:iCs/>
          <w:spacing w:val="-5"/>
          <w:lang w:eastAsia="en-US"/>
        </w:rPr>
        <w:t xml:space="preserve"> on </w:t>
      </w:r>
      <w:proofErr w:type="spellStart"/>
      <w:r w:rsidRPr="003331EF">
        <w:rPr>
          <w:bCs/>
          <w:iCs/>
          <w:spacing w:val="-5"/>
          <w:lang w:eastAsia="en-US"/>
        </w:rPr>
        <w:t>the</w:t>
      </w:r>
      <w:proofErr w:type="spellEnd"/>
      <w:r w:rsidRPr="003331EF">
        <w:rPr>
          <w:bCs/>
          <w:iCs/>
          <w:spacing w:val="-5"/>
          <w:lang w:eastAsia="en-US"/>
        </w:rPr>
        <w:t xml:space="preserve"> </w:t>
      </w:r>
      <w:proofErr w:type="spellStart"/>
      <w:r w:rsidRPr="003331EF">
        <w:rPr>
          <w:bCs/>
          <w:iCs/>
          <w:spacing w:val="-5"/>
          <w:lang w:eastAsia="en-US"/>
        </w:rPr>
        <w:t>macrofinancial</w:t>
      </w:r>
      <w:proofErr w:type="spellEnd"/>
      <w:r w:rsidRPr="003331EF">
        <w:rPr>
          <w:bCs/>
          <w:iCs/>
          <w:spacing w:val="-5"/>
          <w:lang w:eastAsia="en-US"/>
        </w:rPr>
        <w:t xml:space="preserve"> </w:t>
      </w:r>
      <w:proofErr w:type="spellStart"/>
      <w:r w:rsidRPr="003331EF">
        <w:rPr>
          <w:bCs/>
          <w:iCs/>
          <w:spacing w:val="-5"/>
          <w:lang w:eastAsia="en-US"/>
        </w:rPr>
        <w:t>implications</w:t>
      </w:r>
      <w:proofErr w:type="spellEnd"/>
      <w:r w:rsidRPr="003331EF">
        <w:rPr>
          <w:bCs/>
          <w:iCs/>
          <w:spacing w:val="-5"/>
          <w:lang w:eastAsia="en-US"/>
        </w:rPr>
        <w:t xml:space="preserve"> of </w:t>
      </w:r>
      <w:proofErr w:type="spellStart"/>
      <w:r w:rsidRPr="003331EF">
        <w:rPr>
          <w:bCs/>
          <w:iCs/>
          <w:spacing w:val="-5"/>
          <w:lang w:eastAsia="en-US"/>
        </w:rPr>
        <w:t>crypto</w:t>
      </w:r>
      <w:proofErr w:type="spellEnd"/>
      <w:r w:rsidRPr="003331EF">
        <w:rPr>
          <w:bCs/>
          <w:iCs/>
          <w:spacing w:val="-5"/>
          <w:lang w:eastAsia="en-US"/>
        </w:rPr>
        <w:t xml:space="preserve"> </w:t>
      </w:r>
      <w:proofErr w:type="spellStart"/>
      <w:r w:rsidRPr="003331EF">
        <w:rPr>
          <w:bCs/>
          <w:iCs/>
          <w:spacing w:val="-5"/>
          <w:lang w:eastAsia="en-US"/>
        </w:rPr>
        <w:t>assets</w:t>
      </w:r>
      <w:proofErr w:type="spellEnd"/>
      <w:r w:rsidRPr="003331EF">
        <w:rPr>
          <w:bCs/>
          <w:iCs/>
          <w:spacing w:val="-5"/>
          <w:lang w:eastAsia="en-US"/>
        </w:rPr>
        <w:t xml:space="preserve">“ välja toonud, et </w:t>
      </w:r>
      <w:proofErr w:type="spellStart"/>
      <w:r w:rsidRPr="003331EF">
        <w:rPr>
          <w:bCs/>
          <w:iCs/>
          <w:spacing w:val="-5"/>
          <w:lang w:eastAsia="en-US"/>
        </w:rPr>
        <w:t>krüptovaraturu</w:t>
      </w:r>
      <w:proofErr w:type="spellEnd"/>
      <w:r w:rsidRPr="003331EF">
        <w:rPr>
          <w:bCs/>
          <w:iCs/>
          <w:spacing w:val="-5"/>
          <w:lang w:eastAsia="en-US"/>
        </w:rPr>
        <w:t xml:space="preserve"> suurus on oluliselt kõikunud, saavutades haripunkti umbes 3 triljoni USA dollari tasemel novembris 2021, enne kui kukkus alla 1 triljoni USA dollari 2023 aasta veebruari seisuga. </w:t>
      </w:r>
    </w:p>
    <w:p w14:paraId="0D66B97E" w14:textId="77777777" w:rsidR="007706BF" w:rsidRDefault="007706BF" w:rsidP="003331EF">
      <w:pPr>
        <w:spacing w:before="0"/>
      </w:pPr>
    </w:p>
    <w:p w14:paraId="0AEA0C3B" w14:textId="77777777" w:rsidR="00C617C8" w:rsidRPr="003331EF" w:rsidRDefault="00C617C8" w:rsidP="003331EF">
      <w:pPr>
        <w:spacing w:before="0"/>
      </w:pPr>
    </w:p>
    <w:p w14:paraId="76F469F3" w14:textId="0BDF37A7" w:rsidR="00D700C5" w:rsidRPr="003331EF" w:rsidRDefault="00FD5F53" w:rsidP="003331EF">
      <w:pPr>
        <w:spacing w:before="0"/>
        <w:rPr>
          <w:bCs/>
          <w:iCs/>
          <w:spacing w:val="-5"/>
          <w:lang w:eastAsia="en-US"/>
        </w:rPr>
      </w:pPr>
      <w:r w:rsidRPr="003331EF">
        <w:rPr>
          <w:bCs/>
          <w:iCs/>
          <w:spacing w:val="-5"/>
          <w:lang w:eastAsia="en-US"/>
        </w:rPr>
        <w:lastRenderedPageBreak/>
        <w:t xml:space="preserve">Vt </w:t>
      </w:r>
      <w:r w:rsidR="007A6D6C" w:rsidRPr="003331EF">
        <w:rPr>
          <w:bCs/>
          <w:iCs/>
          <w:spacing w:val="-5"/>
          <w:lang w:eastAsia="en-US"/>
        </w:rPr>
        <w:t>järgmist</w:t>
      </w:r>
      <w:r w:rsidRPr="003331EF">
        <w:rPr>
          <w:bCs/>
          <w:iCs/>
          <w:spacing w:val="-5"/>
          <w:lang w:eastAsia="en-US"/>
        </w:rPr>
        <w:t xml:space="preserve"> IMF joonist</w:t>
      </w:r>
      <w:r w:rsidR="007A6D6C" w:rsidRPr="003331EF">
        <w:rPr>
          <w:bCs/>
          <w:iCs/>
          <w:spacing w:val="-5"/>
          <w:lang w:eastAsia="en-US"/>
        </w:rPr>
        <w:t xml:space="preserve"> (erinevate </w:t>
      </w:r>
      <w:proofErr w:type="spellStart"/>
      <w:r w:rsidR="007A6D6C" w:rsidRPr="003331EF">
        <w:rPr>
          <w:bCs/>
          <w:iCs/>
          <w:spacing w:val="-5"/>
          <w:lang w:eastAsia="en-US"/>
        </w:rPr>
        <w:t>krüptovarade</w:t>
      </w:r>
      <w:proofErr w:type="spellEnd"/>
      <w:r w:rsidR="007A6D6C" w:rsidRPr="003331EF">
        <w:rPr>
          <w:bCs/>
          <w:iCs/>
          <w:spacing w:val="-5"/>
          <w:lang w:eastAsia="en-US"/>
        </w:rPr>
        <w:t xml:space="preserve"> turuväärtus, mln USA dollarites)</w:t>
      </w:r>
      <w:r w:rsidRPr="003331EF">
        <w:rPr>
          <w:bCs/>
          <w:iCs/>
          <w:spacing w:val="-5"/>
          <w:lang w:eastAsia="en-US"/>
        </w:rPr>
        <w:t>.</w:t>
      </w:r>
    </w:p>
    <w:p w14:paraId="2C66DC9A" w14:textId="77777777" w:rsidR="00FD5F53" w:rsidRPr="003331EF" w:rsidRDefault="00FD5F53" w:rsidP="003331EF">
      <w:pPr>
        <w:spacing w:before="0"/>
      </w:pPr>
    </w:p>
    <w:p w14:paraId="3A618A8D" w14:textId="1AD57161" w:rsidR="00FD5F53" w:rsidRPr="003331EF" w:rsidRDefault="00FD5F53" w:rsidP="003331EF">
      <w:pPr>
        <w:spacing w:before="0"/>
      </w:pPr>
      <w:r w:rsidRPr="003331EF">
        <w:rPr>
          <w:noProof/>
        </w:rPr>
        <w:drawing>
          <wp:anchor distT="0" distB="0" distL="114300" distR="114300" simplePos="0" relativeHeight="251659264" behindDoc="1" locked="0" layoutInCell="1" allowOverlap="1" wp14:anchorId="04C4CF42" wp14:editId="0A1373D4">
            <wp:simplePos x="0" y="0"/>
            <wp:positionH relativeFrom="column">
              <wp:posOffset>1009650</wp:posOffset>
            </wp:positionH>
            <wp:positionV relativeFrom="paragraph">
              <wp:posOffset>0</wp:posOffset>
            </wp:positionV>
            <wp:extent cx="3629025" cy="2319020"/>
            <wp:effectExtent l="0" t="0" r="0" b="5080"/>
            <wp:wrapTight wrapText="bothSides">
              <wp:wrapPolygon edited="0">
                <wp:start x="0" y="0"/>
                <wp:lineTo x="0" y="21470"/>
                <wp:lineTo x="21430" y="21470"/>
                <wp:lineTo x="21430" y="0"/>
                <wp:lineTo x="0" y="0"/>
              </wp:wrapPolygon>
            </wp:wrapTight>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11998" r="9448" b="7495"/>
                    <a:stretch/>
                  </pic:blipFill>
                  <pic:spPr bwMode="auto">
                    <a:xfrm>
                      <a:off x="0" y="0"/>
                      <a:ext cx="3629025" cy="2319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6D6C" w:rsidRPr="003331EF">
        <w:br w:type="textWrapping" w:clear="all"/>
      </w:r>
      <w:r w:rsidR="007706BF" w:rsidRPr="003331EF">
        <w:rPr>
          <w:b/>
          <w:bCs/>
        </w:rPr>
        <w:t xml:space="preserve">Joonis </w:t>
      </w:r>
      <w:r w:rsidR="00EF475C" w:rsidRPr="003331EF">
        <w:rPr>
          <w:b/>
          <w:bCs/>
        </w:rPr>
        <w:t>2</w:t>
      </w:r>
      <w:r w:rsidR="007706BF" w:rsidRPr="003331EF">
        <w:rPr>
          <w:b/>
          <w:bCs/>
        </w:rPr>
        <w:t>.</w:t>
      </w:r>
      <w:r w:rsidR="007706BF" w:rsidRPr="003331EF">
        <w:t xml:space="preserve"> </w:t>
      </w:r>
      <w:r w:rsidR="007706BF" w:rsidRPr="003331EF">
        <w:rPr>
          <w:bCs/>
          <w:iCs/>
          <w:spacing w:val="-5"/>
          <w:lang w:eastAsia="en-US"/>
        </w:rPr>
        <w:t xml:space="preserve">IMF joonis raportist „G20 </w:t>
      </w:r>
      <w:proofErr w:type="spellStart"/>
      <w:r w:rsidR="007706BF" w:rsidRPr="003331EF">
        <w:rPr>
          <w:bCs/>
          <w:iCs/>
          <w:spacing w:val="-5"/>
          <w:lang w:eastAsia="en-US"/>
        </w:rPr>
        <w:t>note</w:t>
      </w:r>
      <w:proofErr w:type="spellEnd"/>
      <w:r w:rsidR="007706BF" w:rsidRPr="003331EF">
        <w:rPr>
          <w:bCs/>
          <w:iCs/>
          <w:spacing w:val="-5"/>
          <w:lang w:eastAsia="en-US"/>
        </w:rPr>
        <w:t xml:space="preserve"> on </w:t>
      </w:r>
      <w:proofErr w:type="spellStart"/>
      <w:r w:rsidR="007706BF" w:rsidRPr="003331EF">
        <w:rPr>
          <w:bCs/>
          <w:iCs/>
          <w:spacing w:val="-5"/>
          <w:lang w:eastAsia="en-US"/>
        </w:rPr>
        <w:t>the</w:t>
      </w:r>
      <w:proofErr w:type="spellEnd"/>
      <w:r w:rsidR="007706BF" w:rsidRPr="003331EF">
        <w:rPr>
          <w:bCs/>
          <w:iCs/>
          <w:spacing w:val="-5"/>
          <w:lang w:eastAsia="en-US"/>
        </w:rPr>
        <w:t xml:space="preserve"> </w:t>
      </w:r>
      <w:proofErr w:type="spellStart"/>
      <w:r w:rsidR="007706BF" w:rsidRPr="003331EF">
        <w:rPr>
          <w:bCs/>
          <w:iCs/>
          <w:spacing w:val="-5"/>
          <w:lang w:eastAsia="en-US"/>
        </w:rPr>
        <w:t>macrofinancial</w:t>
      </w:r>
      <w:proofErr w:type="spellEnd"/>
      <w:r w:rsidR="007706BF" w:rsidRPr="003331EF">
        <w:rPr>
          <w:bCs/>
          <w:iCs/>
          <w:spacing w:val="-5"/>
          <w:lang w:eastAsia="en-US"/>
        </w:rPr>
        <w:t xml:space="preserve"> </w:t>
      </w:r>
      <w:proofErr w:type="spellStart"/>
      <w:r w:rsidR="007706BF" w:rsidRPr="003331EF">
        <w:rPr>
          <w:bCs/>
          <w:iCs/>
          <w:spacing w:val="-5"/>
          <w:lang w:eastAsia="en-US"/>
        </w:rPr>
        <w:t>implications</w:t>
      </w:r>
      <w:proofErr w:type="spellEnd"/>
      <w:r w:rsidR="007706BF" w:rsidRPr="003331EF">
        <w:rPr>
          <w:bCs/>
          <w:iCs/>
          <w:spacing w:val="-5"/>
          <w:lang w:eastAsia="en-US"/>
        </w:rPr>
        <w:t xml:space="preserve"> of </w:t>
      </w:r>
      <w:proofErr w:type="spellStart"/>
      <w:r w:rsidR="007706BF" w:rsidRPr="003331EF">
        <w:rPr>
          <w:bCs/>
          <w:iCs/>
          <w:spacing w:val="-5"/>
          <w:lang w:eastAsia="en-US"/>
        </w:rPr>
        <w:t>crypto</w:t>
      </w:r>
      <w:proofErr w:type="spellEnd"/>
      <w:r w:rsidR="007706BF" w:rsidRPr="003331EF">
        <w:rPr>
          <w:bCs/>
          <w:iCs/>
          <w:spacing w:val="-5"/>
          <w:lang w:eastAsia="en-US"/>
        </w:rPr>
        <w:t xml:space="preserve"> </w:t>
      </w:r>
      <w:proofErr w:type="spellStart"/>
      <w:r w:rsidR="007706BF" w:rsidRPr="003331EF">
        <w:rPr>
          <w:bCs/>
          <w:iCs/>
          <w:spacing w:val="-5"/>
          <w:lang w:eastAsia="en-US"/>
        </w:rPr>
        <w:t>assets</w:t>
      </w:r>
      <w:proofErr w:type="spellEnd"/>
      <w:r w:rsidR="007706BF" w:rsidRPr="003331EF">
        <w:rPr>
          <w:bCs/>
          <w:iCs/>
          <w:spacing w:val="-5"/>
          <w:lang w:eastAsia="en-US"/>
        </w:rPr>
        <w:t>“</w:t>
      </w:r>
    </w:p>
    <w:p w14:paraId="6424FFD2" w14:textId="77777777" w:rsidR="007706BF" w:rsidRPr="003331EF" w:rsidRDefault="007706BF" w:rsidP="003331EF">
      <w:pPr>
        <w:spacing w:before="0"/>
      </w:pPr>
    </w:p>
    <w:p w14:paraId="7C7DB9B8" w14:textId="7CD7EA1F" w:rsidR="00BD6496" w:rsidRPr="003331EF" w:rsidRDefault="006A2750" w:rsidP="003331EF">
      <w:pPr>
        <w:spacing w:before="0"/>
        <w:rPr>
          <w:bCs/>
          <w:iCs/>
          <w:spacing w:val="-5"/>
          <w:lang w:eastAsia="en-US"/>
        </w:rPr>
      </w:pPr>
      <w:r w:rsidRPr="003331EF">
        <w:rPr>
          <w:bCs/>
          <w:iCs/>
          <w:spacing w:val="-5"/>
          <w:lang w:eastAsia="en-US"/>
        </w:rPr>
        <w:t xml:space="preserve">Euroopa Süsteemsete Riskide Nõukogu on lisaks täpsustanud, et alates 10. märtsist 2023 on turukapitalisatsiooni alusel kahe suurima </w:t>
      </w:r>
      <w:proofErr w:type="spellStart"/>
      <w:r w:rsidRPr="003331EF">
        <w:rPr>
          <w:bCs/>
          <w:i/>
          <w:spacing w:val="-5"/>
          <w:lang w:eastAsia="en-US"/>
        </w:rPr>
        <w:t>bitcoin</w:t>
      </w:r>
      <w:r w:rsidR="00A43F3B" w:rsidRPr="00A43F3B">
        <w:rPr>
          <w:bCs/>
          <w:iCs/>
          <w:spacing w:val="-5"/>
          <w:lang w:eastAsia="en-US"/>
        </w:rPr>
        <w:t>’</w:t>
      </w:r>
      <w:r w:rsidR="00676328" w:rsidRPr="00A43F3B">
        <w:rPr>
          <w:bCs/>
          <w:iCs/>
          <w:spacing w:val="-5"/>
          <w:lang w:eastAsia="en-US"/>
        </w:rPr>
        <w:t>i</w:t>
      </w:r>
      <w:proofErr w:type="spellEnd"/>
      <w:r w:rsidRPr="003331EF">
        <w:rPr>
          <w:bCs/>
          <w:iCs/>
          <w:spacing w:val="-5"/>
          <w:lang w:eastAsia="en-US"/>
        </w:rPr>
        <w:t xml:space="preserve"> ja </w:t>
      </w:r>
      <w:proofErr w:type="spellStart"/>
      <w:r w:rsidRPr="00A43F3B">
        <w:rPr>
          <w:bCs/>
          <w:i/>
          <w:spacing w:val="-5"/>
          <w:lang w:eastAsia="en-US"/>
        </w:rPr>
        <w:t>ether</w:t>
      </w:r>
      <w:r w:rsidR="00A43F3B" w:rsidRPr="00A43F3B">
        <w:rPr>
          <w:bCs/>
          <w:iCs/>
          <w:spacing w:val="-5"/>
          <w:lang w:eastAsia="en-US"/>
        </w:rPr>
        <w:t>’</w:t>
      </w:r>
      <w:r w:rsidR="00A43F3B">
        <w:rPr>
          <w:bCs/>
          <w:iCs/>
          <w:spacing w:val="-5"/>
          <w:lang w:eastAsia="en-US"/>
        </w:rPr>
        <w:t>i</w:t>
      </w:r>
      <w:proofErr w:type="spellEnd"/>
      <w:r w:rsidR="00A43F3B">
        <w:rPr>
          <w:bCs/>
          <w:iCs/>
          <w:spacing w:val="-5"/>
          <w:lang w:eastAsia="en-US"/>
        </w:rPr>
        <w:t xml:space="preserve"> </w:t>
      </w:r>
      <w:r w:rsidRPr="00A43F3B">
        <w:rPr>
          <w:bCs/>
          <w:iCs/>
          <w:spacing w:val="-5"/>
          <w:lang w:eastAsia="en-US"/>
        </w:rPr>
        <w:t>hindadeks</w:t>
      </w:r>
      <w:r w:rsidRPr="003331EF">
        <w:rPr>
          <w:bCs/>
          <w:iCs/>
          <w:spacing w:val="-5"/>
          <w:lang w:eastAsia="en-US"/>
        </w:rPr>
        <w:t xml:space="preserve"> vastavalt 20 208 USA dollarit ja 1432 USA dollarit pärast seda, kui need hinnad olid kunagi vastavalt 67 549 USA dollarit ja 4811</w:t>
      </w:r>
      <w:r w:rsidR="00A75F06">
        <w:rPr>
          <w:bCs/>
          <w:iCs/>
          <w:spacing w:val="-5"/>
          <w:lang w:eastAsia="en-US"/>
        </w:rPr>
        <w:t> </w:t>
      </w:r>
      <w:r w:rsidRPr="003331EF">
        <w:rPr>
          <w:bCs/>
          <w:iCs/>
          <w:spacing w:val="-5"/>
          <w:lang w:eastAsia="en-US"/>
        </w:rPr>
        <w:t>USA dollarit. Tegemist on umbes 70-protsendilise langusega, mis on oluliselt suurem kui globaalsete aktsiate ligikaudu 20-protsendiline langus.</w:t>
      </w:r>
      <w:r w:rsidR="00B65C87" w:rsidRPr="003331EF">
        <w:rPr>
          <w:bCs/>
          <w:iCs/>
          <w:spacing w:val="-5"/>
          <w:lang w:eastAsia="en-US"/>
        </w:rPr>
        <w:t xml:space="preserve"> </w:t>
      </w:r>
      <w:proofErr w:type="spellStart"/>
      <w:r w:rsidR="00B65C87" w:rsidRPr="003331EF">
        <w:rPr>
          <w:bCs/>
          <w:iCs/>
          <w:spacing w:val="-5"/>
          <w:lang w:eastAsia="en-US"/>
        </w:rPr>
        <w:t>Krüptovaraturg</w:t>
      </w:r>
      <w:proofErr w:type="spellEnd"/>
      <w:r w:rsidR="00B65C87" w:rsidRPr="003331EF">
        <w:rPr>
          <w:bCs/>
          <w:iCs/>
          <w:spacing w:val="-5"/>
          <w:lang w:eastAsia="en-US"/>
        </w:rPr>
        <w:t xml:space="preserve"> on üsna kontsentreeritud. Alates 2023. aasta märtsi algusest moodustas </w:t>
      </w:r>
      <w:proofErr w:type="spellStart"/>
      <w:r w:rsidR="00B65C87" w:rsidRPr="003331EF">
        <w:rPr>
          <w:bCs/>
          <w:i/>
          <w:spacing w:val="-5"/>
          <w:lang w:eastAsia="en-US"/>
        </w:rPr>
        <w:t>bitcoin</w:t>
      </w:r>
      <w:proofErr w:type="spellEnd"/>
      <w:r w:rsidR="00B65C87" w:rsidRPr="003331EF">
        <w:rPr>
          <w:bCs/>
          <w:iCs/>
          <w:spacing w:val="-5"/>
          <w:lang w:eastAsia="en-US"/>
        </w:rPr>
        <w:t xml:space="preserve"> 44%</w:t>
      </w:r>
      <w:r w:rsidR="00BD6496" w:rsidRPr="003331EF">
        <w:rPr>
          <w:bCs/>
          <w:iCs/>
          <w:spacing w:val="-5"/>
          <w:lang w:eastAsia="en-US"/>
        </w:rPr>
        <w:t xml:space="preserve"> ja </w:t>
      </w:r>
      <w:proofErr w:type="spellStart"/>
      <w:r w:rsidR="00B65C87" w:rsidRPr="003331EF">
        <w:rPr>
          <w:bCs/>
          <w:i/>
          <w:spacing w:val="-5"/>
          <w:lang w:eastAsia="en-US"/>
        </w:rPr>
        <w:t>ether</w:t>
      </w:r>
      <w:proofErr w:type="spellEnd"/>
      <w:r w:rsidR="00B65C87" w:rsidRPr="003331EF">
        <w:rPr>
          <w:bCs/>
          <w:iCs/>
          <w:spacing w:val="-5"/>
          <w:lang w:eastAsia="en-US"/>
        </w:rPr>
        <w:t xml:space="preserve"> 20% kogu </w:t>
      </w:r>
      <w:proofErr w:type="spellStart"/>
      <w:r w:rsidR="00B65C87" w:rsidRPr="003331EF">
        <w:rPr>
          <w:bCs/>
          <w:iCs/>
          <w:spacing w:val="-5"/>
          <w:lang w:eastAsia="en-US"/>
        </w:rPr>
        <w:t>krüptovaraturu</w:t>
      </w:r>
      <w:proofErr w:type="spellEnd"/>
      <w:r w:rsidR="00B65C87" w:rsidRPr="003331EF">
        <w:rPr>
          <w:bCs/>
          <w:iCs/>
          <w:spacing w:val="-5"/>
          <w:lang w:eastAsia="en-US"/>
        </w:rPr>
        <w:t xml:space="preserve"> turuväärtusest.</w:t>
      </w:r>
      <w:r w:rsidR="00BD6496" w:rsidRPr="003331EF">
        <w:rPr>
          <w:bCs/>
          <w:iCs/>
          <w:spacing w:val="-5"/>
          <w:lang w:eastAsia="en-US"/>
        </w:rPr>
        <w:t xml:space="preserve"> </w:t>
      </w:r>
    </w:p>
    <w:p w14:paraId="148D75D5" w14:textId="77777777" w:rsidR="00BD6496" w:rsidRPr="003331EF" w:rsidRDefault="00BD6496" w:rsidP="003331EF">
      <w:pPr>
        <w:spacing w:before="0"/>
      </w:pPr>
    </w:p>
    <w:p w14:paraId="0AC8FE89" w14:textId="27DF3C76" w:rsidR="00B65C87" w:rsidRPr="003331EF" w:rsidRDefault="00BD6496" w:rsidP="003331EF">
      <w:pPr>
        <w:spacing w:before="0"/>
        <w:rPr>
          <w:bCs/>
          <w:iCs/>
          <w:spacing w:val="-5"/>
          <w:lang w:eastAsia="en-US"/>
        </w:rPr>
      </w:pPr>
      <w:r w:rsidRPr="003331EF">
        <w:rPr>
          <w:bCs/>
          <w:iCs/>
          <w:spacing w:val="-5"/>
          <w:lang w:eastAsia="en-US"/>
        </w:rPr>
        <w:t xml:space="preserve">USA dollariga tagatud </w:t>
      </w:r>
      <w:proofErr w:type="spellStart"/>
      <w:r w:rsidRPr="003331EF">
        <w:rPr>
          <w:bCs/>
          <w:i/>
          <w:spacing w:val="-5"/>
          <w:lang w:eastAsia="en-US"/>
        </w:rPr>
        <w:t>stablecoin</w:t>
      </w:r>
      <w:r w:rsidRPr="00626215">
        <w:rPr>
          <w:bCs/>
          <w:iCs/>
          <w:spacing w:val="-5"/>
          <w:lang w:eastAsia="en-US"/>
        </w:rPr>
        <w:t>’id</w:t>
      </w:r>
      <w:proofErr w:type="spellEnd"/>
      <w:r w:rsidRPr="003331EF">
        <w:rPr>
          <w:bCs/>
          <w:iCs/>
          <w:spacing w:val="-5"/>
          <w:lang w:eastAsia="en-US"/>
        </w:rPr>
        <w:t xml:space="preserve"> on viimase aasta jooksul langenud turuväärtuses oluliselt vähem. Näiteks langes </w:t>
      </w:r>
      <w:proofErr w:type="spellStart"/>
      <w:r w:rsidRPr="003331EF">
        <w:rPr>
          <w:bCs/>
          <w:iCs/>
          <w:spacing w:val="-5"/>
          <w:lang w:eastAsia="en-US"/>
        </w:rPr>
        <w:t>Tetheri</w:t>
      </w:r>
      <w:proofErr w:type="spellEnd"/>
      <w:r w:rsidRPr="003331EF">
        <w:rPr>
          <w:bCs/>
          <w:iCs/>
          <w:spacing w:val="-5"/>
          <w:lang w:eastAsia="en-US"/>
        </w:rPr>
        <w:t xml:space="preserve"> </w:t>
      </w:r>
      <w:r w:rsidR="00D67C76" w:rsidRPr="003331EF">
        <w:rPr>
          <w:bCs/>
          <w:iCs/>
          <w:spacing w:val="-5"/>
          <w:lang w:eastAsia="en-US"/>
        </w:rPr>
        <w:t xml:space="preserve">(USDT) </w:t>
      </w:r>
      <w:r w:rsidRPr="003331EF">
        <w:rPr>
          <w:bCs/>
          <w:iCs/>
          <w:spacing w:val="-5"/>
          <w:lang w:eastAsia="en-US"/>
        </w:rPr>
        <w:t xml:space="preserve">turuväärtus 2022. aasta mais 83 miljardilt USA dollarilt 2023. aasta märtsi alguses 72 miljardi USA dollarini. </w:t>
      </w:r>
      <w:r w:rsidR="00652F2F" w:rsidRPr="003331EF">
        <w:rPr>
          <w:bCs/>
          <w:iCs/>
          <w:spacing w:val="-5"/>
          <w:lang w:eastAsia="en-US"/>
        </w:rPr>
        <w:t xml:space="preserve">2023. aasta märtsi alguse seisuga on kahe suurima USA dollariga tagatud </w:t>
      </w:r>
      <w:proofErr w:type="spellStart"/>
      <w:r w:rsidR="00652F2F" w:rsidRPr="003331EF">
        <w:rPr>
          <w:bCs/>
          <w:i/>
          <w:spacing w:val="-5"/>
          <w:lang w:eastAsia="en-US"/>
        </w:rPr>
        <w:t>stablecoin</w:t>
      </w:r>
      <w:proofErr w:type="spellEnd"/>
      <w:r w:rsidR="00652F2F" w:rsidRPr="003331EF">
        <w:rPr>
          <w:bCs/>
          <w:iCs/>
          <w:spacing w:val="-5"/>
          <w:lang w:eastAsia="en-US"/>
        </w:rPr>
        <w:t xml:space="preserve"> (USDT ja USDC) ühine turuväärtus 116 miljardit USA dollarit</w:t>
      </w:r>
      <w:r w:rsidR="00581489" w:rsidRPr="003331EF">
        <w:rPr>
          <w:bCs/>
          <w:iCs/>
          <w:spacing w:val="-5"/>
          <w:lang w:eastAsia="en-US"/>
        </w:rPr>
        <w:t>, samas</w:t>
      </w:r>
      <w:r w:rsidR="00652F2F" w:rsidRPr="003331EF">
        <w:rPr>
          <w:bCs/>
          <w:iCs/>
          <w:spacing w:val="-5"/>
          <w:lang w:eastAsia="en-US"/>
        </w:rPr>
        <w:t xml:space="preserve"> kolme suurima </w:t>
      </w:r>
      <w:r w:rsidR="00581489" w:rsidRPr="003331EF">
        <w:rPr>
          <w:bCs/>
          <w:iCs/>
          <w:spacing w:val="-5"/>
          <w:lang w:eastAsia="en-US"/>
        </w:rPr>
        <w:t xml:space="preserve">euroga </w:t>
      </w:r>
      <w:r w:rsidR="00652F2F" w:rsidRPr="003331EF">
        <w:rPr>
          <w:bCs/>
          <w:iCs/>
          <w:spacing w:val="-5"/>
          <w:lang w:eastAsia="en-US"/>
        </w:rPr>
        <w:t xml:space="preserve">tagatud </w:t>
      </w:r>
      <w:proofErr w:type="spellStart"/>
      <w:r w:rsidR="00581489" w:rsidRPr="003331EF">
        <w:rPr>
          <w:bCs/>
          <w:i/>
          <w:spacing w:val="-5"/>
          <w:lang w:eastAsia="en-US"/>
        </w:rPr>
        <w:t>stablecoin</w:t>
      </w:r>
      <w:r w:rsidR="00581489" w:rsidRPr="00626215">
        <w:rPr>
          <w:bCs/>
          <w:iCs/>
          <w:spacing w:val="-5"/>
          <w:lang w:eastAsia="en-US"/>
        </w:rPr>
        <w:t>’i</w:t>
      </w:r>
      <w:proofErr w:type="spellEnd"/>
      <w:r w:rsidR="00581489" w:rsidRPr="00626215">
        <w:rPr>
          <w:bCs/>
          <w:iCs/>
          <w:spacing w:val="-5"/>
          <w:lang w:eastAsia="en-US"/>
        </w:rPr>
        <w:t xml:space="preserve"> </w:t>
      </w:r>
      <w:r w:rsidR="00652F2F" w:rsidRPr="003331EF">
        <w:rPr>
          <w:bCs/>
          <w:iCs/>
          <w:spacing w:val="-5"/>
          <w:lang w:eastAsia="en-US"/>
        </w:rPr>
        <w:t>(EURT, EURS, CEUR) puhul</w:t>
      </w:r>
      <w:r w:rsidR="00581489" w:rsidRPr="003331EF">
        <w:rPr>
          <w:bCs/>
          <w:iCs/>
          <w:spacing w:val="-5"/>
          <w:lang w:eastAsia="en-US"/>
        </w:rPr>
        <w:t xml:space="preserve"> on turuväärtus</w:t>
      </w:r>
      <w:r w:rsidR="00652F2F" w:rsidRPr="003331EF">
        <w:rPr>
          <w:bCs/>
          <w:iCs/>
          <w:spacing w:val="-5"/>
          <w:lang w:eastAsia="en-US"/>
        </w:rPr>
        <w:t xml:space="preserve"> 383 miljonit eurot (umbes 410 miljonit USA dollarit)</w:t>
      </w:r>
      <w:r w:rsidR="00581489" w:rsidRPr="003331EF">
        <w:rPr>
          <w:bCs/>
          <w:iCs/>
          <w:spacing w:val="-5"/>
          <w:lang w:eastAsia="en-US"/>
        </w:rPr>
        <w:t xml:space="preserve"> ehk tegemist on oluliselt väiksemate mahtudega.</w:t>
      </w:r>
    </w:p>
    <w:p w14:paraId="2B919F7B" w14:textId="77777777" w:rsidR="00D01BAE" w:rsidRPr="003331EF" w:rsidRDefault="00D01BAE" w:rsidP="003331EF">
      <w:pPr>
        <w:spacing w:before="0"/>
      </w:pPr>
    </w:p>
    <w:p w14:paraId="7206AF70" w14:textId="15537E96" w:rsidR="00D01BAE" w:rsidRPr="003331EF" w:rsidRDefault="00D01BAE" w:rsidP="003331EF">
      <w:pPr>
        <w:spacing w:before="0"/>
        <w:rPr>
          <w:bCs/>
          <w:iCs/>
          <w:spacing w:val="-5"/>
          <w:lang w:eastAsia="en-US"/>
        </w:rPr>
      </w:pPr>
      <w:r w:rsidRPr="003331EF">
        <w:rPr>
          <w:bCs/>
          <w:iCs/>
          <w:spacing w:val="-5"/>
          <w:lang w:eastAsia="en-US"/>
        </w:rPr>
        <w:t xml:space="preserve">Kui rääkida kauplemismahtudest, siis </w:t>
      </w:r>
      <w:proofErr w:type="spellStart"/>
      <w:r w:rsidRPr="003331EF">
        <w:rPr>
          <w:bCs/>
          <w:i/>
          <w:spacing w:val="-5"/>
          <w:lang w:eastAsia="en-US"/>
        </w:rPr>
        <w:t>bitcoin'i</w:t>
      </w:r>
      <w:proofErr w:type="spellEnd"/>
      <w:r w:rsidRPr="003331EF">
        <w:rPr>
          <w:bCs/>
          <w:iCs/>
          <w:spacing w:val="-5"/>
          <w:lang w:eastAsia="en-US"/>
        </w:rPr>
        <w:t xml:space="preserve"> kauplemismaht on selgelt kõige suurem, käesoleval ajal jääb 24-tunnine maht </w:t>
      </w:r>
      <w:r w:rsidR="006301C1" w:rsidRPr="003331EF">
        <w:rPr>
          <w:bCs/>
          <w:iCs/>
          <w:spacing w:val="-5"/>
          <w:lang w:eastAsia="en-US"/>
        </w:rPr>
        <w:t>14</w:t>
      </w:r>
      <w:r w:rsidRPr="003331EF">
        <w:rPr>
          <w:bCs/>
          <w:iCs/>
          <w:spacing w:val="-5"/>
          <w:lang w:eastAsia="en-US"/>
        </w:rPr>
        <w:t xml:space="preserve"> miljardi USA dollari kanti, kuid see oli üle 50 miljardi USA dollari 2021. aasta mais. USA dollariga tagatud </w:t>
      </w:r>
      <w:proofErr w:type="spellStart"/>
      <w:r w:rsidRPr="003331EF">
        <w:rPr>
          <w:bCs/>
          <w:iCs/>
          <w:spacing w:val="-5"/>
          <w:lang w:eastAsia="en-US"/>
        </w:rPr>
        <w:t>stablecoin’idega</w:t>
      </w:r>
      <w:proofErr w:type="spellEnd"/>
      <w:r w:rsidRPr="003331EF">
        <w:rPr>
          <w:bCs/>
          <w:iCs/>
          <w:spacing w:val="-5"/>
          <w:lang w:eastAsia="en-US"/>
        </w:rPr>
        <w:t xml:space="preserve"> kauplemine </w:t>
      </w:r>
      <w:r w:rsidR="00895B8D" w:rsidRPr="003331EF">
        <w:rPr>
          <w:bCs/>
          <w:iCs/>
          <w:spacing w:val="-5"/>
          <w:lang w:eastAsia="en-US"/>
        </w:rPr>
        <w:t xml:space="preserve">on </w:t>
      </w:r>
      <w:r w:rsidRPr="003331EF">
        <w:rPr>
          <w:bCs/>
          <w:iCs/>
          <w:spacing w:val="-5"/>
          <w:lang w:eastAsia="en-US"/>
        </w:rPr>
        <w:t xml:space="preserve">tavapärase päevase mahuga üle 20 miljardi USA dollari ja tipuga üle 100 miljardi USA dollari 2021. aasta lõpus. </w:t>
      </w:r>
      <w:r w:rsidR="00626215">
        <w:rPr>
          <w:bCs/>
          <w:iCs/>
          <w:spacing w:val="-5"/>
          <w:lang w:eastAsia="en-US"/>
        </w:rPr>
        <w:t>Eurodega</w:t>
      </w:r>
      <w:r w:rsidRPr="003331EF">
        <w:rPr>
          <w:bCs/>
          <w:iCs/>
          <w:spacing w:val="-5"/>
          <w:lang w:eastAsia="en-US"/>
        </w:rPr>
        <w:t xml:space="preserve"> tagatud </w:t>
      </w:r>
      <w:proofErr w:type="spellStart"/>
      <w:r w:rsidRPr="00626215">
        <w:rPr>
          <w:bCs/>
          <w:i/>
          <w:spacing w:val="-5"/>
          <w:lang w:eastAsia="en-US"/>
        </w:rPr>
        <w:t>stablecoin</w:t>
      </w:r>
      <w:r w:rsidRPr="003331EF">
        <w:rPr>
          <w:bCs/>
          <w:iCs/>
          <w:spacing w:val="-5"/>
          <w:lang w:eastAsia="en-US"/>
        </w:rPr>
        <w:t>’id</w:t>
      </w:r>
      <w:r w:rsidR="00626215">
        <w:rPr>
          <w:bCs/>
          <w:iCs/>
          <w:spacing w:val="-5"/>
          <w:lang w:eastAsia="en-US"/>
        </w:rPr>
        <w:t>ega</w:t>
      </w:r>
      <w:proofErr w:type="spellEnd"/>
      <w:r w:rsidRPr="003331EF">
        <w:rPr>
          <w:bCs/>
          <w:iCs/>
          <w:spacing w:val="-5"/>
          <w:lang w:eastAsia="en-US"/>
        </w:rPr>
        <w:t xml:space="preserve"> kauplemine on tipphetkedel olnud kõigest veidi üle 90 miljoni euro.</w:t>
      </w:r>
    </w:p>
    <w:p w14:paraId="5D9FAA0F" w14:textId="77777777" w:rsidR="00B65C87" w:rsidRPr="003331EF" w:rsidRDefault="00B65C87" w:rsidP="003331EF">
      <w:pPr>
        <w:spacing w:before="0"/>
      </w:pPr>
    </w:p>
    <w:p w14:paraId="6AF9A012" w14:textId="1512EE50" w:rsidR="00B65C87" w:rsidRPr="003331EF" w:rsidRDefault="00652F2F" w:rsidP="003331EF">
      <w:pPr>
        <w:spacing w:before="0"/>
        <w:rPr>
          <w:bCs/>
          <w:iCs/>
          <w:spacing w:val="-5"/>
          <w:lang w:eastAsia="en-US"/>
        </w:rPr>
      </w:pPr>
      <w:r w:rsidRPr="003331EF">
        <w:rPr>
          <w:bCs/>
          <w:iCs/>
          <w:spacing w:val="-5"/>
          <w:lang w:eastAsia="en-US"/>
        </w:rPr>
        <w:t xml:space="preserve">Võrreldes traditsioonilise finantssektoriga on </w:t>
      </w:r>
      <w:proofErr w:type="spellStart"/>
      <w:r w:rsidRPr="003331EF">
        <w:rPr>
          <w:bCs/>
          <w:iCs/>
          <w:spacing w:val="-5"/>
          <w:lang w:eastAsia="en-US"/>
        </w:rPr>
        <w:t>krüptovara</w:t>
      </w:r>
      <w:proofErr w:type="spellEnd"/>
      <w:r w:rsidRPr="003331EF">
        <w:rPr>
          <w:bCs/>
          <w:iCs/>
          <w:spacing w:val="-5"/>
          <w:lang w:eastAsia="en-US"/>
        </w:rPr>
        <w:t xml:space="preserve"> turuväärtus üsna väike. </w:t>
      </w:r>
      <w:r w:rsidR="00B65C87" w:rsidRPr="003331EF">
        <w:rPr>
          <w:bCs/>
          <w:iCs/>
          <w:spacing w:val="-5"/>
          <w:lang w:eastAsia="en-US"/>
        </w:rPr>
        <w:t xml:space="preserve">2021. aasta kolmandas kvartalis, mil globaalse </w:t>
      </w:r>
      <w:proofErr w:type="spellStart"/>
      <w:r w:rsidR="00B65C87" w:rsidRPr="003331EF">
        <w:rPr>
          <w:bCs/>
          <w:iCs/>
          <w:spacing w:val="-5"/>
          <w:lang w:eastAsia="en-US"/>
        </w:rPr>
        <w:t>krüptovaraturu</w:t>
      </w:r>
      <w:proofErr w:type="spellEnd"/>
      <w:r w:rsidR="00B65C87" w:rsidRPr="003331EF">
        <w:rPr>
          <w:bCs/>
          <w:iCs/>
          <w:spacing w:val="-5"/>
          <w:lang w:eastAsia="en-US"/>
        </w:rPr>
        <w:t xml:space="preserve"> turuväärtus oli haripunktis ehk ligi 3 miljardit USA dollarit, moodustas see ainult 1,5% ainuüksi EL finantssektori väärtusest, mida hinnati umbes 105</w:t>
      </w:r>
      <w:r w:rsidR="000B3068">
        <w:rPr>
          <w:bCs/>
          <w:iCs/>
          <w:spacing w:val="-5"/>
          <w:lang w:eastAsia="en-US"/>
        </w:rPr>
        <w:t> </w:t>
      </w:r>
      <w:r w:rsidR="00B65C87" w:rsidRPr="003331EF">
        <w:rPr>
          <w:bCs/>
          <w:iCs/>
          <w:spacing w:val="-5"/>
          <w:lang w:eastAsia="en-US"/>
        </w:rPr>
        <w:t>triljoni euro ulatuses.</w:t>
      </w:r>
      <w:r w:rsidRPr="003331EF">
        <w:rPr>
          <w:bCs/>
          <w:iCs/>
          <w:spacing w:val="-5"/>
          <w:lang w:eastAsia="en-US"/>
        </w:rPr>
        <w:t xml:space="preserve"> Käesoleva aasta märtsi seisuga moodustab </w:t>
      </w:r>
      <w:proofErr w:type="spellStart"/>
      <w:r w:rsidRPr="003331EF">
        <w:rPr>
          <w:bCs/>
          <w:iCs/>
          <w:spacing w:val="-5"/>
          <w:lang w:eastAsia="en-US"/>
        </w:rPr>
        <w:t>krüptovarade</w:t>
      </w:r>
      <w:proofErr w:type="spellEnd"/>
      <w:r w:rsidRPr="003331EF">
        <w:rPr>
          <w:bCs/>
          <w:iCs/>
          <w:spacing w:val="-5"/>
          <w:lang w:eastAsia="en-US"/>
        </w:rPr>
        <w:t xml:space="preserve"> turuväärtus umbes 0,8 protsenti EL-i finantssektorist. </w:t>
      </w:r>
    </w:p>
    <w:p w14:paraId="622D57F0" w14:textId="77777777" w:rsidR="008132C2" w:rsidRPr="003331EF" w:rsidRDefault="008132C2" w:rsidP="003331EF">
      <w:pPr>
        <w:spacing w:before="0"/>
      </w:pPr>
    </w:p>
    <w:p w14:paraId="6C7BCC69" w14:textId="6B4009B7" w:rsidR="00FA614C" w:rsidRPr="003331EF" w:rsidRDefault="00FA614C" w:rsidP="003331EF">
      <w:pPr>
        <w:spacing w:before="0"/>
        <w:rPr>
          <w:b/>
          <w:bCs/>
        </w:rPr>
      </w:pPr>
      <w:r w:rsidRPr="003331EF">
        <w:rPr>
          <w:b/>
          <w:bCs/>
        </w:rPr>
        <w:t>2.</w:t>
      </w:r>
      <w:r w:rsidR="00D700C5" w:rsidRPr="003331EF">
        <w:rPr>
          <w:b/>
          <w:bCs/>
        </w:rPr>
        <w:t>4</w:t>
      </w:r>
      <w:r w:rsidRPr="003331EF">
        <w:rPr>
          <w:b/>
          <w:bCs/>
        </w:rPr>
        <w:t>. Väljatöötamiskavatsus ja valikukohad</w:t>
      </w:r>
    </w:p>
    <w:p w14:paraId="035FB4BA" w14:textId="08164C8F" w:rsidR="00FA614C" w:rsidRPr="003331EF" w:rsidRDefault="00FA614C" w:rsidP="003331EF">
      <w:pPr>
        <w:pStyle w:val="muutmisksk"/>
        <w:spacing w:before="0"/>
      </w:pPr>
      <w:r w:rsidRPr="003331EF">
        <w:rPr>
          <w:b/>
          <w:bCs/>
        </w:rPr>
        <w:t>2.</w:t>
      </w:r>
      <w:r w:rsidR="00D700C5" w:rsidRPr="003331EF">
        <w:rPr>
          <w:b/>
          <w:bCs/>
        </w:rPr>
        <w:t>4</w:t>
      </w:r>
      <w:r w:rsidRPr="003331EF">
        <w:rPr>
          <w:b/>
          <w:bCs/>
        </w:rPr>
        <w:t>.1. Väljatöötamiskavatsus</w:t>
      </w:r>
    </w:p>
    <w:p w14:paraId="220A8C37" w14:textId="77777777" w:rsidR="00F02DB9" w:rsidRPr="00A4579B" w:rsidRDefault="00F02DB9" w:rsidP="003331EF">
      <w:pPr>
        <w:spacing w:before="0"/>
        <w:rPr>
          <w:lang w:eastAsia="en-US"/>
        </w:rPr>
      </w:pPr>
    </w:p>
    <w:p w14:paraId="0111DA9A" w14:textId="264D7271" w:rsidR="000C37D3" w:rsidRPr="003331EF" w:rsidRDefault="000C37D3" w:rsidP="003331EF">
      <w:pPr>
        <w:spacing w:before="0"/>
        <w:rPr>
          <w:bCs/>
          <w:iCs/>
          <w:spacing w:val="-5"/>
          <w:lang w:eastAsia="en-US"/>
        </w:rPr>
      </w:pPr>
      <w:r w:rsidRPr="003331EF">
        <w:rPr>
          <w:bCs/>
          <w:iCs/>
          <w:spacing w:val="-5"/>
          <w:lang w:eastAsia="en-US"/>
        </w:rPr>
        <w:t xml:space="preserve">Rahandusministeerium avalikustas 2019. a. 19. novembril </w:t>
      </w:r>
      <w:proofErr w:type="spellStart"/>
      <w:r w:rsidRPr="003331EF">
        <w:rPr>
          <w:bCs/>
          <w:iCs/>
          <w:spacing w:val="-5"/>
          <w:lang w:eastAsia="en-US"/>
        </w:rPr>
        <w:t>krüptovarade</w:t>
      </w:r>
      <w:proofErr w:type="spellEnd"/>
      <w:r w:rsidRPr="003331EF">
        <w:rPr>
          <w:bCs/>
          <w:iCs/>
          <w:spacing w:val="-5"/>
          <w:lang w:eastAsia="en-US"/>
        </w:rPr>
        <w:t xml:space="preserve"> reguleerimise väljatöötamiskavatsuse (VTK). VTK eesmärk oli selgitada välja, kas Eesti peaks täiendavalt seda </w:t>
      </w:r>
      <w:r w:rsidRPr="003331EF">
        <w:rPr>
          <w:bCs/>
          <w:iCs/>
          <w:spacing w:val="-5"/>
          <w:lang w:eastAsia="en-US"/>
        </w:rPr>
        <w:lastRenderedPageBreak/>
        <w:t xml:space="preserve">valdkonda reguleerima (sh kas minna kaugemale toonasest </w:t>
      </w:r>
      <w:proofErr w:type="spellStart"/>
      <w:r w:rsidRPr="003331EF">
        <w:rPr>
          <w:bCs/>
          <w:iCs/>
          <w:spacing w:val="-5"/>
          <w:lang w:eastAsia="en-US"/>
        </w:rPr>
        <w:t>RahaPTS</w:t>
      </w:r>
      <w:proofErr w:type="spellEnd"/>
      <w:r w:rsidRPr="003331EF">
        <w:rPr>
          <w:bCs/>
          <w:iCs/>
          <w:spacing w:val="-5"/>
          <w:lang w:eastAsia="en-US"/>
        </w:rPr>
        <w:t>-s sätestatust – nt reguleerida igasuguste investeerimisinstrumentide pakkumise allutamine finantsjärelevalve alla).</w:t>
      </w:r>
    </w:p>
    <w:p w14:paraId="5AB2220F" w14:textId="77777777" w:rsidR="000C37D3" w:rsidRPr="003331EF" w:rsidRDefault="000C37D3" w:rsidP="003331EF">
      <w:pPr>
        <w:spacing w:before="0"/>
        <w:rPr>
          <w:bCs/>
          <w:iCs/>
          <w:spacing w:val="-5"/>
          <w:lang w:eastAsia="en-US"/>
        </w:rPr>
      </w:pPr>
    </w:p>
    <w:p w14:paraId="4A96C777" w14:textId="75D15C27" w:rsidR="00BE3DF6" w:rsidRPr="003331EF" w:rsidRDefault="000C37D3" w:rsidP="003331EF">
      <w:pPr>
        <w:spacing w:before="0"/>
        <w:rPr>
          <w:bCs/>
          <w:iCs/>
          <w:spacing w:val="-5"/>
          <w:lang w:eastAsia="en-US"/>
        </w:rPr>
      </w:pPr>
      <w:r w:rsidRPr="003331EF">
        <w:rPr>
          <w:bCs/>
          <w:iCs/>
          <w:spacing w:val="-5"/>
          <w:lang w:eastAsia="en-US"/>
        </w:rPr>
        <w:t xml:space="preserve">Kuna Euroopa Komisjon avaldas 2020. a. 24. septembril </w:t>
      </w:r>
      <w:proofErr w:type="spellStart"/>
      <w:r w:rsidRPr="003331EF">
        <w:rPr>
          <w:bCs/>
          <w:iCs/>
          <w:spacing w:val="-5"/>
          <w:lang w:eastAsia="en-US"/>
        </w:rPr>
        <w:t>MiCA</w:t>
      </w:r>
      <w:proofErr w:type="spellEnd"/>
      <w:r w:rsidRPr="003331EF">
        <w:rPr>
          <w:bCs/>
          <w:iCs/>
          <w:spacing w:val="-5"/>
          <w:lang w:eastAsia="en-US"/>
        </w:rPr>
        <w:t xml:space="preserve"> </w:t>
      </w:r>
      <w:r w:rsidR="00A1744F" w:rsidRPr="003331EF">
        <w:rPr>
          <w:bCs/>
          <w:iCs/>
          <w:spacing w:val="-5"/>
          <w:lang w:eastAsia="en-US"/>
        </w:rPr>
        <w:t xml:space="preserve">määruse </w:t>
      </w:r>
      <w:r w:rsidRPr="003331EF">
        <w:rPr>
          <w:bCs/>
          <w:iCs/>
          <w:spacing w:val="-5"/>
          <w:lang w:eastAsia="en-US"/>
        </w:rPr>
        <w:t>ettepaneku, siis otsustati VTK-s toodud lähtekohtadest loobuda. Ehk käesolev eelnõu ei ole otseselt seotud eelnimetatud VTK-</w:t>
      </w:r>
      <w:proofErr w:type="spellStart"/>
      <w:r w:rsidRPr="003331EF">
        <w:rPr>
          <w:bCs/>
          <w:iCs/>
          <w:spacing w:val="-5"/>
          <w:lang w:eastAsia="en-US"/>
        </w:rPr>
        <w:t>ga</w:t>
      </w:r>
      <w:proofErr w:type="spellEnd"/>
      <w:r w:rsidRPr="003331EF">
        <w:rPr>
          <w:bCs/>
          <w:iCs/>
          <w:spacing w:val="-5"/>
          <w:lang w:eastAsia="en-US"/>
        </w:rPr>
        <w:t xml:space="preserve">, vaid näeb ette üksnes </w:t>
      </w:r>
      <w:proofErr w:type="spellStart"/>
      <w:r w:rsidRPr="003331EF">
        <w:rPr>
          <w:bCs/>
          <w:iCs/>
          <w:spacing w:val="-5"/>
          <w:lang w:eastAsia="en-US"/>
        </w:rPr>
        <w:t>MiCA</w:t>
      </w:r>
      <w:proofErr w:type="spellEnd"/>
      <w:r w:rsidRPr="003331EF">
        <w:rPr>
          <w:bCs/>
          <w:iCs/>
          <w:spacing w:val="-5"/>
          <w:lang w:eastAsia="en-US"/>
        </w:rPr>
        <w:t xml:space="preserve"> määruse rakendamise Eestis.</w:t>
      </w:r>
      <w:r w:rsidR="00BB3E38" w:rsidRPr="003331EF">
        <w:rPr>
          <w:bCs/>
          <w:iCs/>
          <w:spacing w:val="-5"/>
          <w:lang w:eastAsia="en-US"/>
        </w:rPr>
        <w:t xml:space="preserve"> Käesoleva eelnõu kohta VTK-d</w:t>
      </w:r>
      <w:r w:rsidR="00FA614C" w:rsidRPr="003331EF">
        <w:rPr>
          <w:bCs/>
          <w:iCs/>
          <w:spacing w:val="-5"/>
          <w:lang w:eastAsia="en-US"/>
        </w:rPr>
        <w:t xml:space="preserve"> ei ole koostatud tulenevalt hea õigusloome ja normitehnika eeskirja </w:t>
      </w:r>
      <w:r w:rsidR="00566694" w:rsidRPr="003331EF">
        <w:rPr>
          <w:bCs/>
          <w:iCs/>
          <w:spacing w:val="-5"/>
          <w:lang w:eastAsia="en-US"/>
        </w:rPr>
        <w:t xml:space="preserve">§ </w:t>
      </w:r>
      <w:r w:rsidR="00FA614C" w:rsidRPr="003331EF">
        <w:rPr>
          <w:bCs/>
          <w:iCs/>
          <w:spacing w:val="-5"/>
          <w:lang w:eastAsia="en-US"/>
        </w:rPr>
        <w:t>1 lõike 2 punktist 2, kuivõrd eelnõu käsitleb EL õiguse rakendamist.</w:t>
      </w:r>
      <w:r w:rsidR="00BE3DF6" w:rsidRPr="003331EF">
        <w:rPr>
          <w:bCs/>
          <w:iCs/>
          <w:spacing w:val="-5"/>
          <w:lang w:eastAsia="en-US"/>
        </w:rPr>
        <w:t xml:space="preserve"> </w:t>
      </w:r>
    </w:p>
    <w:p w14:paraId="643E6E1C" w14:textId="77777777" w:rsidR="00BE3DF6" w:rsidRPr="003331EF" w:rsidRDefault="00BE3DF6" w:rsidP="003331EF">
      <w:pPr>
        <w:spacing w:before="0"/>
      </w:pPr>
    </w:p>
    <w:p w14:paraId="25395531" w14:textId="719B07CD" w:rsidR="00AC00CE" w:rsidRPr="003331EF" w:rsidRDefault="00BE3DF6" w:rsidP="003331EF">
      <w:pPr>
        <w:pStyle w:val="typedudocumentcp"/>
        <w:shd w:val="clear" w:color="auto" w:fill="FFFFFF"/>
        <w:spacing w:before="0" w:beforeAutospacing="0" w:after="0" w:afterAutospacing="0"/>
        <w:jc w:val="both"/>
        <w:rPr>
          <w:bCs/>
          <w:iCs/>
          <w:spacing w:val="-5"/>
          <w:lang w:eastAsia="en-US"/>
        </w:rPr>
      </w:pPr>
      <w:proofErr w:type="spellStart"/>
      <w:r w:rsidRPr="003331EF">
        <w:rPr>
          <w:bCs/>
          <w:iCs/>
          <w:spacing w:val="-5"/>
          <w:lang w:eastAsia="en-US"/>
        </w:rPr>
        <w:t>M</w:t>
      </w:r>
      <w:r w:rsidR="00A03096">
        <w:rPr>
          <w:bCs/>
          <w:iCs/>
          <w:spacing w:val="-5"/>
          <w:lang w:eastAsia="en-US"/>
        </w:rPr>
        <w:t>i</w:t>
      </w:r>
      <w:r w:rsidRPr="003331EF">
        <w:rPr>
          <w:bCs/>
          <w:iCs/>
          <w:spacing w:val="-5"/>
          <w:lang w:eastAsia="en-US"/>
        </w:rPr>
        <w:t>CA</w:t>
      </w:r>
      <w:proofErr w:type="spellEnd"/>
      <w:r w:rsidRPr="003331EF">
        <w:rPr>
          <w:bCs/>
          <w:iCs/>
          <w:spacing w:val="-5"/>
          <w:lang w:eastAsia="en-US"/>
        </w:rPr>
        <w:t xml:space="preserve"> määruse eelnõuga koos koostas Euroopa Komisjon mõjuanalüüsi</w:t>
      </w:r>
      <w:r w:rsidRPr="003331EF">
        <w:rPr>
          <w:b/>
          <w:iCs/>
          <w:spacing w:val="-5"/>
          <w:vertAlign w:val="superscript"/>
          <w:lang w:eastAsia="en-US"/>
        </w:rPr>
        <w:footnoteReference w:id="15"/>
      </w:r>
      <w:r w:rsidR="00AC00CE" w:rsidRPr="003331EF">
        <w:rPr>
          <w:bCs/>
          <w:iCs/>
          <w:spacing w:val="-5"/>
          <w:lang w:eastAsia="en-US"/>
        </w:rPr>
        <w:t>:</w:t>
      </w:r>
      <w:r w:rsidR="00F65B9E" w:rsidRPr="003331EF">
        <w:rPr>
          <w:bCs/>
          <w:iCs/>
          <w:spacing w:val="-5"/>
          <w:lang w:eastAsia="en-US"/>
        </w:rPr>
        <w:t xml:space="preserve"> </w:t>
      </w:r>
      <w:proofErr w:type="spellStart"/>
      <w:r w:rsidR="00AC00CE" w:rsidRPr="003331EF">
        <w:rPr>
          <w:bCs/>
          <w:iCs/>
          <w:spacing w:val="-5"/>
          <w:lang w:eastAsia="en-US"/>
        </w:rPr>
        <w:t>Commission</w:t>
      </w:r>
      <w:proofErr w:type="spellEnd"/>
      <w:r w:rsidR="00AC00CE" w:rsidRPr="003331EF">
        <w:rPr>
          <w:bCs/>
          <w:iCs/>
          <w:spacing w:val="-5"/>
          <w:lang w:eastAsia="en-US"/>
        </w:rPr>
        <w:t xml:space="preserve"> </w:t>
      </w:r>
      <w:proofErr w:type="spellStart"/>
      <w:r w:rsidR="00AC00CE" w:rsidRPr="003331EF">
        <w:rPr>
          <w:bCs/>
          <w:iCs/>
          <w:spacing w:val="-5"/>
          <w:lang w:eastAsia="en-US"/>
        </w:rPr>
        <w:t>Staff</w:t>
      </w:r>
      <w:proofErr w:type="spellEnd"/>
      <w:r w:rsidR="00AC00CE" w:rsidRPr="003331EF">
        <w:rPr>
          <w:bCs/>
          <w:iCs/>
          <w:spacing w:val="-5"/>
          <w:lang w:eastAsia="en-US"/>
        </w:rPr>
        <w:t xml:space="preserve"> </w:t>
      </w:r>
      <w:proofErr w:type="spellStart"/>
      <w:r w:rsidR="00AC00CE" w:rsidRPr="003331EF">
        <w:rPr>
          <w:bCs/>
          <w:iCs/>
          <w:spacing w:val="-5"/>
          <w:lang w:eastAsia="en-US"/>
        </w:rPr>
        <w:t>Impact</w:t>
      </w:r>
      <w:proofErr w:type="spellEnd"/>
      <w:r w:rsidR="00AC00CE" w:rsidRPr="003331EF">
        <w:rPr>
          <w:bCs/>
          <w:iCs/>
          <w:spacing w:val="-5"/>
          <w:lang w:eastAsia="en-US"/>
        </w:rPr>
        <w:t xml:space="preserve"> </w:t>
      </w:r>
      <w:proofErr w:type="spellStart"/>
      <w:r w:rsidR="00AC00CE" w:rsidRPr="003331EF">
        <w:rPr>
          <w:bCs/>
          <w:iCs/>
          <w:spacing w:val="-5"/>
          <w:lang w:eastAsia="en-US"/>
        </w:rPr>
        <w:t>Assessment</w:t>
      </w:r>
      <w:proofErr w:type="spellEnd"/>
      <w:r w:rsidR="00AC00CE" w:rsidRPr="003331EF">
        <w:rPr>
          <w:bCs/>
          <w:iCs/>
          <w:spacing w:val="-5"/>
          <w:lang w:eastAsia="en-US"/>
        </w:rPr>
        <w:t xml:space="preserve"> –  </w:t>
      </w:r>
      <w:proofErr w:type="spellStart"/>
      <w:r w:rsidR="00AC00CE" w:rsidRPr="003331EF">
        <w:rPr>
          <w:bCs/>
          <w:iCs/>
          <w:spacing w:val="-5"/>
          <w:lang w:eastAsia="en-US"/>
        </w:rPr>
        <w:t>Accompanying</w:t>
      </w:r>
      <w:proofErr w:type="spellEnd"/>
      <w:r w:rsidR="00AC00CE" w:rsidRPr="003331EF">
        <w:rPr>
          <w:bCs/>
          <w:iCs/>
          <w:spacing w:val="-5"/>
          <w:lang w:eastAsia="en-US"/>
        </w:rPr>
        <w:t xml:space="preserve"> </w:t>
      </w:r>
      <w:proofErr w:type="spellStart"/>
      <w:r w:rsidR="00AC00CE" w:rsidRPr="003331EF">
        <w:rPr>
          <w:bCs/>
          <w:iCs/>
          <w:spacing w:val="-5"/>
          <w:lang w:eastAsia="en-US"/>
        </w:rPr>
        <w:t>the</w:t>
      </w:r>
      <w:proofErr w:type="spellEnd"/>
      <w:r w:rsidR="00AC00CE" w:rsidRPr="003331EF">
        <w:rPr>
          <w:bCs/>
          <w:iCs/>
          <w:spacing w:val="-5"/>
          <w:lang w:eastAsia="en-US"/>
        </w:rPr>
        <w:t xml:space="preserve"> Document „</w:t>
      </w:r>
      <w:proofErr w:type="spellStart"/>
      <w:r w:rsidR="00AC00CE" w:rsidRPr="003331EF">
        <w:rPr>
          <w:bCs/>
          <w:iCs/>
          <w:spacing w:val="-5"/>
          <w:lang w:eastAsia="en-US"/>
        </w:rPr>
        <w:t>Proposal</w:t>
      </w:r>
      <w:proofErr w:type="spellEnd"/>
      <w:r w:rsidR="00AC00CE" w:rsidRPr="003331EF">
        <w:rPr>
          <w:bCs/>
          <w:iCs/>
          <w:spacing w:val="-5"/>
          <w:lang w:eastAsia="en-US"/>
        </w:rPr>
        <w:t xml:space="preserve"> </w:t>
      </w:r>
      <w:proofErr w:type="spellStart"/>
      <w:r w:rsidR="00AC00CE" w:rsidRPr="003331EF">
        <w:rPr>
          <w:bCs/>
          <w:iCs/>
          <w:spacing w:val="-5"/>
          <w:lang w:eastAsia="en-US"/>
        </w:rPr>
        <w:t>for</w:t>
      </w:r>
      <w:proofErr w:type="spellEnd"/>
      <w:r w:rsidR="00AC00CE" w:rsidRPr="003331EF">
        <w:rPr>
          <w:bCs/>
          <w:iCs/>
          <w:spacing w:val="-5"/>
          <w:lang w:eastAsia="en-US"/>
        </w:rPr>
        <w:t xml:space="preserve"> a </w:t>
      </w:r>
      <w:proofErr w:type="spellStart"/>
      <w:r w:rsidR="00AC00CE" w:rsidRPr="003331EF">
        <w:rPr>
          <w:bCs/>
          <w:iCs/>
          <w:spacing w:val="-5"/>
          <w:lang w:eastAsia="en-US"/>
        </w:rPr>
        <w:t>Regulation</w:t>
      </w:r>
      <w:proofErr w:type="spellEnd"/>
      <w:r w:rsidR="00AC00CE" w:rsidRPr="003331EF">
        <w:rPr>
          <w:bCs/>
          <w:iCs/>
          <w:spacing w:val="-5"/>
          <w:lang w:eastAsia="en-US"/>
        </w:rPr>
        <w:t xml:space="preserve"> of </w:t>
      </w:r>
      <w:proofErr w:type="spellStart"/>
      <w:r w:rsidR="00AC00CE" w:rsidRPr="003331EF">
        <w:rPr>
          <w:bCs/>
          <w:iCs/>
          <w:spacing w:val="-5"/>
          <w:lang w:eastAsia="en-US"/>
        </w:rPr>
        <w:t>the</w:t>
      </w:r>
      <w:proofErr w:type="spellEnd"/>
      <w:r w:rsidR="00AC00CE" w:rsidRPr="003331EF">
        <w:rPr>
          <w:bCs/>
          <w:iCs/>
          <w:spacing w:val="-5"/>
          <w:lang w:eastAsia="en-US"/>
        </w:rPr>
        <w:t xml:space="preserve"> </w:t>
      </w:r>
      <w:proofErr w:type="spellStart"/>
      <w:r w:rsidR="00AC00CE" w:rsidRPr="003331EF">
        <w:rPr>
          <w:bCs/>
          <w:iCs/>
          <w:spacing w:val="-5"/>
          <w:lang w:eastAsia="en-US"/>
        </w:rPr>
        <w:t>European</w:t>
      </w:r>
      <w:proofErr w:type="spellEnd"/>
      <w:r w:rsidR="00AC00CE" w:rsidRPr="003331EF">
        <w:rPr>
          <w:bCs/>
          <w:iCs/>
          <w:spacing w:val="-5"/>
          <w:lang w:eastAsia="en-US"/>
        </w:rPr>
        <w:t xml:space="preserve"> </w:t>
      </w:r>
      <w:proofErr w:type="spellStart"/>
      <w:r w:rsidR="00AC00CE" w:rsidRPr="003331EF">
        <w:rPr>
          <w:bCs/>
          <w:iCs/>
          <w:spacing w:val="-5"/>
          <w:lang w:eastAsia="en-US"/>
        </w:rPr>
        <w:t>Parliament</w:t>
      </w:r>
      <w:proofErr w:type="spellEnd"/>
      <w:r w:rsidR="00AC00CE" w:rsidRPr="003331EF">
        <w:rPr>
          <w:bCs/>
          <w:iCs/>
          <w:spacing w:val="-5"/>
          <w:lang w:eastAsia="en-US"/>
        </w:rPr>
        <w:t xml:space="preserve"> and of </w:t>
      </w:r>
      <w:proofErr w:type="spellStart"/>
      <w:r w:rsidR="00AC00CE" w:rsidRPr="003331EF">
        <w:rPr>
          <w:bCs/>
          <w:iCs/>
          <w:spacing w:val="-5"/>
          <w:lang w:eastAsia="en-US"/>
        </w:rPr>
        <w:t>the</w:t>
      </w:r>
      <w:proofErr w:type="spellEnd"/>
      <w:r w:rsidR="00AC00CE" w:rsidRPr="003331EF">
        <w:rPr>
          <w:bCs/>
          <w:iCs/>
          <w:spacing w:val="-5"/>
          <w:lang w:eastAsia="en-US"/>
        </w:rPr>
        <w:t xml:space="preserve"> </w:t>
      </w:r>
      <w:proofErr w:type="spellStart"/>
      <w:r w:rsidR="00AC00CE" w:rsidRPr="003331EF">
        <w:rPr>
          <w:bCs/>
          <w:iCs/>
          <w:spacing w:val="-5"/>
          <w:lang w:eastAsia="en-US"/>
        </w:rPr>
        <w:t>Council</w:t>
      </w:r>
      <w:proofErr w:type="spellEnd"/>
      <w:r w:rsidR="00AC00CE" w:rsidRPr="003331EF">
        <w:rPr>
          <w:bCs/>
          <w:iCs/>
          <w:spacing w:val="-5"/>
          <w:lang w:eastAsia="en-US"/>
        </w:rPr>
        <w:t xml:space="preserve"> on </w:t>
      </w:r>
      <w:proofErr w:type="spellStart"/>
      <w:r w:rsidR="00AC00CE" w:rsidRPr="003331EF">
        <w:rPr>
          <w:bCs/>
          <w:iCs/>
          <w:spacing w:val="-5"/>
          <w:lang w:eastAsia="en-US"/>
        </w:rPr>
        <w:t>Markets</w:t>
      </w:r>
      <w:proofErr w:type="spellEnd"/>
      <w:r w:rsidR="00AC00CE" w:rsidRPr="003331EF">
        <w:rPr>
          <w:bCs/>
          <w:iCs/>
          <w:spacing w:val="-5"/>
          <w:lang w:eastAsia="en-US"/>
        </w:rPr>
        <w:t xml:space="preserve"> in </w:t>
      </w:r>
      <w:proofErr w:type="spellStart"/>
      <w:r w:rsidR="00AC00CE" w:rsidRPr="003331EF">
        <w:rPr>
          <w:bCs/>
          <w:iCs/>
          <w:spacing w:val="-5"/>
          <w:lang w:eastAsia="en-US"/>
        </w:rPr>
        <w:t>Crypto-assets</w:t>
      </w:r>
      <w:proofErr w:type="spellEnd"/>
      <w:r w:rsidR="00AC00CE" w:rsidRPr="003331EF">
        <w:rPr>
          <w:bCs/>
          <w:iCs/>
          <w:spacing w:val="-5"/>
          <w:lang w:eastAsia="en-US"/>
        </w:rPr>
        <w:t xml:space="preserve"> and </w:t>
      </w:r>
      <w:proofErr w:type="spellStart"/>
      <w:r w:rsidR="00AC00CE" w:rsidRPr="003331EF">
        <w:rPr>
          <w:bCs/>
          <w:iCs/>
          <w:spacing w:val="-5"/>
          <w:lang w:eastAsia="en-US"/>
        </w:rPr>
        <w:t>amending</w:t>
      </w:r>
      <w:proofErr w:type="spellEnd"/>
      <w:r w:rsidR="00AC00CE" w:rsidRPr="003331EF">
        <w:rPr>
          <w:bCs/>
          <w:iCs/>
          <w:spacing w:val="-5"/>
          <w:lang w:eastAsia="en-US"/>
        </w:rPr>
        <w:t xml:space="preserve"> </w:t>
      </w:r>
      <w:proofErr w:type="spellStart"/>
      <w:r w:rsidR="00AC00CE" w:rsidRPr="003331EF">
        <w:rPr>
          <w:bCs/>
          <w:iCs/>
          <w:spacing w:val="-5"/>
          <w:lang w:eastAsia="en-US"/>
        </w:rPr>
        <w:t>Directive</w:t>
      </w:r>
      <w:proofErr w:type="spellEnd"/>
      <w:r w:rsidR="00AC00CE" w:rsidRPr="003331EF">
        <w:rPr>
          <w:bCs/>
          <w:iCs/>
          <w:spacing w:val="-5"/>
          <w:lang w:eastAsia="en-US"/>
        </w:rPr>
        <w:t xml:space="preserve"> (EU) 2019/1937”.</w:t>
      </w:r>
    </w:p>
    <w:p w14:paraId="19A11082" w14:textId="77777777" w:rsidR="001A7BB1" w:rsidRPr="003331EF" w:rsidRDefault="001A7BB1" w:rsidP="003331EF">
      <w:pPr>
        <w:pStyle w:val="typedudocumentcp"/>
        <w:shd w:val="clear" w:color="auto" w:fill="FFFFFF"/>
        <w:spacing w:before="0" w:beforeAutospacing="0" w:after="0" w:afterAutospacing="0"/>
        <w:jc w:val="both"/>
        <w:rPr>
          <w:bCs/>
          <w:iCs/>
          <w:spacing w:val="-5"/>
          <w:lang w:eastAsia="en-US"/>
        </w:rPr>
      </w:pPr>
    </w:p>
    <w:p w14:paraId="41ABD738" w14:textId="1814FDBB" w:rsidR="001A7BB1" w:rsidRPr="003331EF" w:rsidRDefault="001A7BB1" w:rsidP="003331EF">
      <w:pPr>
        <w:spacing w:before="0"/>
        <w:rPr>
          <w:bCs/>
          <w:iCs/>
          <w:spacing w:val="-5"/>
          <w:lang w:eastAsia="en-US"/>
        </w:rPr>
      </w:pPr>
      <w:r w:rsidRPr="003331EF">
        <w:rPr>
          <w:bCs/>
          <w:iCs/>
          <w:spacing w:val="-5"/>
          <w:lang w:eastAsia="en-US"/>
        </w:rPr>
        <w:t>DORA määruse ja direktiivi eelnõuga koos koostas Euroopa Komisjon mõjuanalüüsi</w:t>
      </w:r>
      <w:r w:rsidRPr="003331EF">
        <w:rPr>
          <w:b/>
          <w:iCs/>
          <w:spacing w:val="-5"/>
          <w:vertAlign w:val="superscript"/>
          <w:lang w:eastAsia="en-US"/>
        </w:rPr>
        <w:footnoteReference w:id="16"/>
      </w:r>
      <w:r w:rsidRPr="003331EF">
        <w:rPr>
          <w:bCs/>
          <w:iCs/>
          <w:spacing w:val="-5"/>
          <w:lang w:eastAsia="en-US"/>
        </w:rPr>
        <w:t xml:space="preserve">: </w:t>
      </w:r>
      <w:proofErr w:type="spellStart"/>
      <w:r w:rsidRPr="003331EF">
        <w:rPr>
          <w:bCs/>
          <w:iCs/>
          <w:spacing w:val="-5"/>
          <w:lang w:eastAsia="en-US"/>
        </w:rPr>
        <w:t>Impact</w:t>
      </w:r>
      <w:proofErr w:type="spellEnd"/>
      <w:r w:rsidRPr="003331EF">
        <w:rPr>
          <w:bCs/>
          <w:iCs/>
          <w:spacing w:val="-5"/>
          <w:lang w:eastAsia="en-US"/>
        </w:rPr>
        <w:t xml:space="preserve"> </w:t>
      </w:r>
      <w:proofErr w:type="spellStart"/>
      <w:r w:rsidRPr="003331EF">
        <w:rPr>
          <w:bCs/>
          <w:iCs/>
          <w:spacing w:val="-5"/>
          <w:lang w:eastAsia="en-US"/>
        </w:rPr>
        <w:t>assessment</w:t>
      </w:r>
      <w:proofErr w:type="spellEnd"/>
      <w:r w:rsidRPr="003331EF">
        <w:rPr>
          <w:bCs/>
          <w:iCs/>
          <w:spacing w:val="-5"/>
          <w:lang w:eastAsia="en-US"/>
        </w:rPr>
        <w:t xml:space="preserve"> </w:t>
      </w:r>
      <w:proofErr w:type="spellStart"/>
      <w:r w:rsidRPr="003331EF">
        <w:rPr>
          <w:bCs/>
          <w:iCs/>
          <w:spacing w:val="-5"/>
          <w:lang w:eastAsia="en-US"/>
        </w:rPr>
        <w:t>report</w:t>
      </w:r>
      <w:proofErr w:type="spellEnd"/>
      <w:r w:rsidRPr="003331EF">
        <w:rPr>
          <w:bCs/>
          <w:iCs/>
          <w:spacing w:val="-5"/>
          <w:lang w:eastAsia="en-US"/>
        </w:rPr>
        <w:t xml:space="preserve"> – </w:t>
      </w:r>
      <w:proofErr w:type="spellStart"/>
      <w:r w:rsidRPr="003331EF">
        <w:rPr>
          <w:bCs/>
          <w:iCs/>
          <w:spacing w:val="-5"/>
          <w:lang w:eastAsia="en-US"/>
        </w:rPr>
        <w:t>Accompanying</w:t>
      </w:r>
      <w:proofErr w:type="spellEnd"/>
      <w:r w:rsidRPr="003331EF">
        <w:rPr>
          <w:bCs/>
          <w:iCs/>
          <w:spacing w:val="-5"/>
          <w:lang w:eastAsia="en-US"/>
        </w:rPr>
        <w:t xml:space="preserve"> </w:t>
      </w:r>
      <w:proofErr w:type="spellStart"/>
      <w:r w:rsidRPr="003331EF">
        <w:rPr>
          <w:bCs/>
          <w:iCs/>
          <w:spacing w:val="-5"/>
          <w:lang w:eastAsia="en-US"/>
        </w:rPr>
        <w:t>the</w:t>
      </w:r>
      <w:proofErr w:type="spellEnd"/>
      <w:r w:rsidRPr="003331EF">
        <w:rPr>
          <w:bCs/>
          <w:iCs/>
          <w:spacing w:val="-5"/>
          <w:lang w:eastAsia="en-US"/>
        </w:rPr>
        <w:t xml:space="preserve"> Document – “</w:t>
      </w:r>
      <w:proofErr w:type="spellStart"/>
      <w:r w:rsidRPr="003331EF">
        <w:rPr>
          <w:bCs/>
          <w:iCs/>
          <w:spacing w:val="-5"/>
          <w:lang w:eastAsia="en-US"/>
        </w:rPr>
        <w:t>Proposal</w:t>
      </w:r>
      <w:proofErr w:type="spellEnd"/>
      <w:r w:rsidRPr="003331EF">
        <w:rPr>
          <w:bCs/>
          <w:iCs/>
          <w:spacing w:val="-5"/>
          <w:lang w:eastAsia="en-US"/>
        </w:rPr>
        <w:t xml:space="preserve"> </w:t>
      </w:r>
      <w:proofErr w:type="spellStart"/>
      <w:r w:rsidRPr="003331EF">
        <w:rPr>
          <w:bCs/>
          <w:iCs/>
          <w:spacing w:val="-5"/>
          <w:lang w:eastAsia="en-US"/>
        </w:rPr>
        <w:t>for</w:t>
      </w:r>
      <w:proofErr w:type="spellEnd"/>
      <w:r w:rsidRPr="003331EF">
        <w:rPr>
          <w:bCs/>
          <w:iCs/>
          <w:spacing w:val="-5"/>
          <w:lang w:eastAsia="en-US"/>
        </w:rPr>
        <w:t xml:space="preserve"> a </w:t>
      </w:r>
      <w:proofErr w:type="spellStart"/>
      <w:r w:rsidRPr="003331EF">
        <w:rPr>
          <w:bCs/>
          <w:iCs/>
          <w:spacing w:val="-5"/>
          <w:lang w:eastAsia="en-US"/>
        </w:rPr>
        <w:t>Regulation</w:t>
      </w:r>
      <w:proofErr w:type="spellEnd"/>
      <w:r w:rsidRPr="003331EF">
        <w:rPr>
          <w:bCs/>
          <w:iCs/>
          <w:spacing w:val="-5"/>
          <w:lang w:eastAsia="en-US"/>
        </w:rPr>
        <w:t xml:space="preserve"> of </w:t>
      </w:r>
      <w:proofErr w:type="spellStart"/>
      <w:r w:rsidRPr="003331EF">
        <w:rPr>
          <w:bCs/>
          <w:iCs/>
          <w:spacing w:val="-5"/>
          <w:lang w:eastAsia="en-US"/>
        </w:rPr>
        <w:t>the</w:t>
      </w:r>
      <w:proofErr w:type="spellEnd"/>
      <w:r w:rsidRPr="003331EF">
        <w:rPr>
          <w:bCs/>
          <w:iCs/>
          <w:spacing w:val="-5"/>
          <w:lang w:eastAsia="en-US"/>
        </w:rPr>
        <w:t xml:space="preserve"> </w:t>
      </w:r>
      <w:proofErr w:type="spellStart"/>
      <w:r w:rsidRPr="003331EF">
        <w:rPr>
          <w:bCs/>
          <w:iCs/>
          <w:spacing w:val="-5"/>
          <w:lang w:eastAsia="en-US"/>
        </w:rPr>
        <w:t>European</w:t>
      </w:r>
      <w:proofErr w:type="spellEnd"/>
      <w:r w:rsidRPr="003331EF">
        <w:rPr>
          <w:bCs/>
          <w:iCs/>
          <w:spacing w:val="-5"/>
          <w:lang w:eastAsia="en-US"/>
        </w:rPr>
        <w:t xml:space="preserve"> </w:t>
      </w:r>
      <w:proofErr w:type="spellStart"/>
      <w:r w:rsidRPr="003331EF">
        <w:rPr>
          <w:bCs/>
          <w:iCs/>
          <w:spacing w:val="-5"/>
          <w:lang w:eastAsia="en-US"/>
        </w:rPr>
        <w:t>Parliament</w:t>
      </w:r>
      <w:proofErr w:type="spellEnd"/>
      <w:r w:rsidRPr="003331EF">
        <w:rPr>
          <w:bCs/>
          <w:iCs/>
          <w:spacing w:val="-5"/>
          <w:lang w:eastAsia="en-US"/>
        </w:rPr>
        <w:t xml:space="preserve"> and of </w:t>
      </w:r>
      <w:proofErr w:type="spellStart"/>
      <w:r w:rsidRPr="003331EF">
        <w:rPr>
          <w:bCs/>
          <w:iCs/>
          <w:spacing w:val="-5"/>
          <w:lang w:eastAsia="en-US"/>
        </w:rPr>
        <w:t>the</w:t>
      </w:r>
      <w:proofErr w:type="spellEnd"/>
      <w:r w:rsidRPr="003331EF">
        <w:rPr>
          <w:bCs/>
          <w:iCs/>
          <w:spacing w:val="-5"/>
          <w:lang w:eastAsia="en-US"/>
        </w:rPr>
        <w:t xml:space="preserve"> </w:t>
      </w:r>
      <w:proofErr w:type="spellStart"/>
      <w:r w:rsidRPr="003331EF">
        <w:rPr>
          <w:bCs/>
          <w:iCs/>
          <w:spacing w:val="-5"/>
          <w:lang w:eastAsia="en-US"/>
        </w:rPr>
        <w:t>Council</w:t>
      </w:r>
      <w:proofErr w:type="spellEnd"/>
      <w:r w:rsidRPr="003331EF">
        <w:rPr>
          <w:bCs/>
          <w:iCs/>
          <w:spacing w:val="-5"/>
          <w:lang w:eastAsia="en-US"/>
        </w:rPr>
        <w:t xml:space="preserve"> on </w:t>
      </w:r>
      <w:proofErr w:type="spellStart"/>
      <w:r w:rsidRPr="003331EF">
        <w:rPr>
          <w:bCs/>
          <w:iCs/>
          <w:spacing w:val="-5"/>
          <w:lang w:eastAsia="en-US"/>
        </w:rPr>
        <w:t>digital</w:t>
      </w:r>
      <w:proofErr w:type="spellEnd"/>
      <w:r w:rsidRPr="003331EF">
        <w:rPr>
          <w:bCs/>
          <w:iCs/>
          <w:spacing w:val="-5"/>
          <w:lang w:eastAsia="en-US"/>
        </w:rPr>
        <w:t xml:space="preserve"> </w:t>
      </w:r>
      <w:proofErr w:type="spellStart"/>
      <w:r w:rsidRPr="003331EF">
        <w:rPr>
          <w:bCs/>
          <w:iCs/>
          <w:spacing w:val="-5"/>
          <w:lang w:eastAsia="en-US"/>
        </w:rPr>
        <w:t>operational</w:t>
      </w:r>
      <w:proofErr w:type="spellEnd"/>
      <w:r w:rsidRPr="003331EF">
        <w:rPr>
          <w:bCs/>
          <w:iCs/>
          <w:spacing w:val="-5"/>
          <w:lang w:eastAsia="en-US"/>
        </w:rPr>
        <w:t xml:space="preserve"> </w:t>
      </w:r>
      <w:proofErr w:type="spellStart"/>
      <w:r w:rsidRPr="003331EF">
        <w:rPr>
          <w:bCs/>
          <w:iCs/>
          <w:spacing w:val="-5"/>
          <w:lang w:eastAsia="en-US"/>
        </w:rPr>
        <w:t>resilience</w:t>
      </w:r>
      <w:proofErr w:type="spellEnd"/>
      <w:r w:rsidRPr="003331EF">
        <w:rPr>
          <w:bCs/>
          <w:iCs/>
          <w:spacing w:val="-5"/>
          <w:lang w:eastAsia="en-US"/>
        </w:rPr>
        <w:t xml:space="preserve"> </w:t>
      </w:r>
      <w:proofErr w:type="spellStart"/>
      <w:r w:rsidRPr="003331EF">
        <w:rPr>
          <w:bCs/>
          <w:iCs/>
          <w:spacing w:val="-5"/>
          <w:lang w:eastAsia="en-US"/>
        </w:rPr>
        <w:t>for</w:t>
      </w:r>
      <w:proofErr w:type="spellEnd"/>
      <w:r w:rsidRPr="003331EF">
        <w:rPr>
          <w:bCs/>
          <w:iCs/>
          <w:spacing w:val="-5"/>
          <w:lang w:eastAsia="en-US"/>
        </w:rPr>
        <w:t xml:space="preserve"> </w:t>
      </w:r>
      <w:proofErr w:type="spellStart"/>
      <w:r w:rsidRPr="003331EF">
        <w:rPr>
          <w:bCs/>
          <w:iCs/>
          <w:spacing w:val="-5"/>
          <w:lang w:eastAsia="en-US"/>
        </w:rPr>
        <w:t>the</w:t>
      </w:r>
      <w:proofErr w:type="spellEnd"/>
      <w:r w:rsidRPr="003331EF">
        <w:rPr>
          <w:bCs/>
          <w:iCs/>
          <w:spacing w:val="-5"/>
          <w:lang w:eastAsia="en-US"/>
        </w:rPr>
        <w:t xml:space="preserve"> </w:t>
      </w:r>
      <w:proofErr w:type="spellStart"/>
      <w:r w:rsidRPr="003331EF">
        <w:rPr>
          <w:bCs/>
          <w:iCs/>
          <w:spacing w:val="-5"/>
          <w:lang w:eastAsia="en-US"/>
        </w:rPr>
        <w:t>financial</w:t>
      </w:r>
      <w:proofErr w:type="spellEnd"/>
      <w:r w:rsidRPr="003331EF">
        <w:rPr>
          <w:bCs/>
          <w:iCs/>
          <w:spacing w:val="-5"/>
          <w:lang w:eastAsia="en-US"/>
        </w:rPr>
        <w:t xml:space="preserve"> </w:t>
      </w:r>
      <w:proofErr w:type="spellStart"/>
      <w:r w:rsidRPr="003331EF">
        <w:rPr>
          <w:bCs/>
          <w:iCs/>
          <w:spacing w:val="-5"/>
          <w:lang w:eastAsia="en-US"/>
        </w:rPr>
        <w:t>sector</w:t>
      </w:r>
      <w:proofErr w:type="spellEnd"/>
      <w:r w:rsidRPr="003331EF">
        <w:rPr>
          <w:bCs/>
          <w:iCs/>
          <w:spacing w:val="-5"/>
          <w:lang w:eastAsia="en-US"/>
        </w:rPr>
        <w:t xml:space="preserve"> and </w:t>
      </w:r>
      <w:proofErr w:type="spellStart"/>
      <w:r w:rsidRPr="003331EF">
        <w:rPr>
          <w:bCs/>
          <w:iCs/>
          <w:spacing w:val="-5"/>
          <w:lang w:eastAsia="en-US"/>
        </w:rPr>
        <w:t>amending</w:t>
      </w:r>
      <w:proofErr w:type="spellEnd"/>
      <w:r w:rsidRPr="003331EF">
        <w:rPr>
          <w:bCs/>
          <w:iCs/>
          <w:spacing w:val="-5"/>
          <w:lang w:eastAsia="en-US"/>
        </w:rPr>
        <w:t xml:space="preserve"> </w:t>
      </w:r>
      <w:proofErr w:type="spellStart"/>
      <w:r w:rsidRPr="003331EF">
        <w:rPr>
          <w:bCs/>
          <w:iCs/>
          <w:spacing w:val="-5"/>
          <w:lang w:eastAsia="en-US"/>
        </w:rPr>
        <w:t>Regulations</w:t>
      </w:r>
      <w:proofErr w:type="spellEnd"/>
      <w:r w:rsidRPr="003331EF">
        <w:rPr>
          <w:bCs/>
          <w:iCs/>
          <w:spacing w:val="-5"/>
          <w:lang w:eastAsia="en-US"/>
        </w:rPr>
        <w:t xml:space="preserve"> (EC) No 1060/2009, (EU) No 648/2012, (EU) No 600/2014 and (EU) No 909/2014”.</w:t>
      </w:r>
    </w:p>
    <w:p w14:paraId="305E590B" w14:textId="77777777" w:rsidR="001A7BB1" w:rsidRPr="003331EF" w:rsidRDefault="001A7BB1" w:rsidP="003331EF">
      <w:pPr>
        <w:spacing w:before="0"/>
        <w:rPr>
          <w:bCs/>
          <w:iCs/>
          <w:spacing w:val="-5"/>
          <w:lang w:eastAsia="en-US"/>
        </w:rPr>
      </w:pPr>
    </w:p>
    <w:p w14:paraId="0917640E" w14:textId="6CFEA987" w:rsidR="001A7BB1" w:rsidRPr="003331EF" w:rsidRDefault="001A7BB1" w:rsidP="003331EF">
      <w:pPr>
        <w:spacing w:before="0"/>
        <w:rPr>
          <w:bCs/>
          <w:iCs/>
          <w:spacing w:val="-5"/>
          <w:lang w:eastAsia="en-US"/>
        </w:rPr>
      </w:pPr>
      <w:r w:rsidRPr="003331EF">
        <w:rPr>
          <w:bCs/>
          <w:iCs/>
          <w:spacing w:val="-5"/>
          <w:lang w:eastAsia="en-US"/>
        </w:rPr>
        <w:t>TFR määruse mõju hindas Euroopa Komis</w:t>
      </w:r>
      <w:r w:rsidR="008B11D7" w:rsidRPr="003331EF">
        <w:rPr>
          <w:bCs/>
          <w:iCs/>
          <w:spacing w:val="-5"/>
          <w:lang w:eastAsia="en-US"/>
        </w:rPr>
        <w:t>jon rahapesu tõkestamise paketi raames</w:t>
      </w:r>
      <w:r w:rsidR="008B11D7" w:rsidRPr="003331EF">
        <w:rPr>
          <w:b/>
          <w:iCs/>
          <w:spacing w:val="-5"/>
          <w:vertAlign w:val="superscript"/>
          <w:lang w:eastAsia="en-US"/>
        </w:rPr>
        <w:footnoteReference w:id="17"/>
      </w:r>
      <w:r w:rsidR="008B11D7" w:rsidRPr="003331EF">
        <w:rPr>
          <w:bCs/>
          <w:iCs/>
          <w:spacing w:val="-5"/>
          <w:lang w:eastAsia="en-US"/>
        </w:rPr>
        <w:t xml:space="preserve">: </w:t>
      </w:r>
      <w:proofErr w:type="spellStart"/>
      <w:r w:rsidR="008B11D7" w:rsidRPr="003331EF">
        <w:rPr>
          <w:bCs/>
          <w:iCs/>
          <w:spacing w:val="-5"/>
          <w:lang w:eastAsia="en-US"/>
        </w:rPr>
        <w:t>Commission</w:t>
      </w:r>
      <w:proofErr w:type="spellEnd"/>
      <w:r w:rsidR="008B11D7" w:rsidRPr="003331EF">
        <w:rPr>
          <w:bCs/>
          <w:iCs/>
          <w:spacing w:val="-5"/>
          <w:lang w:eastAsia="en-US"/>
        </w:rPr>
        <w:t xml:space="preserve"> </w:t>
      </w:r>
      <w:proofErr w:type="spellStart"/>
      <w:r w:rsidR="008B11D7" w:rsidRPr="003331EF">
        <w:rPr>
          <w:bCs/>
          <w:iCs/>
          <w:spacing w:val="-5"/>
          <w:lang w:eastAsia="en-US"/>
        </w:rPr>
        <w:t>Staff</w:t>
      </w:r>
      <w:proofErr w:type="spellEnd"/>
      <w:r w:rsidR="008B11D7" w:rsidRPr="003331EF">
        <w:rPr>
          <w:bCs/>
          <w:iCs/>
          <w:spacing w:val="-5"/>
          <w:lang w:eastAsia="en-US"/>
        </w:rPr>
        <w:t xml:space="preserve"> </w:t>
      </w:r>
      <w:proofErr w:type="spellStart"/>
      <w:r w:rsidR="008B11D7" w:rsidRPr="003331EF">
        <w:rPr>
          <w:bCs/>
          <w:iCs/>
          <w:spacing w:val="-5"/>
          <w:lang w:eastAsia="en-US"/>
        </w:rPr>
        <w:t>Impact</w:t>
      </w:r>
      <w:proofErr w:type="spellEnd"/>
      <w:r w:rsidR="008B11D7" w:rsidRPr="003331EF">
        <w:rPr>
          <w:bCs/>
          <w:iCs/>
          <w:spacing w:val="-5"/>
          <w:lang w:eastAsia="en-US"/>
        </w:rPr>
        <w:t xml:space="preserve"> </w:t>
      </w:r>
      <w:proofErr w:type="spellStart"/>
      <w:r w:rsidR="008B11D7" w:rsidRPr="003331EF">
        <w:rPr>
          <w:bCs/>
          <w:iCs/>
          <w:spacing w:val="-5"/>
          <w:lang w:eastAsia="en-US"/>
        </w:rPr>
        <w:t>Assessment</w:t>
      </w:r>
      <w:proofErr w:type="spellEnd"/>
      <w:r w:rsidR="008B11D7" w:rsidRPr="003331EF">
        <w:rPr>
          <w:bCs/>
          <w:iCs/>
          <w:spacing w:val="-5"/>
          <w:lang w:eastAsia="en-US"/>
        </w:rPr>
        <w:t xml:space="preserve"> – </w:t>
      </w:r>
      <w:proofErr w:type="spellStart"/>
      <w:r w:rsidRPr="003331EF">
        <w:rPr>
          <w:bCs/>
          <w:iCs/>
          <w:spacing w:val="-5"/>
          <w:lang w:eastAsia="en-US"/>
        </w:rPr>
        <w:t>Accompanying</w:t>
      </w:r>
      <w:proofErr w:type="spellEnd"/>
      <w:r w:rsidRPr="003331EF">
        <w:rPr>
          <w:bCs/>
          <w:iCs/>
          <w:spacing w:val="-5"/>
          <w:lang w:eastAsia="en-US"/>
        </w:rPr>
        <w:t xml:space="preserve"> </w:t>
      </w:r>
      <w:proofErr w:type="spellStart"/>
      <w:r w:rsidRPr="003331EF">
        <w:rPr>
          <w:bCs/>
          <w:iCs/>
          <w:spacing w:val="-5"/>
          <w:lang w:eastAsia="en-US"/>
        </w:rPr>
        <w:t>the</w:t>
      </w:r>
      <w:proofErr w:type="spellEnd"/>
      <w:r w:rsidRPr="003331EF">
        <w:rPr>
          <w:bCs/>
          <w:iCs/>
          <w:spacing w:val="-5"/>
          <w:lang w:eastAsia="en-US"/>
        </w:rPr>
        <w:t xml:space="preserve"> </w:t>
      </w:r>
      <w:proofErr w:type="spellStart"/>
      <w:r w:rsidRPr="003331EF">
        <w:rPr>
          <w:bCs/>
          <w:iCs/>
          <w:spacing w:val="-5"/>
          <w:lang w:eastAsia="en-US"/>
        </w:rPr>
        <w:t>Anti-money</w:t>
      </w:r>
      <w:proofErr w:type="spellEnd"/>
      <w:r w:rsidRPr="003331EF">
        <w:rPr>
          <w:bCs/>
          <w:iCs/>
          <w:spacing w:val="-5"/>
          <w:lang w:eastAsia="en-US"/>
        </w:rPr>
        <w:t xml:space="preserve"> </w:t>
      </w:r>
      <w:proofErr w:type="spellStart"/>
      <w:r w:rsidRPr="003331EF">
        <w:rPr>
          <w:bCs/>
          <w:iCs/>
          <w:spacing w:val="-5"/>
          <w:lang w:eastAsia="en-US"/>
        </w:rPr>
        <w:t>laundering</w:t>
      </w:r>
      <w:proofErr w:type="spellEnd"/>
      <w:r w:rsidRPr="003331EF">
        <w:rPr>
          <w:bCs/>
          <w:iCs/>
          <w:spacing w:val="-5"/>
          <w:lang w:eastAsia="en-US"/>
        </w:rPr>
        <w:t xml:space="preserve"> </w:t>
      </w:r>
      <w:proofErr w:type="spellStart"/>
      <w:r w:rsidRPr="003331EF">
        <w:rPr>
          <w:bCs/>
          <w:iCs/>
          <w:spacing w:val="-5"/>
          <w:lang w:eastAsia="en-US"/>
        </w:rPr>
        <w:t>package</w:t>
      </w:r>
      <w:proofErr w:type="spellEnd"/>
      <w:r w:rsidR="008B11D7" w:rsidRPr="003331EF">
        <w:rPr>
          <w:bCs/>
          <w:iCs/>
          <w:spacing w:val="-5"/>
          <w:lang w:eastAsia="en-US"/>
        </w:rPr>
        <w:t>.</w:t>
      </w:r>
    </w:p>
    <w:p w14:paraId="7521F93F" w14:textId="77777777" w:rsidR="00552FE0" w:rsidRPr="003331EF" w:rsidRDefault="00552FE0" w:rsidP="003331EF">
      <w:pPr>
        <w:spacing w:before="0"/>
        <w:rPr>
          <w:bCs/>
          <w:iCs/>
          <w:spacing w:val="-5"/>
          <w:lang w:eastAsia="en-US"/>
        </w:rPr>
      </w:pPr>
    </w:p>
    <w:p w14:paraId="07490631" w14:textId="5F591645" w:rsidR="00552FE0" w:rsidRPr="003331EF" w:rsidRDefault="00552FE0" w:rsidP="003331EF">
      <w:pPr>
        <w:spacing w:before="0"/>
        <w:rPr>
          <w:bCs/>
          <w:iCs/>
          <w:spacing w:val="-5"/>
          <w:lang w:eastAsia="en-US"/>
        </w:rPr>
      </w:pPr>
      <w:r w:rsidRPr="003331EF">
        <w:rPr>
          <w:bCs/>
          <w:iCs/>
          <w:spacing w:val="-5"/>
          <w:lang w:eastAsia="en-US"/>
        </w:rPr>
        <w:t xml:space="preserve">Eelnõus esitatud tegevusloata väikefondi valitsejaid puudutavate </w:t>
      </w:r>
      <w:proofErr w:type="spellStart"/>
      <w:r w:rsidR="00250929" w:rsidRPr="003331EF">
        <w:rPr>
          <w:bCs/>
          <w:iCs/>
          <w:spacing w:val="-5"/>
          <w:lang w:eastAsia="en-US"/>
        </w:rPr>
        <w:t>IFS-i</w:t>
      </w:r>
      <w:proofErr w:type="spellEnd"/>
      <w:r w:rsidRPr="003331EF">
        <w:rPr>
          <w:bCs/>
          <w:iCs/>
          <w:spacing w:val="-5"/>
          <w:lang w:eastAsia="en-US"/>
        </w:rPr>
        <w:t xml:space="preserve"> muudatuste kohta eraldi </w:t>
      </w:r>
      <w:r w:rsidR="00A1744F" w:rsidRPr="003331EF">
        <w:rPr>
          <w:bCs/>
          <w:iCs/>
          <w:spacing w:val="-5"/>
          <w:lang w:eastAsia="en-US"/>
        </w:rPr>
        <w:t>VTK-d</w:t>
      </w:r>
      <w:r w:rsidRPr="003331EF">
        <w:rPr>
          <w:bCs/>
          <w:iCs/>
          <w:spacing w:val="-5"/>
          <w:lang w:eastAsia="en-US"/>
        </w:rPr>
        <w:t xml:space="preserve"> koostatud ei ole. Sektoriga seotud riskid on praktikas kõrged, mistõttu on ajakriitiline regulatsiooni kitsaskohtade lahendamine (vt täpsemalt seletuskirja punkti 2.5). Muudatuste kiireloomulisuse tõttu </w:t>
      </w:r>
      <w:r w:rsidR="00A1744F" w:rsidRPr="003331EF">
        <w:rPr>
          <w:bCs/>
          <w:iCs/>
          <w:spacing w:val="-5"/>
          <w:lang w:eastAsia="en-US"/>
        </w:rPr>
        <w:t>VTK-d</w:t>
      </w:r>
      <w:r w:rsidRPr="003331EF">
        <w:rPr>
          <w:bCs/>
          <w:iCs/>
          <w:spacing w:val="-5"/>
          <w:lang w:eastAsia="en-US"/>
        </w:rPr>
        <w:t xml:space="preserve"> ka koostatud ei ole. </w:t>
      </w:r>
    </w:p>
    <w:p w14:paraId="487F7B7D" w14:textId="238606A7" w:rsidR="00BE3DF6" w:rsidRPr="003331EF" w:rsidRDefault="00BE3DF6" w:rsidP="003331EF">
      <w:pPr>
        <w:spacing w:before="0"/>
      </w:pPr>
    </w:p>
    <w:p w14:paraId="5C46749D" w14:textId="52BE4953" w:rsidR="00FA614C" w:rsidRPr="003331EF" w:rsidRDefault="00FA614C" w:rsidP="003331EF">
      <w:pPr>
        <w:spacing w:before="0"/>
        <w:rPr>
          <w:b/>
          <w:bCs/>
        </w:rPr>
      </w:pPr>
      <w:r w:rsidRPr="003331EF">
        <w:rPr>
          <w:b/>
          <w:bCs/>
        </w:rPr>
        <w:t>2.</w:t>
      </w:r>
      <w:r w:rsidR="00D700C5" w:rsidRPr="003331EF">
        <w:rPr>
          <w:b/>
          <w:bCs/>
        </w:rPr>
        <w:t>4</w:t>
      </w:r>
      <w:r w:rsidRPr="003331EF">
        <w:rPr>
          <w:b/>
          <w:bCs/>
        </w:rPr>
        <w:t xml:space="preserve">.2. </w:t>
      </w:r>
      <w:r w:rsidR="00FB3211" w:rsidRPr="003331EF">
        <w:rPr>
          <w:b/>
          <w:bCs/>
        </w:rPr>
        <w:t>Liikmesriigi v</w:t>
      </w:r>
      <w:r w:rsidRPr="003331EF">
        <w:rPr>
          <w:b/>
          <w:bCs/>
        </w:rPr>
        <w:t>alikukohad</w:t>
      </w:r>
      <w:r w:rsidR="008B11D7" w:rsidRPr="003331EF">
        <w:rPr>
          <w:b/>
          <w:bCs/>
        </w:rPr>
        <w:t xml:space="preserve"> </w:t>
      </w:r>
      <w:proofErr w:type="spellStart"/>
      <w:r w:rsidR="008B11D7" w:rsidRPr="003331EF">
        <w:rPr>
          <w:b/>
          <w:bCs/>
        </w:rPr>
        <w:t>M</w:t>
      </w:r>
      <w:r w:rsidR="00A03096">
        <w:rPr>
          <w:b/>
          <w:bCs/>
        </w:rPr>
        <w:t>i</w:t>
      </w:r>
      <w:r w:rsidR="008B11D7" w:rsidRPr="003331EF">
        <w:rPr>
          <w:b/>
          <w:bCs/>
        </w:rPr>
        <w:t>CA</w:t>
      </w:r>
      <w:proofErr w:type="spellEnd"/>
      <w:r w:rsidR="008B11D7" w:rsidRPr="003331EF">
        <w:rPr>
          <w:b/>
          <w:bCs/>
        </w:rPr>
        <w:t xml:space="preserve"> määruses</w:t>
      </w:r>
    </w:p>
    <w:p w14:paraId="60F1E681" w14:textId="77777777" w:rsidR="00FA614C" w:rsidRPr="00A4579B" w:rsidRDefault="00FA614C" w:rsidP="003331EF">
      <w:pPr>
        <w:spacing w:before="0"/>
        <w:rPr>
          <w:lang w:eastAsia="en-US"/>
        </w:rPr>
      </w:pPr>
    </w:p>
    <w:p w14:paraId="589594CB" w14:textId="77777777" w:rsidR="007B7E0D" w:rsidRPr="003331EF" w:rsidRDefault="007B7E0D" w:rsidP="003331EF">
      <w:pPr>
        <w:pStyle w:val="Loendilik"/>
        <w:numPr>
          <w:ilvl w:val="0"/>
          <w:numId w:val="37"/>
        </w:numPr>
        <w:rPr>
          <w:b/>
          <w:bCs/>
        </w:rPr>
      </w:pPr>
      <w:r w:rsidRPr="003331EF">
        <w:rPr>
          <w:b/>
          <w:bCs/>
        </w:rPr>
        <w:t>Pädeva asutuse määramine</w:t>
      </w:r>
    </w:p>
    <w:p w14:paraId="7D7A1EB6" w14:textId="77777777" w:rsidR="007B7E0D" w:rsidRPr="003331EF" w:rsidRDefault="007B7E0D" w:rsidP="003331EF">
      <w:pPr>
        <w:spacing w:before="0"/>
        <w:rPr>
          <w:bCs/>
          <w:iCs/>
          <w:spacing w:val="-5"/>
          <w:lang w:eastAsia="en-US"/>
        </w:rPr>
      </w:pPr>
    </w:p>
    <w:p w14:paraId="735DA0F4" w14:textId="2AB6F4F6" w:rsidR="0018555E" w:rsidRPr="003331EF" w:rsidRDefault="007B7E0D" w:rsidP="003331EF">
      <w:pPr>
        <w:spacing w:before="0"/>
        <w:rPr>
          <w:bCs/>
          <w:iCs/>
          <w:spacing w:val="-5"/>
          <w:lang w:eastAsia="en-US"/>
        </w:rPr>
      </w:pPr>
      <w:proofErr w:type="spellStart"/>
      <w:r w:rsidRPr="003331EF">
        <w:rPr>
          <w:bCs/>
          <w:iCs/>
          <w:spacing w:val="-5"/>
          <w:lang w:eastAsia="en-US"/>
        </w:rPr>
        <w:t>M</w:t>
      </w:r>
      <w:r w:rsidR="00A03096">
        <w:rPr>
          <w:bCs/>
          <w:iCs/>
          <w:spacing w:val="-5"/>
          <w:lang w:eastAsia="en-US"/>
        </w:rPr>
        <w:t>i</w:t>
      </w:r>
      <w:r w:rsidRPr="003331EF">
        <w:rPr>
          <w:bCs/>
          <w:iCs/>
          <w:spacing w:val="-5"/>
          <w:lang w:eastAsia="en-US"/>
        </w:rPr>
        <w:t>CA</w:t>
      </w:r>
      <w:proofErr w:type="spellEnd"/>
      <w:r w:rsidRPr="003331EF">
        <w:rPr>
          <w:bCs/>
          <w:iCs/>
          <w:spacing w:val="-5"/>
          <w:lang w:eastAsia="en-US"/>
        </w:rPr>
        <w:t xml:space="preserve"> määruse </w:t>
      </w:r>
      <w:r w:rsidR="0018555E" w:rsidRPr="003331EF">
        <w:rPr>
          <w:bCs/>
          <w:iCs/>
          <w:spacing w:val="-5"/>
          <w:lang w:eastAsia="en-US"/>
        </w:rPr>
        <w:t xml:space="preserve">artikli 93 </w:t>
      </w:r>
      <w:r w:rsidR="000F1AE8" w:rsidRPr="003331EF">
        <w:rPr>
          <w:bCs/>
          <w:iCs/>
          <w:spacing w:val="-5"/>
          <w:lang w:eastAsia="en-US"/>
        </w:rPr>
        <w:t xml:space="preserve">kohaselt </w:t>
      </w:r>
      <w:r w:rsidR="0018555E" w:rsidRPr="003331EF">
        <w:rPr>
          <w:bCs/>
          <w:iCs/>
          <w:spacing w:val="-5"/>
          <w:lang w:eastAsia="en-US"/>
        </w:rPr>
        <w:t xml:space="preserve">peab iga liikmesriik määrama asutuse, kes teeb järelevalvet </w:t>
      </w:r>
      <w:proofErr w:type="spellStart"/>
      <w:r w:rsidR="0018555E" w:rsidRPr="003331EF">
        <w:rPr>
          <w:bCs/>
          <w:iCs/>
          <w:spacing w:val="-5"/>
          <w:lang w:eastAsia="en-US"/>
        </w:rPr>
        <w:t>M</w:t>
      </w:r>
      <w:r w:rsidR="00A03096">
        <w:rPr>
          <w:bCs/>
          <w:iCs/>
          <w:spacing w:val="-5"/>
          <w:lang w:eastAsia="en-US"/>
        </w:rPr>
        <w:t>i</w:t>
      </w:r>
      <w:r w:rsidR="0018555E" w:rsidRPr="003331EF">
        <w:rPr>
          <w:bCs/>
          <w:iCs/>
          <w:spacing w:val="-5"/>
          <w:lang w:eastAsia="en-US"/>
        </w:rPr>
        <w:t>CA</w:t>
      </w:r>
      <w:proofErr w:type="spellEnd"/>
      <w:r w:rsidR="0018555E" w:rsidRPr="003331EF">
        <w:rPr>
          <w:bCs/>
          <w:iCs/>
          <w:spacing w:val="-5"/>
          <w:lang w:eastAsia="en-US"/>
        </w:rPr>
        <w:t xml:space="preserve"> määruses ettenähtud nõuete täitmise üle. Liikmesriik peab sellest teavitama ka Euroopa Pangandusjärelevalve Asutust ja Euroopa Väärtpaberiturujärelevalve Asutust. Mh võib liikmesriik määrata ka mitu erinevat asutust järelevalvet tegema (nt võib üks järelevalveasutus teha järelevalvet e-raha </w:t>
      </w:r>
      <w:proofErr w:type="spellStart"/>
      <w:r w:rsidR="0018555E" w:rsidRPr="003331EF">
        <w:rPr>
          <w:bCs/>
          <w:iCs/>
          <w:spacing w:val="-5"/>
          <w:lang w:eastAsia="en-US"/>
        </w:rPr>
        <w:t>tokenite</w:t>
      </w:r>
      <w:proofErr w:type="spellEnd"/>
      <w:r w:rsidR="0018555E" w:rsidRPr="003331EF">
        <w:rPr>
          <w:bCs/>
          <w:iCs/>
          <w:spacing w:val="-5"/>
          <w:lang w:eastAsia="en-US"/>
        </w:rPr>
        <w:t xml:space="preserve"> väljastajate üle ja teine järelevalveasutus muude teenuste osutajate ja emitentide üle). Sel juhul peab aga olema üks keskne asutus nö kontaktpunktiks.</w:t>
      </w:r>
    </w:p>
    <w:p w14:paraId="4781F5E9" w14:textId="18DD0D8D" w:rsidR="0018555E" w:rsidRPr="003331EF" w:rsidRDefault="0018555E" w:rsidP="003331EF">
      <w:pPr>
        <w:spacing w:before="0"/>
        <w:rPr>
          <w:bCs/>
          <w:iCs/>
          <w:spacing w:val="-5"/>
          <w:lang w:eastAsia="en-US"/>
        </w:rPr>
      </w:pPr>
      <w:r w:rsidRPr="003331EF">
        <w:rPr>
          <w:bCs/>
          <w:iCs/>
          <w:spacing w:val="-5"/>
          <w:lang w:eastAsia="en-US"/>
        </w:rPr>
        <w:t xml:space="preserve"> </w:t>
      </w:r>
    </w:p>
    <w:p w14:paraId="6CBE52AE" w14:textId="6DB51904" w:rsidR="00960232" w:rsidRPr="003331EF" w:rsidRDefault="00960232" w:rsidP="003331EF">
      <w:pPr>
        <w:spacing w:before="0"/>
        <w:ind w:right="-62"/>
        <w:rPr>
          <w:bCs/>
          <w:iCs/>
          <w:spacing w:val="-5"/>
          <w:lang w:eastAsia="en-US"/>
        </w:rPr>
      </w:pPr>
      <w:r w:rsidRPr="003331EF">
        <w:rPr>
          <w:bCs/>
          <w:iCs/>
          <w:spacing w:val="-5"/>
          <w:lang w:eastAsia="en-US"/>
        </w:rPr>
        <w:t>Eelnõu koostamise raames on kaalutud kahte varianti pädeva asutuse määramiseks:</w:t>
      </w:r>
    </w:p>
    <w:p w14:paraId="5C76C3A3" w14:textId="1CC629E6" w:rsidR="00960232" w:rsidRPr="003331EF" w:rsidRDefault="00960232" w:rsidP="003331EF">
      <w:pPr>
        <w:pStyle w:val="Loendilik"/>
        <w:numPr>
          <w:ilvl w:val="0"/>
          <w:numId w:val="43"/>
        </w:numPr>
        <w:ind w:right="-62"/>
        <w:jc w:val="both"/>
        <w:rPr>
          <w:bCs/>
          <w:iCs/>
          <w:spacing w:val="-5"/>
        </w:rPr>
      </w:pPr>
      <w:r w:rsidRPr="003331EF">
        <w:rPr>
          <w:bCs/>
          <w:iCs/>
          <w:spacing w:val="-5"/>
        </w:rPr>
        <w:t>pädevaks asutuseks o</w:t>
      </w:r>
      <w:r w:rsidR="000F1AE8" w:rsidRPr="003331EF">
        <w:rPr>
          <w:bCs/>
          <w:iCs/>
          <w:spacing w:val="-5"/>
        </w:rPr>
        <w:t>n</w:t>
      </w:r>
      <w:r w:rsidRPr="003331EF">
        <w:rPr>
          <w:bCs/>
          <w:iCs/>
          <w:spacing w:val="-5"/>
        </w:rPr>
        <w:t xml:space="preserve"> Rahapesu Andmebüroo, kes annab ka kehtiva </w:t>
      </w:r>
      <w:proofErr w:type="spellStart"/>
      <w:r w:rsidRPr="003331EF">
        <w:rPr>
          <w:bCs/>
          <w:iCs/>
          <w:spacing w:val="-5"/>
        </w:rPr>
        <w:t>RahaPTS</w:t>
      </w:r>
      <w:proofErr w:type="spellEnd"/>
      <w:r w:rsidRPr="003331EF">
        <w:rPr>
          <w:bCs/>
          <w:iCs/>
          <w:spacing w:val="-5"/>
        </w:rPr>
        <w:t xml:space="preserve"> alusel hetkel välja </w:t>
      </w:r>
      <w:proofErr w:type="spellStart"/>
      <w:r w:rsidRPr="003331EF">
        <w:rPr>
          <w:bCs/>
          <w:iCs/>
          <w:spacing w:val="-5"/>
        </w:rPr>
        <w:t>VASP-ide</w:t>
      </w:r>
      <w:proofErr w:type="spellEnd"/>
      <w:r w:rsidRPr="003331EF">
        <w:rPr>
          <w:bCs/>
          <w:iCs/>
          <w:spacing w:val="-5"/>
        </w:rPr>
        <w:t xml:space="preserve"> tegevuslubasid;</w:t>
      </w:r>
    </w:p>
    <w:p w14:paraId="533C29BE" w14:textId="0DD9F951" w:rsidR="00960232" w:rsidRPr="003331EF" w:rsidRDefault="00960232" w:rsidP="003331EF">
      <w:pPr>
        <w:pStyle w:val="Loendilik"/>
        <w:numPr>
          <w:ilvl w:val="0"/>
          <w:numId w:val="43"/>
        </w:numPr>
        <w:ind w:right="-62"/>
        <w:jc w:val="both"/>
        <w:rPr>
          <w:bCs/>
          <w:iCs/>
          <w:spacing w:val="-5"/>
        </w:rPr>
      </w:pPr>
      <w:r w:rsidRPr="003331EF">
        <w:rPr>
          <w:bCs/>
          <w:iCs/>
          <w:spacing w:val="-5"/>
        </w:rPr>
        <w:t xml:space="preserve">pädevaks asutuseks </w:t>
      </w:r>
      <w:r w:rsidR="000F1AE8" w:rsidRPr="003331EF">
        <w:rPr>
          <w:bCs/>
          <w:iCs/>
          <w:spacing w:val="-5"/>
        </w:rPr>
        <w:t>on</w:t>
      </w:r>
      <w:r w:rsidRPr="003331EF">
        <w:rPr>
          <w:bCs/>
          <w:iCs/>
          <w:spacing w:val="-5"/>
        </w:rPr>
        <w:t xml:space="preserve"> Finantsinspektsioon.</w:t>
      </w:r>
    </w:p>
    <w:p w14:paraId="0A189433" w14:textId="77777777" w:rsidR="00F65B9E" w:rsidRPr="003331EF" w:rsidRDefault="00F65B9E" w:rsidP="003331EF">
      <w:pPr>
        <w:pStyle w:val="Loendilik"/>
        <w:ind w:left="360" w:right="-62"/>
        <w:jc w:val="both"/>
        <w:rPr>
          <w:bCs/>
          <w:iCs/>
          <w:spacing w:val="-5"/>
        </w:rPr>
      </w:pPr>
    </w:p>
    <w:p w14:paraId="4CDCA1E0" w14:textId="66B424FB" w:rsidR="00960232" w:rsidRPr="003331EF" w:rsidRDefault="00960232" w:rsidP="003331EF">
      <w:pPr>
        <w:widowControl w:val="0"/>
        <w:suppressAutoHyphens/>
        <w:spacing w:before="0"/>
        <w:rPr>
          <w:bCs/>
          <w:iCs/>
          <w:spacing w:val="-5"/>
          <w:lang w:eastAsia="en-US"/>
        </w:rPr>
      </w:pPr>
      <w:r w:rsidRPr="003331EF">
        <w:rPr>
          <w:bCs/>
          <w:iCs/>
          <w:spacing w:val="-5"/>
          <w:lang w:eastAsia="en-US"/>
        </w:rPr>
        <w:t xml:space="preserve">Väidetavalt kannab </w:t>
      </w:r>
      <w:proofErr w:type="spellStart"/>
      <w:r w:rsidRPr="003331EF">
        <w:rPr>
          <w:bCs/>
          <w:iCs/>
          <w:spacing w:val="-5"/>
          <w:lang w:eastAsia="en-US"/>
        </w:rPr>
        <w:t>krüptovara</w:t>
      </w:r>
      <w:proofErr w:type="spellEnd"/>
      <w:r w:rsidRPr="003331EF">
        <w:rPr>
          <w:bCs/>
          <w:iCs/>
          <w:spacing w:val="-5"/>
          <w:lang w:eastAsia="en-US"/>
        </w:rPr>
        <w:t xml:space="preserve"> üksjagu rahapesu ja terrorismi rahastamise tõkestamise riske ja seetõttu võiks pädev asutus olla Rahapesu Andmebüroo. Sealjuures on </w:t>
      </w:r>
      <w:r w:rsidR="000F1AE8" w:rsidRPr="003331EF">
        <w:rPr>
          <w:bCs/>
          <w:iCs/>
          <w:spacing w:val="-5"/>
          <w:lang w:eastAsia="en-US"/>
        </w:rPr>
        <w:t>Rahapesu Andmebüroo</w:t>
      </w:r>
      <w:r w:rsidRPr="003331EF">
        <w:rPr>
          <w:bCs/>
          <w:iCs/>
          <w:spacing w:val="-5"/>
          <w:lang w:eastAsia="en-US"/>
        </w:rPr>
        <w:t xml:space="preserve"> juba aastaid vastava valdkonna eest teatud ulatuses kontrolli teostamise mõttes vastutanud ning neil on olemas valdkonna eksperdid. Finantsinspektsioon peaks selle kõik eraldi ja täiendavalt üles ehitama. </w:t>
      </w:r>
    </w:p>
    <w:p w14:paraId="67A320A9" w14:textId="77777777" w:rsidR="00960232" w:rsidRPr="003331EF" w:rsidRDefault="00960232" w:rsidP="003331EF">
      <w:pPr>
        <w:spacing w:before="0"/>
      </w:pPr>
    </w:p>
    <w:p w14:paraId="76131947" w14:textId="00048C63" w:rsidR="00960232" w:rsidRPr="003331EF" w:rsidRDefault="00960232" w:rsidP="003331EF">
      <w:pPr>
        <w:widowControl w:val="0"/>
        <w:suppressAutoHyphens/>
        <w:spacing w:before="0"/>
        <w:rPr>
          <w:bCs/>
          <w:iCs/>
          <w:spacing w:val="-5"/>
          <w:lang w:eastAsia="en-US"/>
        </w:rPr>
      </w:pPr>
      <w:r w:rsidRPr="003331EF">
        <w:rPr>
          <w:bCs/>
          <w:iCs/>
          <w:spacing w:val="-5"/>
          <w:lang w:eastAsia="en-US"/>
        </w:rPr>
        <w:t>Siiski on käesolevaga võetud eelnõus lähenemine, et vastaks</w:t>
      </w:r>
      <w:r w:rsidR="000F1AE8" w:rsidRPr="003331EF">
        <w:rPr>
          <w:bCs/>
          <w:iCs/>
          <w:spacing w:val="-5"/>
          <w:lang w:eastAsia="en-US"/>
        </w:rPr>
        <w:t xml:space="preserve"> pädevaks asutuseks</w:t>
      </w:r>
      <w:r w:rsidRPr="003331EF">
        <w:rPr>
          <w:bCs/>
          <w:iCs/>
          <w:spacing w:val="-5"/>
          <w:lang w:eastAsia="en-US"/>
        </w:rPr>
        <w:t xml:space="preserve"> </w:t>
      </w:r>
      <w:proofErr w:type="spellStart"/>
      <w:r w:rsidRPr="003331EF">
        <w:rPr>
          <w:bCs/>
          <w:iCs/>
          <w:spacing w:val="-5"/>
          <w:lang w:eastAsia="en-US"/>
        </w:rPr>
        <w:t>M</w:t>
      </w:r>
      <w:r w:rsidR="00A03096">
        <w:rPr>
          <w:bCs/>
          <w:iCs/>
          <w:spacing w:val="-5"/>
          <w:lang w:eastAsia="en-US"/>
        </w:rPr>
        <w:t>i</w:t>
      </w:r>
      <w:r w:rsidRPr="003331EF">
        <w:rPr>
          <w:bCs/>
          <w:iCs/>
          <w:spacing w:val="-5"/>
          <w:lang w:eastAsia="en-US"/>
        </w:rPr>
        <w:t>CA</w:t>
      </w:r>
      <w:proofErr w:type="spellEnd"/>
      <w:r w:rsidRPr="003331EF">
        <w:rPr>
          <w:bCs/>
          <w:iCs/>
          <w:spacing w:val="-5"/>
          <w:lang w:eastAsia="en-US"/>
        </w:rPr>
        <w:t xml:space="preserve"> määruse </w:t>
      </w:r>
      <w:r w:rsidRPr="003331EF">
        <w:rPr>
          <w:bCs/>
          <w:iCs/>
          <w:spacing w:val="-5"/>
          <w:lang w:eastAsia="en-US"/>
        </w:rPr>
        <w:lastRenderedPageBreak/>
        <w:t>tähenduses saab olema Finantsinspektsioon. Ja seda järgmistel põhjustel:</w:t>
      </w:r>
    </w:p>
    <w:p w14:paraId="47C419AE" w14:textId="6D75A805" w:rsidR="00F65B9E" w:rsidRPr="003331EF" w:rsidRDefault="00960232" w:rsidP="003331EF">
      <w:pPr>
        <w:pStyle w:val="Loendilik"/>
        <w:widowControl w:val="0"/>
        <w:numPr>
          <w:ilvl w:val="0"/>
          <w:numId w:val="57"/>
        </w:numPr>
        <w:suppressAutoHyphens/>
        <w:jc w:val="both"/>
        <w:rPr>
          <w:bCs/>
          <w:iCs/>
          <w:spacing w:val="-5"/>
        </w:rPr>
      </w:pPr>
      <w:proofErr w:type="spellStart"/>
      <w:r w:rsidRPr="003331EF">
        <w:rPr>
          <w:bCs/>
          <w:iCs/>
          <w:spacing w:val="-5"/>
        </w:rPr>
        <w:t>M</w:t>
      </w:r>
      <w:r w:rsidR="00A03096">
        <w:rPr>
          <w:bCs/>
          <w:iCs/>
          <w:spacing w:val="-5"/>
        </w:rPr>
        <w:t>i</w:t>
      </w:r>
      <w:r w:rsidRPr="003331EF">
        <w:rPr>
          <w:bCs/>
          <w:iCs/>
          <w:spacing w:val="-5"/>
        </w:rPr>
        <w:t>CA</w:t>
      </w:r>
      <w:proofErr w:type="spellEnd"/>
      <w:r w:rsidRPr="003331EF">
        <w:rPr>
          <w:bCs/>
          <w:iCs/>
          <w:spacing w:val="-5"/>
        </w:rPr>
        <w:t xml:space="preserve"> määruses ettenähtud nõuded on väga sarnased mitmete teiste EL finantssektori regulatsioonidega, mis näevad ette investorite kaitse reeglid (eelkõige </w:t>
      </w:r>
      <w:proofErr w:type="spellStart"/>
      <w:r w:rsidRPr="003331EF">
        <w:rPr>
          <w:bCs/>
          <w:iCs/>
          <w:spacing w:val="-5"/>
        </w:rPr>
        <w:t>MiFID-ga</w:t>
      </w:r>
      <w:proofErr w:type="spellEnd"/>
      <w:r w:rsidRPr="003331EF">
        <w:rPr>
          <w:bCs/>
          <w:iCs/>
          <w:spacing w:val="-5"/>
        </w:rPr>
        <w:t xml:space="preserve">). Samuti on sarnasusi ka muude nn elementidega – nt kapitalinõuded. Ehk </w:t>
      </w:r>
      <w:proofErr w:type="spellStart"/>
      <w:r w:rsidRPr="003331EF">
        <w:rPr>
          <w:bCs/>
          <w:iCs/>
          <w:spacing w:val="-5"/>
        </w:rPr>
        <w:t>M</w:t>
      </w:r>
      <w:r w:rsidR="00A03096">
        <w:rPr>
          <w:bCs/>
          <w:iCs/>
          <w:spacing w:val="-5"/>
        </w:rPr>
        <w:t>i</w:t>
      </w:r>
      <w:r w:rsidRPr="003331EF">
        <w:rPr>
          <w:bCs/>
          <w:iCs/>
          <w:spacing w:val="-5"/>
        </w:rPr>
        <w:t>CA</w:t>
      </w:r>
      <w:proofErr w:type="spellEnd"/>
      <w:r w:rsidRPr="003331EF">
        <w:rPr>
          <w:bCs/>
          <w:iCs/>
          <w:spacing w:val="-5"/>
        </w:rPr>
        <w:t xml:space="preserve"> määruse käsitluse kohaselt on </w:t>
      </w:r>
      <w:proofErr w:type="spellStart"/>
      <w:r w:rsidRPr="003331EF">
        <w:rPr>
          <w:bCs/>
          <w:iCs/>
          <w:spacing w:val="-5"/>
        </w:rPr>
        <w:t>krüptovarateenuse</w:t>
      </w:r>
      <w:proofErr w:type="spellEnd"/>
      <w:r w:rsidRPr="003331EF">
        <w:rPr>
          <w:bCs/>
          <w:iCs/>
          <w:spacing w:val="-5"/>
        </w:rPr>
        <w:t xml:space="preserve"> osutamine ja </w:t>
      </w:r>
      <w:proofErr w:type="spellStart"/>
      <w:r w:rsidRPr="003331EF">
        <w:rPr>
          <w:bCs/>
          <w:iCs/>
          <w:spacing w:val="-5"/>
        </w:rPr>
        <w:t>krüptovarade</w:t>
      </w:r>
      <w:proofErr w:type="spellEnd"/>
      <w:r w:rsidRPr="003331EF">
        <w:rPr>
          <w:bCs/>
          <w:iCs/>
          <w:spacing w:val="-5"/>
        </w:rPr>
        <w:t xml:space="preserve"> emiteerimine olemuslikult väga lähedane finantsteenuste (eelkõige investeerimisteenuste) osutamisega. </w:t>
      </w:r>
      <w:r w:rsidR="000F1AE8" w:rsidRPr="003331EF">
        <w:rPr>
          <w:bCs/>
          <w:iCs/>
          <w:spacing w:val="-5"/>
        </w:rPr>
        <w:t>Rahapesu Andmebüroo</w:t>
      </w:r>
      <w:r w:rsidRPr="003331EF">
        <w:rPr>
          <w:bCs/>
          <w:iCs/>
          <w:spacing w:val="-5"/>
        </w:rPr>
        <w:t xml:space="preserve"> täna sellise järelevalve ega kontrolliga ei tegele</w:t>
      </w:r>
      <w:r w:rsidR="00445D7D" w:rsidRPr="003331EF">
        <w:rPr>
          <w:bCs/>
          <w:iCs/>
          <w:spacing w:val="-5"/>
        </w:rPr>
        <w:t xml:space="preserve">. Lisaks, kuna </w:t>
      </w:r>
      <w:proofErr w:type="spellStart"/>
      <w:r w:rsidR="00445D7D" w:rsidRPr="003331EF">
        <w:rPr>
          <w:bCs/>
          <w:iCs/>
          <w:spacing w:val="-5"/>
        </w:rPr>
        <w:t>krüptovara</w:t>
      </w:r>
      <w:proofErr w:type="spellEnd"/>
      <w:r w:rsidR="00445D7D" w:rsidRPr="003331EF">
        <w:rPr>
          <w:bCs/>
          <w:iCs/>
          <w:spacing w:val="-5"/>
        </w:rPr>
        <w:t xml:space="preserve"> emiteerimise ja müügiga ning </w:t>
      </w:r>
      <w:proofErr w:type="spellStart"/>
      <w:r w:rsidR="00445D7D" w:rsidRPr="003331EF">
        <w:rPr>
          <w:bCs/>
          <w:iCs/>
          <w:spacing w:val="-5"/>
        </w:rPr>
        <w:t>krüptovarateenuse</w:t>
      </w:r>
      <w:proofErr w:type="spellEnd"/>
      <w:r w:rsidR="00445D7D" w:rsidRPr="003331EF">
        <w:rPr>
          <w:bCs/>
          <w:iCs/>
          <w:spacing w:val="-5"/>
        </w:rPr>
        <w:t xml:space="preserve"> osutamisega võivad tegeleda mh krediidiasutused, investeerimisühingud ja teised finantssektori ettevõtjad, kes kuuluvad täna Finantsinspektsiooni järelevalve alla, siis </w:t>
      </w:r>
      <w:proofErr w:type="spellStart"/>
      <w:r w:rsidR="00445D7D" w:rsidRPr="003331EF">
        <w:rPr>
          <w:bCs/>
          <w:iCs/>
          <w:spacing w:val="-5"/>
        </w:rPr>
        <w:t>M</w:t>
      </w:r>
      <w:r w:rsidR="00A03096">
        <w:rPr>
          <w:bCs/>
          <w:iCs/>
          <w:spacing w:val="-5"/>
        </w:rPr>
        <w:t>i</w:t>
      </w:r>
      <w:r w:rsidR="00445D7D" w:rsidRPr="003331EF">
        <w:rPr>
          <w:bCs/>
          <w:iCs/>
          <w:spacing w:val="-5"/>
        </w:rPr>
        <w:t>CA</w:t>
      </w:r>
      <w:proofErr w:type="spellEnd"/>
      <w:r w:rsidR="00445D7D" w:rsidRPr="003331EF">
        <w:rPr>
          <w:bCs/>
          <w:iCs/>
          <w:spacing w:val="-5"/>
        </w:rPr>
        <w:t xml:space="preserve"> määruse järelevalve andmine osaliselt Rahapesu Andmebüroole võib tähendada, et sellisel kujul järelevalvemudeli killustatus väikeses riigis nagu Eesti on üksjagu küsitav</w:t>
      </w:r>
      <w:r w:rsidR="000F1AE8" w:rsidRPr="003331EF">
        <w:rPr>
          <w:bCs/>
          <w:iCs/>
          <w:spacing w:val="-5"/>
        </w:rPr>
        <w:t>.</w:t>
      </w:r>
    </w:p>
    <w:p w14:paraId="36F2C90E" w14:textId="581827E3" w:rsidR="00F65B9E" w:rsidRPr="003331EF" w:rsidRDefault="00960232" w:rsidP="003331EF">
      <w:pPr>
        <w:pStyle w:val="Loendilik"/>
        <w:widowControl w:val="0"/>
        <w:numPr>
          <w:ilvl w:val="0"/>
          <w:numId w:val="57"/>
        </w:numPr>
        <w:suppressAutoHyphens/>
        <w:jc w:val="both"/>
        <w:rPr>
          <w:bCs/>
          <w:iCs/>
          <w:spacing w:val="-5"/>
        </w:rPr>
      </w:pPr>
      <w:proofErr w:type="spellStart"/>
      <w:r w:rsidRPr="003331EF">
        <w:rPr>
          <w:bCs/>
          <w:iCs/>
          <w:spacing w:val="-5"/>
        </w:rPr>
        <w:t>M</w:t>
      </w:r>
      <w:r w:rsidR="00A03096">
        <w:rPr>
          <w:bCs/>
          <w:iCs/>
          <w:spacing w:val="-5"/>
        </w:rPr>
        <w:t>i</w:t>
      </w:r>
      <w:r w:rsidRPr="003331EF">
        <w:rPr>
          <w:bCs/>
          <w:iCs/>
          <w:spacing w:val="-5"/>
        </w:rPr>
        <w:t>CA</w:t>
      </w:r>
      <w:proofErr w:type="spellEnd"/>
      <w:r w:rsidRPr="003331EF">
        <w:rPr>
          <w:bCs/>
          <w:iCs/>
          <w:spacing w:val="-5"/>
        </w:rPr>
        <w:t xml:space="preserve"> määruse põhjenduspunkt 103 selgitab, et </w:t>
      </w:r>
      <w:r w:rsidR="00445D7D" w:rsidRPr="003331EF">
        <w:rPr>
          <w:bCs/>
          <w:iCs/>
          <w:spacing w:val="-5"/>
        </w:rPr>
        <w:t xml:space="preserve">ühe </w:t>
      </w:r>
      <w:proofErr w:type="spellStart"/>
      <w:r w:rsidR="00445D7D" w:rsidRPr="003331EF">
        <w:rPr>
          <w:bCs/>
          <w:iCs/>
          <w:spacing w:val="-5"/>
        </w:rPr>
        <w:t>kr</w:t>
      </w:r>
      <w:r w:rsidR="001C5342">
        <w:rPr>
          <w:bCs/>
          <w:iCs/>
          <w:spacing w:val="-5"/>
        </w:rPr>
        <w:t>ü</w:t>
      </w:r>
      <w:r w:rsidR="00445D7D" w:rsidRPr="003331EF">
        <w:rPr>
          <w:bCs/>
          <w:iCs/>
          <w:spacing w:val="-5"/>
        </w:rPr>
        <w:t>ptovara</w:t>
      </w:r>
      <w:proofErr w:type="spellEnd"/>
      <w:r w:rsidR="00445D7D" w:rsidRPr="003331EF">
        <w:rPr>
          <w:bCs/>
          <w:iCs/>
          <w:spacing w:val="-5"/>
        </w:rPr>
        <w:t xml:space="preserve"> liigi </w:t>
      </w:r>
      <w:proofErr w:type="spellStart"/>
      <w:r w:rsidR="00445D7D" w:rsidRPr="003331EF">
        <w:rPr>
          <w:bCs/>
          <w:iCs/>
          <w:spacing w:val="-5"/>
        </w:rPr>
        <w:t>emiteerijate</w:t>
      </w:r>
      <w:proofErr w:type="spellEnd"/>
      <w:r w:rsidR="00445D7D" w:rsidRPr="003331EF">
        <w:rPr>
          <w:bCs/>
          <w:iCs/>
          <w:spacing w:val="-5"/>
        </w:rPr>
        <w:t xml:space="preserve"> – nimelt </w:t>
      </w:r>
      <w:r w:rsidRPr="003331EF">
        <w:rPr>
          <w:bCs/>
          <w:iCs/>
          <w:spacing w:val="-5"/>
        </w:rPr>
        <w:t xml:space="preserve">e-raha </w:t>
      </w:r>
      <w:proofErr w:type="spellStart"/>
      <w:r w:rsidRPr="003331EF">
        <w:rPr>
          <w:bCs/>
          <w:iCs/>
          <w:spacing w:val="-5"/>
        </w:rPr>
        <w:t>tokenite</w:t>
      </w:r>
      <w:proofErr w:type="spellEnd"/>
      <w:r w:rsidRPr="003331EF">
        <w:rPr>
          <w:bCs/>
          <w:iCs/>
          <w:spacing w:val="-5"/>
        </w:rPr>
        <w:t xml:space="preserve"> emitentide üle peaksid tegema järelevalvet </w:t>
      </w:r>
      <w:r w:rsidR="00445D7D" w:rsidRPr="003331EF">
        <w:rPr>
          <w:bCs/>
          <w:iCs/>
          <w:spacing w:val="-5"/>
        </w:rPr>
        <w:t xml:space="preserve">need olemasolevad järelevalveasutused, kes teevad juba </w:t>
      </w:r>
      <w:r w:rsidR="00590984">
        <w:rPr>
          <w:bCs/>
          <w:iCs/>
          <w:spacing w:val="-5"/>
        </w:rPr>
        <w:t>praegu</w:t>
      </w:r>
      <w:r w:rsidR="00445D7D" w:rsidRPr="003331EF">
        <w:rPr>
          <w:bCs/>
          <w:iCs/>
          <w:spacing w:val="-5"/>
        </w:rPr>
        <w:t xml:space="preserve"> järelevalvet tavapärase e-raha </w:t>
      </w:r>
      <w:proofErr w:type="spellStart"/>
      <w:r w:rsidR="00445D7D" w:rsidRPr="003331EF">
        <w:rPr>
          <w:bCs/>
          <w:iCs/>
          <w:spacing w:val="-5"/>
        </w:rPr>
        <w:t>emiteerijate</w:t>
      </w:r>
      <w:proofErr w:type="spellEnd"/>
      <w:r w:rsidR="00445D7D" w:rsidRPr="003331EF">
        <w:rPr>
          <w:bCs/>
          <w:iCs/>
          <w:spacing w:val="-5"/>
        </w:rPr>
        <w:t xml:space="preserve"> (e-raha asutuste ja krediidiasutuste) üle, seega</w:t>
      </w:r>
      <w:r w:rsidRPr="003331EF">
        <w:rPr>
          <w:bCs/>
          <w:iCs/>
          <w:spacing w:val="-5"/>
        </w:rPr>
        <w:t xml:space="preserve"> Eesti puhul oleks selleks igal juhul Finantsinspektsioon</w:t>
      </w:r>
      <w:r w:rsidR="000F1AE8" w:rsidRPr="003331EF">
        <w:rPr>
          <w:bCs/>
          <w:iCs/>
          <w:spacing w:val="-5"/>
        </w:rPr>
        <w:t>.</w:t>
      </w:r>
    </w:p>
    <w:p w14:paraId="7CA34C95" w14:textId="4585BE79" w:rsidR="00F65B9E" w:rsidRPr="003331EF" w:rsidRDefault="00445D7D" w:rsidP="003331EF">
      <w:pPr>
        <w:pStyle w:val="Loendilik"/>
        <w:widowControl w:val="0"/>
        <w:numPr>
          <w:ilvl w:val="0"/>
          <w:numId w:val="57"/>
        </w:numPr>
        <w:suppressAutoHyphens/>
        <w:jc w:val="both"/>
        <w:rPr>
          <w:bCs/>
          <w:iCs/>
          <w:spacing w:val="-5"/>
        </w:rPr>
      </w:pPr>
      <w:proofErr w:type="spellStart"/>
      <w:r w:rsidRPr="003331EF">
        <w:rPr>
          <w:bCs/>
          <w:iCs/>
          <w:spacing w:val="-5"/>
        </w:rPr>
        <w:t>M</w:t>
      </w:r>
      <w:r w:rsidR="00A03096">
        <w:rPr>
          <w:bCs/>
          <w:iCs/>
          <w:spacing w:val="-5"/>
        </w:rPr>
        <w:t>i</w:t>
      </w:r>
      <w:r w:rsidRPr="003331EF">
        <w:rPr>
          <w:bCs/>
          <w:iCs/>
          <w:spacing w:val="-5"/>
        </w:rPr>
        <w:t>CA</w:t>
      </w:r>
      <w:proofErr w:type="spellEnd"/>
      <w:r w:rsidRPr="003331EF">
        <w:rPr>
          <w:bCs/>
          <w:iCs/>
          <w:spacing w:val="-5"/>
        </w:rPr>
        <w:t xml:space="preserve"> määrus näeb ette erinevaid r</w:t>
      </w:r>
      <w:r w:rsidR="0092097C" w:rsidRPr="003331EF">
        <w:rPr>
          <w:bCs/>
          <w:iCs/>
          <w:spacing w:val="-5"/>
        </w:rPr>
        <w:t>aporteerimis- ja koostöökohustusi</w:t>
      </w:r>
      <w:r w:rsidRPr="003331EF">
        <w:rPr>
          <w:bCs/>
          <w:iCs/>
          <w:spacing w:val="-5"/>
        </w:rPr>
        <w:t xml:space="preserve"> EL finantsjärelevalveasutustega ning täna on peamiseks kontaktpunktiks Eestis nende asutustega koostöö osas Finantsinspektsioon</w:t>
      </w:r>
      <w:r w:rsidR="000F1AE8" w:rsidRPr="003331EF">
        <w:rPr>
          <w:bCs/>
          <w:iCs/>
          <w:spacing w:val="-5"/>
        </w:rPr>
        <w:t>.</w:t>
      </w:r>
    </w:p>
    <w:p w14:paraId="66735792" w14:textId="31BF0CE7" w:rsidR="00445D7D" w:rsidRPr="003331EF" w:rsidRDefault="000F1AE8" w:rsidP="003331EF">
      <w:pPr>
        <w:pStyle w:val="Loendilik"/>
        <w:widowControl w:val="0"/>
        <w:numPr>
          <w:ilvl w:val="0"/>
          <w:numId w:val="57"/>
        </w:numPr>
        <w:suppressAutoHyphens/>
        <w:jc w:val="both"/>
        <w:rPr>
          <w:bCs/>
          <w:iCs/>
          <w:spacing w:val="-5"/>
        </w:rPr>
      </w:pPr>
      <w:r w:rsidRPr="003331EF">
        <w:rPr>
          <w:bCs/>
          <w:iCs/>
          <w:spacing w:val="-5"/>
        </w:rPr>
        <w:t>K</w:t>
      </w:r>
      <w:r w:rsidR="00445D7D" w:rsidRPr="003331EF">
        <w:rPr>
          <w:bCs/>
          <w:iCs/>
          <w:spacing w:val="-5"/>
        </w:rPr>
        <w:t xml:space="preserve">uigi </w:t>
      </w:r>
      <w:r w:rsidR="001C5342">
        <w:rPr>
          <w:bCs/>
          <w:iCs/>
          <w:spacing w:val="-5"/>
        </w:rPr>
        <w:t>praegu</w:t>
      </w:r>
      <w:r w:rsidR="00445D7D" w:rsidRPr="003331EF">
        <w:rPr>
          <w:bCs/>
          <w:iCs/>
          <w:spacing w:val="-5"/>
        </w:rPr>
        <w:t xml:space="preserve"> on selliste teenuste mõju finantsstabiilsusele vähene või pigem marginaalne, siis teenuste mahu kasvades ei saa välistada selle valdkonna (negatiivset) mõju ka finantsstabiilsusele. Ka </w:t>
      </w:r>
      <w:proofErr w:type="spellStart"/>
      <w:r w:rsidR="00445D7D" w:rsidRPr="003331EF">
        <w:rPr>
          <w:bCs/>
          <w:iCs/>
          <w:spacing w:val="-5"/>
        </w:rPr>
        <w:t>M</w:t>
      </w:r>
      <w:r w:rsidR="00A1744F" w:rsidRPr="003331EF">
        <w:rPr>
          <w:bCs/>
          <w:iCs/>
          <w:spacing w:val="-5"/>
        </w:rPr>
        <w:t>i</w:t>
      </w:r>
      <w:r w:rsidR="00445D7D" w:rsidRPr="003331EF">
        <w:rPr>
          <w:bCs/>
          <w:iCs/>
          <w:spacing w:val="-5"/>
        </w:rPr>
        <w:t>CA</w:t>
      </w:r>
      <w:proofErr w:type="spellEnd"/>
      <w:r w:rsidR="00445D7D" w:rsidRPr="003331EF">
        <w:rPr>
          <w:bCs/>
          <w:iCs/>
          <w:spacing w:val="-5"/>
        </w:rPr>
        <w:t xml:space="preserve"> määruse põhjenduspunktis 5 on kirjas, et </w:t>
      </w:r>
      <w:proofErr w:type="spellStart"/>
      <w:r w:rsidR="00445D7D" w:rsidRPr="003331EF">
        <w:rPr>
          <w:bCs/>
          <w:iCs/>
          <w:spacing w:val="-5"/>
        </w:rPr>
        <w:t>jaeinvestorid</w:t>
      </w:r>
      <w:proofErr w:type="spellEnd"/>
      <w:r w:rsidR="00445D7D" w:rsidRPr="003331EF">
        <w:rPr>
          <w:bCs/>
          <w:iCs/>
          <w:spacing w:val="-5"/>
        </w:rPr>
        <w:t xml:space="preserve"> võivad hakata tulevikus laialdaselt kasutama mõnda </w:t>
      </w:r>
      <w:proofErr w:type="spellStart"/>
      <w:r w:rsidR="00445D7D" w:rsidRPr="003331EF">
        <w:rPr>
          <w:bCs/>
          <w:iCs/>
          <w:spacing w:val="-5"/>
        </w:rPr>
        <w:t>krüptovara</w:t>
      </w:r>
      <w:proofErr w:type="spellEnd"/>
      <w:r w:rsidR="00445D7D" w:rsidRPr="003331EF">
        <w:rPr>
          <w:bCs/>
          <w:iCs/>
          <w:spacing w:val="-5"/>
        </w:rPr>
        <w:t xml:space="preserve"> liiki, mille hinda püütakse stabiliseerida ühe konkreetse vara või varade kogumi suhtes, ning selline areng võib tekitada lisaprobleeme finantsstabiilsuse, maksesüsteemide tõrgeteta toimimise, rahapoliitika reaalmajandusse jõudmise või rahapoliitika iseseisvuse seisukohast. Muu</w:t>
      </w:r>
      <w:r w:rsidR="00B93C39">
        <w:rPr>
          <w:bCs/>
          <w:iCs/>
          <w:spacing w:val="-5"/>
        </w:rPr>
        <w:t> </w:t>
      </w:r>
      <w:r w:rsidR="00445D7D" w:rsidRPr="003331EF">
        <w:rPr>
          <w:bCs/>
          <w:iCs/>
          <w:spacing w:val="-5"/>
        </w:rPr>
        <w:t xml:space="preserve">hulgas võib </w:t>
      </w:r>
      <w:proofErr w:type="spellStart"/>
      <w:r w:rsidR="00445D7D" w:rsidRPr="003331EF">
        <w:rPr>
          <w:bCs/>
          <w:iCs/>
          <w:spacing w:val="-5"/>
        </w:rPr>
        <w:t>M</w:t>
      </w:r>
      <w:r w:rsidR="00A03096">
        <w:rPr>
          <w:bCs/>
          <w:iCs/>
          <w:spacing w:val="-5"/>
        </w:rPr>
        <w:t>i</w:t>
      </w:r>
      <w:r w:rsidR="00445D7D" w:rsidRPr="003331EF">
        <w:rPr>
          <w:bCs/>
          <w:iCs/>
          <w:spacing w:val="-5"/>
        </w:rPr>
        <w:t>CA</w:t>
      </w:r>
      <w:proofErr w:type="spellEnd"/>
      <w:r w:rsidR="00445D7D" w:rsidRPr="003331EF">
        <w:rPr>
          <w:bCs/>
          <w:iCs/>
          <w:spacing w:val="-5"/>
        </w:rPr>
        <w:t xml:space="preserve"> kohaselt pädev asutus tegevusloa andmisest keelduda, kui taotleva varapõhiste </w:t>
      </w:r>
      <w:proofErr w:type="spellStart"/>
      <w:r w:rsidR="00445D7D" w:rsidRPr="003331EF">
        <w:rPr>
          <w:bCs/>
          <w:iCs/>
          <w:spacing w:val="-5"/>
        </w:rPr>
        <w:t>tokenite</w:t>
      </w:r>
      <w:proofErr w:type="spellEnd"/>
      <w:r w:rsidR="00445D7D" w:rsidRPr="003331EF">
        <w:rPr>
          <w:bCs/>
          <w:iCs/>
          <w:spacing w:val="-5"/>
        </w:rPr>
        <w:t xml:space="preserve"> emitendi ärimudel võib tõsiselt ohustada turu terviklust, finantsstabiilsust või maksesüsteemide tõrgeteta toimimist. Samuti on pädeval asutusel õigus varapõhiste </w:t>
      </w:r>
      <w:proofErr w:type="spellStart"/>
      <w:r w:rsidR="00445D7D" w:rsidRPr="003331EF">
        <w:rPr>
          <w:bCs/>
          <w:iCs/>
          <w:spacing w:val="-5"/>
        </w:rPr>
        <w:t>tokenite</w:t>
      </w:r>
      <w:proofErr w:type="spellEnd"/>
      <w:r w:rsidR="00445D7D" w:rsidRPr="003331EF">
        <w:rPr>
          <w:bCs/>
          <w:iCs/>
          <w:spacing w:val="-5"/>
        </w:rPr>
        <w:t xml:space="preserve"> lunastamine ajutiselt peatada, et kaitsta varapõhiste </w:t>
      </w:r>
      <w:proofErr w:type="spellStart"/>
      <w:r w:rsidR="00445D7D" w:rsidRPr="003331EF">
        <w:rPr>
          <w:bCs/>
          <w:iCs/>
          <w:spacing w:val="-5"/>
        </w:rPr>
        <w:t>tokenite</w:t>
      </w:r>
      <w:proofErr w:type="spellEnd"/>
      <w:r w:rsidR="00445D7D" w:rsidRPr="003331EF">
        <w:rPr>
          <w:bCs/>
          <w:iCs/>
          <w:spacing w:val="-5"/>
        </w:rPr>
        <w:t xml:space="preserve"> omanike huve ja finantsstabiilsust. Selliste hinnangute andmine ei kuulu aga Rahapesu Andmebüroo valdkonda. </w:t>
      </w:r>
    </w:p>
    <w:p w14:paraId="2E261AFA" w14:textId="50773839" w:rsidR="001A31B6" w:rsidRPr="003331EF" w:rsidRDefault="001A31B6" w:rsidP="003331EF">
      <w:pPr>
        <w:pStyle w:val="Loendilik"/>
        <w:widowControl w:val="0"/>
        <w:numPr>
          <w:ilvl w:val="0"/>
          <w:numId w:val="57"/>
        </w:numPr>
        <w:suppressAutoHyphens/>
        <w:jc w:val="both"/>
        <w:rPr>
          <w:bCs/>
          <w:iCs/>
          <w:spacing w:val="-5"/>
        </w:rPr>
      </w:pPr>
      <w:r w:rsidRPr="003331EF">
        <w:rPr>
          <w:bCs/>
          <w:iCs/>
          <w:spacing w:val="-5"/>
        </w:rPr>
        <w:t xml:space="preserve">Kui Rahapesu Andmebüroo määrata </w:t>
      </w:r>
      <w:proofErr w:type="spellStart"/>
      <w:r w:rsidRPr="003331EF">
        <w:rPr>
          <w:bCs/>
          <w:iCs/>
          <w:spacing w:val="-5"/>
        </w:rPr>
        <w:t>M</w:t>
      </w:r>
      <w:r w:rsidR="00A1744F" w:rsidRPr="003331EF">
        <w:rPr>
          <w:bCs/>
          <w:iCs/>
          <w:spacing w:val="-5"/>
        </w:rPr>
        <w:t>i</w:t>
      </w:r>
      <w:r w:rsidRPr="003331EF">
        <w:rPr>
          <w:bCs/>
          <w:iCs/>
          <w:spacing w:val="-5"/>
        </w:rPr>
        <w:t>CA</w:t>
      </w:r>
      <w:proofErr w:type="spellEnd"/>
      <w:r w:rsidRPr="003331EF">
        <w:rPr>
          <w:bCs/>
          <w:iCs/>
          <w:spacing w:val="-5"/>
        </w:rPr>
        <w:t xml:space="preserve"> pädevaks asutuseks, tähendaks see automaatselt, et Rahapesu Andmebüroo peab teostama järelevalvet ka digitaalse tegevuskerksuse nõuete täitmise üle. Nimelt tuleb </w:t>
      </w:r>
      <w:proofErr w:type="spellStart"/>
      <w:r w:rsidR="000D246C" w:rsidRPr="003331EF">
        <w:rPr>
          <w:bCs/>
          <w:iCs/>
          <w:spacing w:val="-5"/>
        </w:rPr>
        <w:t>krüptovarateenuse</w:t>
      </w:r>
      <w:proofErr w:type="spellEnd"/>
      <w:r w:rsidR="000D246C" w:rsidRPr="003331EF">
        <w:rPr>
          <w:bCs/>
          <w:iCs/>
          <w:spacing w:val="-5"/>
        </w:rPr>
        <w:t xml:space="preserve"> osutajate ja varapõhise </w:t>
      </w:r>
      <w:proofErr w:type="spellStart"/>
      <w:r w:rsidR="000D246C" w:rsidRPr="003331EF">
        <w:rPr>
          <w:bCs/>
          <w:iCs/>
          <w:spacing w:val="-5"/>
        </w:rPr>
        <w:t>tokeni</w:t>
      </w:r>
      <w:proofErr w:type="spellEnd"/>
      <w:r w:rsidR="000D246C" w:rsidRPr="003331EF">
        <w:rPr>
          <w:bCs/>
          <w:iCs/>
          <w:spacing w:val="-5"/>
        </w:rPr>
        <w:t xml:space="preserve"> emitendi </w:t>
      </w:r>
      <w:r w:rsidRPr="003331EF">
        <w:rPr>
          <w:bCs/>
          <w:iCs/>
          <w:spacing w:val="-5"/>
        </w:rPr>
        <w:t>DORA määruse pädev asutus määrata vastavalt DORA määruse artikli 46 punktile</w:t>
      </w:r>
      <w:r w:rsidR="00C578F0">
        <w:rPr>
          <w:bCs/>
          <w:iCs/>
          <w:spacing w:val="-5"/>
        </w:rPr>
        <w:t> </w:t>
      </w:r>
      <w:r w:rsidRPr="003331EF">
        <w:rPr>
          <w:bCs/>
          <w:iCs/>
          <w:spacing w:val="-5"/>
        </w:rPr>
        <w:t xml:space="preserve">d ehk tegemist on sama asutusega, kes teostab järelevalvet </w:t>
      </w:r>
      <w:proofErr w:type="spellStart"/>
      <w:r w:rsidRPr="003331EF">
        <w:rPr>
          <w:bCs/>
          <w:iCs/>
          <w:spacing w:val="-5"/>
        </w:rPr>
        <w:t>M</w:t>
      </w:r>
      <w:r w:rsidR="00A1744F" w:rsidRPr="003331EF">
        <w:rPr>
          <w:bCs/>
          <w:iCs/>
          <w:spacing w:val="-5"/>
        </w:rPr>
        <w:t>i</w:t>
      </w:r>
      <w:r w:rsidRPr="003331EF">
        <w:rPr>
          <w:bCs/>
          <w:iCs/>
          <w:spacing w:val="-5"/>
        </w:rPr>
        <w:t>CA</w:t>
      </w:r>
      <w:proofErr w:type="spellEnd"/>
      <w:r w:rsidRPr="003331EF">
        <w:rPr>
          <w:bCs/>
          <w:iCs/>
          <w:spacing w:val="-5"/>
        </w:rPr>
        <w:t xml:space="preserve"> määruse üle. Kõikide teiste finantsasutuste puhul on DORA pädevaks asutuseks Finantsinspektsioon või Euroopa Keskpank. Kui Rahapesu Andmebüroo peaks hakkama teostama järelevalvet DORA määruse nõuete üle, tähendaks see täiendava järelevalvevaldkonna loomist ja vastava kompetentsi tagamist</w:t>
      </w:r>
      <w:r w:rsidR="000D246C" w:rsidRPr="003331EF">
        <w:rPr>
          <w:bCs/>
          <w:iCs/>
          <w:spacing w:val="-5"/>
        </w:rPr>
        <w:t xml:space="preserve"> oma organisatsioonistruktuuris</w:t>
      </w:r>
      <w:r w:rsidRPr="003331EF">
        <w:rPr>
          <w:bCs/>
          <w:iCs/>
          <w:spacing w:val="-5"/>
        </w:rPr>
        <w:t>. Finantsinspektsioon</w:t>
      </w:r>
      <w:r w:rsidR="000D246C" w:rsidRPr="003331EF">
        <w:rPr>
          <w:bCs/>
          <w:iCs/>
          <w:spacing w:val="-5"/>
        </w:rPr>
        <w:t>il on vastav kompetent olemas, kuna finantsjärelevalve osaks on mh järelevalve seoses IKT-riskide juhtimisega.</w:t>
      </w:r>
    </w:p>
    <w:p w14:paraId="71F446DA" w14:textId="77777777" w:rsidR="007B7E0D" w:rsidRPr="003331EF" w:rsidRDefault="007B7E0D" w:rsidP="003331EF">
      <w:pPr>
        <w:spacing w:before="0"/>
        <w:rPr>
          <w:bCs/>
          <w:iCs/>
          <w:spacing w:val="-5"/>
          <w:lang w:eastAsia="en-US"/>
        </w:rPr>
      </w:pPr>
    </w:p>
    <w:p w14:paraId="54770B07" w14:textId="5C94586B" w:rsidR="00D665C1" w:rsidRPr="003331EF" w:rsidRDefault="00D665C1" w:rsidP="003331EF">
      <w:pPr>
        <w:spacing w:before="0"/>
        <w:ind w:right="-62"/>
        <w:rPr>
          <w:bCs/>
          <w:iCs/>
          <w:spacing w:val="-5"/>
          <w:lang w:eastAsia="en-US"/>
        </w:rPr>
      </w:pPr>
      <w:r w:rsidRPr="003331EF">
        <w:rPr>
          <w:bCs/>
          <w:iCs/>
          <w:spacing w:val="-5"/>
          <w:lang w:eastAsia="en-US"/>
        </w:rPr>
        <w:t xml:space="preserve">Lisaks vastavalt </w:t>
      </w:r>
      <w:proofErr w:type="spellStart"/>
      <w:r w:rsidRPr="003331EF">
        <w:rPr>
          <w:bCs/>
          <w:iCs/>
          <w:spacing w:val="-5"/>
          <w:lang w:eastAsia="en-US"/>
        </w:rPr>
        <w:t>RahaPTS</w:t>
      </w:r>
      <w:proofErr w:type="spellEnd"/>
      <w:r w:rsidRPr="003331EF">
        <w:rPr>
          <w:bCs/>
          <w:iCs/>
          <w:spacing w:val="-5"/>
          <w:lang w:eastAsia="en-US"/>
        </w:rPr>
        <w:t xml:space="preserve"> § 64 lõikele 2 teeb Finantsinspektsioon juba täna nö (osalist) rahapesu alast järelevalvet krediidiasutuste ning nende finantseerimisasutuste üle, kelle üle ta teeb ka finantsjärelevalvet. Ehk selles mõttes ei oleks tegemist pretsedendiga kui ka </w:t>
      </w:r>
      <w:proofErr w:type="spellStart"/>
      <w:r w:rsidRPr="003331EF">
        <w:rPr>
          <w:bCs/>
          <w:iCs/>
          <w:spacing w:val="-5"/>
          <w:lang w:eastAsia="en-US"/>
        </w:rPr>
        <w:t>krüptovarateenuste</w:t>
      </w:r>
      <w:proofErr w:type="spellEnd"/>
      <w:r w:rsidRPr="003331EF">
        <w:rPr>
          <w:bCs/>
          <w:iCs/>
          <w:spacing w:val="-5"/>
          <w:lang w:eastAsia="en-US"/>
        </w:rPr>
        <w:t xml:space="preserve"> pakkujatele ja vastavatele emitentidele rakenduks samasugune korraldus</w:t>
      </w:r>
      <w:r w:rsidR="00B63BCA" w:rsidRPr="003331EF">
        <w:rPr>
          <w:bCs/>
          <w:iCs/>
          <w:spacing w:val="-5"/>
          <w:lang w:eastAsia="en-US"/>
        </w:rPr>
        <w:t xml:space="preserve">. </w:t>
      </w:r>
    </w:p>
    <w:p w14:paraId="4DFBECEF" w14:textId="77777777" w:rsidR="007B7E0D" w:rsidRPr="003331EF" w:rsidRDefault="007B7E0D" w:rsidP="003331EF">
      <w:pPr>
        <w:spacing w:before="0"/>
        <w:ind w:right="-62"/>
        <w:rPr>
          <w:lang w:eastAsia="en-US"/>
        </w:rPr>
      </w:pPr>
    </w:p>
    <w:p w14:paraId="7D451BD5" w14:textId="77777777" w:rsidR="007B7E0D" w:rsidRPr="003331EF" w:rsidRDefault="007B7E0D" w:rsidP="003331EF">
      <w:pPr>
        <w:pStyle w:val="Loendilik"/>
        <w:numPr>
          <w:ilvl w:val="0"/>
          <w:numId w:val="37"/>
        </w:numPr>
        <w:rPr>
          <w:b/>
          <w:bCs/>
        </w:rPr>
      </w:pPr>
      <w:r w:rsidRPr="003331EF">
        <w:rPr>
          <w:b/>
          <w:bCs/>
        </w:rPr>
        <w:t>Lihtsustatud korras tegevusloa taotlemine</w:t>
      </w:r>
    </w:p>
    <w:p w14:paraId="5F49BC4E" w14:textId="77777777" w:rsidR="007B7E0D" w:rsidRPr="003331EF" w:rsidRDefault="007B7E0D" w:rsidP="003331EF">
      <w:pPr>
        <w:spacing w:before="0"/>
        <w:rPr>
          <w:lang w:eastAsia="en-US"/>
        </w:rPr>
      </w:pPr>
    </w:p>
    <w:p w14:paraId="2AC9D4FA" w14:textId="711BDC2B" w:rsidR="007B7E0D" w:rsidRDefault="007B7E0D" w:rsidP="003331EF">
      <w:pPr>
        <w:pStyle w:val="NumPar1"/>
        <w:numPr>
          <w:ilvl w:val="0"/>
          <w:numId w:val="0"/>
        </w:numPr>
        <w:spacing w:before="0" w:after="0"/>
        <w:rPr>
          <w:bCs/>
          <w:iCs/>
          <w:spacing w:val="-5"/>
          <w:lang w:val="et-EE"/>
        </w:rPr>
      </w:pPr>
      <w:proofErr w:type="spellStart"/>
      <w:r w:rsidRPr="003331EF">
        <w:rPr>
          <w:bCs/>
          <w:iCs/>
          <w:spacing w:val="-5"/>
          <w:lang w:val="et-EE"/>
        </w:rPr>
        <w:t>M</w:t>
      </w:r>
      <w:r w:rsidR="00A1744F" w:rsidRPr="003331EF">
        <w:rPr>
          <w:bCs/>
          <w:iCs/>
          <w:spacing w:val="-5"/>
          <w:lang w:val="et-EE"/>
        </w:rPr>
        <w:t>i</w:t>
      </w:r>
      <w:r w:rsidRPr="003331EF">
        <w:rPr>
          <w:bCs/>
          <w:iCs/>
          <w:spacing w:val="-5"/>
          <w:lang w:val="et-EE"/>
        </w:rPr>
        <w:t>CA</w:t>
      </w:r>
      <w:proofErr w:type="spellEnd"/>
      <w:r w:rsidRPr="003331EF">
        <w:rPr>
          <w:bCs/>
          <w:iCs/>
          <w:spacing w:val="-5"/>
          <w:lang w:val="et-EE"/>
        </w:rPr>
        <w:t xml:space="preserve"> määruse artikli 143 lõikes 6 kohaselt võivad liikmesriigid kohaldada lihtsustatud korda tegevusloa menetlemisele, kui tegevusloa taotluse on esitanud 18 kuu jooksul alates </w:t>
      </w:r>
      <w:proofErr w:type="spellStart"/>
      <w:r w:rsidRPr="003331EF">
        <w:rPr>
          <w:bCs/>
          <w:iCs/>
          <w:spacing w:val="-5"/>
          <w:lang w:val="et-EE"/>
        </w:rPr>
        <w:t>M</w:t>
      </w:r>
      <w:r w:rsidR="00A03096">
        <w:rPr>
          <w:bCs/>
          <w:iCs/>
          <w:spacing w:val="-5"/>
          <w:lang w:val="et-EE"/>
        </w:rPr>
        <w:t>i</w:t>
      </w:r>
      <w:r w:rsidRPr="003331EF">
        <w:rPr>
          <w:bCs/>
          <w:iCs/>
          <w:spacing w:val="-5"/>
          <w:lang w:val="et-EE"/>
        </w:rPr>
        <w:t>CA</w:t>
      </w:r>
      <w:proofErr w:type="spellEnd"/>
      <w:r w:rsidRPr="003331EF">
        <w:rPr>
          <w:bCs/>
          <w:iCs/>
          <w:spacing w:val="-5"/>
          <w:lang w:val="et-EE"/>
        </w:rPr>
        <w:t xml:space="preserve"> määruse rakendamisest  need ettevõtjad, kellel oli luba osutada </w:t>
      </w:r>
      <w:proofErr w:type="spellStart"/>
      <w:r w:rsidRPr="003331EF">
        <w:rPr>
          <w:bCs/>
          <w:iCs/>
          <w:spacing w:val="-5"/>
          <w:lang w:val="et-EE"/>
        </w:rPr>
        <w:t>krüptovarateenuseid</w:t>
      </w:r>
      <w:proofErr w:type="spellEnd"/>
      <w:r w:rsidRPr="003331EF">
        <w:rPr>
          <w:bCs/>
          <w:iCs/>
          <w:spacing w:val="-5"/>
          <w:lang w:val="et-EE"/>
        </w:rPr>
        <w:t xml:space="preserve"> riigisisese õiguse alusel (ehk Eesti puhul </w:t>
      </w:r>
      <w:proofErr w:type="spellStart"/>
      <w:r w:rsidRPr="003331EF">
        <w:rPr>
          <w:bCs/>
          <w:iCs/>
          <w:spacing w:val="-5"/>
          <w:lang w:val="et-EE"/>
        </w:rPr>
        <w:t>RahaPTS</w:t>
      </w:r>
      <w:proofErr w:type="spellEnd"/>
      <w:r w:rsidRPr="003331EF">
        <w:rPr>
          <w:bCs/>
          <w:iCs/>
          <w:spacing w:val="-5"/>
          <w:lang w:val="et-EE"/>
        </w:rPr>
        <w:t xml:space="preserve"> alusel </w:t>
      </w:r>
      <w:proofErr w:type="spellStart"/>
      <w:r w:rsidRPr="003331EF">
        <w:rPr>
          <w:bCs/>
          <w:iCs/>
          <w:spacing w:val="-5"/>
          <w:lang w:val="et-EE"/>
        </w:rPr>
        <w:t>VASP-id</w:t>
      </w:r>
      <w:proofErr w:type="spellEnd"/>
      <w:r w:rsidRPr="003331EF">
        <w:rPr>
          <w:bCs/>
          <w:iCs/>
          <w:spacing w:val="-5"/>
          <w:lang w:val="et-EE"/>
        </w:rPr>
        <w:t>). S</w:t>
      </w:r>
      <w:r w:rsidR="003304DA" w:rsidRPr="003331EF">
        <w:rPr>
          <w:bCs/>
          <w:iCs/>
          <w:spacing w:val="-5"/>
          <w:lang w:val="et-EE"/>
        </w:rPr>
        <w:t xml:space="preserve">ama lõike kohaselt </w:t>
      </w:r>
      <w:r w:rsidRPr="003331EF">
        <w:rPr>
          <w:bCs/>
          <w:iCs/>
          <w:spacing w:val="-5"/>
          <w:lang w:val="et-EE"/>
        </w:rPr>
        <w:t xml:space="preserve">peavad pädevad asutused </w:t>
      </w:r>
      <w:r w:rsidRPr="003331EF">
        <w:rPr>
          <w:bCs/>
          <w:iCs/>
          <w:spacing w:val="-5"/>
          <w:lang w:val="et-EE"/>
        </w:rPr>
        <w:lastRenderedPageBreak/>
        <w:t xml:space="preserve">veenduma enne lihtsustatud korras tegevusloa andmist, et </w:t>
      </w:r>
      <w:proofErr w:type="spellStart"/>
      <w:r w:rsidRPr="003331EF">
        <w:rPr>
          <w:bCs/>
          <w:iCs/>
          <w:spacing w:val="-5"/>
          <w:lang w:val="et-EE"/>
        </w:rPr>
        <w:t>M</w:t>
      </w:r>
      <w:r w:rsidR="00A1744F" w:rsidRPr="003331EF">
        <w:rPr>
          <w:bCs/>
          <w:iCs/>
          <w:spacing w:val="-5"/>
          <w:lang w:val="et-EE"/>
        </w:rPr>
        <w:t>i</w:t>
      </w:r>
      <w:r w:rsidRPr="003331EF">
        <w:rPr>
          <w:bCs/>
          <w:iCs/>
          <w:spacing w:val="-5"/>
          <w:lang w:val="et-EE"/>
        </w:rPr>
        <w:t>CA</w:t>
      </w:r>
      <w:proofErr w:type="spellEnd"/>
      <w:r w:rsidRPr="003331EF">
        <w:rPr>
          <w:bCs/>
          <w:iCs/>
          <w:spacing w:val="-5"/>
          <w:lang w:val="et-EE"/>
        </w:rPr>
        <w:t xml:space="preserve"> määruse V jaotise 2. ja 3. peatükis sätestatud nõuded on täidetud. </w:t>
      </w:r>
    </w:p>
    <w:p w14:paraId="0C6A8BE8" w14:textId="77777777" w:rsidR="00C617C8" w:rsidRDefault="00C617C8" w:rsidP="003331EF">
      <w:pPr>
        <w:spacing w:before="0"/>
        <w:rPr>
          <w:bCs/>
          <w:iCs/>
          <w:spacing w:val="-5"/>
          <w:lang w:eastAsia="en-US"/>
        </w:rPr>
      </w:pPr>
    </w:p>
    <w:p w14:paraId="358CBEF2" w14:textId="35C973C1" w:rsidR="004B580F" w:rsidRPr="003331EF" w:rsidRDefault="004B580F" w:rsidP="003331EF">
      <w:pPr>
        <w:spacing w:before="0"/>
        <w:rPr>
          <w:bCs/>
          <w:iCs/>
          <w:spacing w:val="-5"/>
          <w:lang w:eastAsia="en-US"/>
        </w:rPr>
      </w:pPr>
      <w:r w:rsidRPr="003331EF">
        <w:rPr>
          <w:bCs/>
          <w:iCs/>
          <w:spacing w:val="-5"/>
          <w:lang w:eastAsia="en-US"/>
        </w:rPr>
        <w:t>Nimetatud nn valikuvõimalus on ette nähtud eelkõige nendele liikmesriikidele, kus järelevalv</w:t>
      </w:r>
      <w:r w:rsidR="00A1744F" w:rsidRPr="003331EF">
        <w:rPr>
          <w:bCs/>
          <w:iCs/>
          <w:spacing w:val="-5"/>
          <w:lang w:eastAsia="en-US"/>
        </w:rPr>
        <w:t>easutus</w:t>
      </w:r>
      <w:r w:rsidRPr="003331EF">
        <w:rPr>
          <w:bCs/>
          <w:iCs/>
          <w:spacing w:val="-5"/>
          <w:lang w:eastAsia="en-US"/>
        </w:rPr>
        <w:t xml:space="preserve"> võrreldes varasemaga ei muutu (s.t. kui varasemalt on nt VASP-de loa väljastajaks olnud finantsjärelevalveasutus ja finantsjärelevalveasutus saab olema ka loa väljastajaks </w:t>
      </w:r>
      <w:commentRangeStart w:id="3"/>
      <w:r w:rsidRPr="003331EF">
        <w:rPr>
          <w:bCs/>
          <w:iCs/>
          <w:spacing w:val="-5"/>
          <w:lang w:eastAsia="en-US"/>
        </w:rPr>
        <w:t>CASP</w:t>
      </w:r>
      <w:commentRangeEnd w:id="3"/>
      <w:r w:rsidR="007A30AC">
        <w:rPr>
          <w:rStyle w:val="Kommentaariviide"/>
          <w:lang w:val="en-GB" w:eastAsia="en-US"/>
        </w:rPr>
        <w:commentReference w:id="3"/>
      </w:r>
      <w:r w:rsidRPr="003331EF">
        <w:rPr>
          <w:bCs/>
          <w:iCs/>
          <w:spacing w:val="-5"/>
          <w:lang w:eastAsia="en-US"/>
        </w:rPr>
        <w:t>-</w:t>
      </w:r>
      <w:proofErr w:type="spellStart"/>
      <w:r w:rsidRPr="003331EF">
        <w:rPr>
          <w:bCs/>
          <w:iCs/>
          <w:spacing w:val="-5"/>
          <w:lang w:eastAsia="en-US"/>
        </w:rPr>
        <w:t>dele</w:t>
      </w:r>
      <w:proofErr w:type="spellEnd"/>
      <w:r w:rsidRPr="003331EF">
        <w:rPr>
          <w:bCs/>
          <w:iCs/>
          <w:spacing w:val="-5"/>
          <w:lang w:eastAsia="en-US"/>
        </w:rPr>
        <w:t>). Sellisel juhul on järelevalve</w:t>
      </w:r>
      <w:r w:rsidR="00A1744F" w:rsidRPr="003331EF">
        <w:rPr>
          <w:bCs/>
          <w:iCs/>
          <w:spacing w:val="-5"/>
          <w:lang w:eastAsia="en-US"/>
        </w:rPr>
        <w:t>asutusel</w:t>
      </w:r>
      <w:r w:rsidRPr="003331EF">
        <w:rPr>
          <w:bCs/>
          <w:iCs/>
          <w:spacing w:val="-5"/>
          <w:lang w:eastAsia="en-US"/>
        </w:rPr>
        <w:t xml:space="preserve"> võimalik efektiivselt hinnata, kas vastavad nõuded </w:t>
      </w:r>
      <w:r w:rsidR="00A1744F" w:rsidRPr="003331EF">
        <w:rPr>
          <w:bCs/>
          <w:iCs/>
          <w:spacing w:val="-5"/>
          <w:lang w:eastAsia="en-US"/>
        </w:rPr>
        <w:t>(</w:t>
      </w:r>
      <w:proofErr w:type="spellStart"/>
      <w:r w:rsidR="00A1744F" w:rsidRPr="003331EF">
        <w:rPr>
          <w:bCs/>
          <w:iCs/>
          <w:spacing w:val="-5"/>
        </w:rPr>
        <w:t>MiCA</w:t>
      </w:r>
      <w:proofErr w:type="spellEnd"/>
      <w:r w:rsidR="00A1744F" w:rsidRPr="003331EF">
        <w:rPr>
          <w:bCs/>
          <w:iCs/>
          <w:spacing w:val="-5"/>
        </w:rPr>
        <w:t xml:space="preserve"> määruse V jaotise 2. ja 3. peatükis sätestatud nõuded) </w:t>
      </w:r>
      <w:r w:rsidRPr="003331EF">
        <w:rPr>
          <w:bCs/>
          <w:iCs/>
          <w:spacing w:val="-5"/>
          <w:lang w:eastAsia="en-US"/>
        </w:rPr>
        <w:t xml:space="preserve">on juba täidetud ja kas seetõttu oleks õigustatud väljastada nö uus luba lihtsustatud korras. Eesti puhul ei ole Finantsinspektsioonil võimalik veenduda enne lihtsustatud korras tegevusloa andmist, et teenuseosutaja täidab </w:t>
      </w:r>
      <w:proofErr w:type="spellStart"/>
      <w:r w:rsidRPr="003331EF">
        <w:rPr>
          <w:bCs/>
          <w:iCs/>
          <w:spacing w:val="-5"/>
          <w:lang w:eastAsia="en-US"/>
        </w:rPr>
        <w:t>MiCA</w:t>
      </w:r>
      <w:proofErr w:type="spellEnd"/>
      <w:r w:rsidRPr="003331EF">
        <w:rPr>
          <w:bCs/>
          <w:iCs/>
          <w:spacing w:val="-5"/>
          <w:lang w:eastAsia="en-US"/>
        </w:rPr>
        <w:t xml:space="preserve"> nõudeid, kuna Finantsinspektsioonil puudub selleks vastav </w:t>
      </w:r>
      <w:proofErr w:type="spellStart"/>
      <w:r w:rsidRPr="003331EF">
        <w:rPr>
          <w:bCs/>
          <w:iCs/>
          <w:spacing w:val="-5"/>
          <w:lang w:eastAsia="en-US"/>
        </w:rPr>
        <w:t>järelevalveline</w:t>
      </w:r>
      <w:proofErr w:type="spellEnd"/>
      <w:r w:rsidRPr="003331EF">
        <w:rPr>
          <w:bCs/>
          <w:iCs/>
          <w:spacing w:val="-5"/>
          <w:lang w:eastAsia="en-US"/>
        </w:rPr>
        <w:t xml:space="preserve"> õigus ja info.</w:t>
      </w:r>
    </w:p>
    <w:p w14:paraId="73861D28" w14:textId="77777777" w:rsidR="004B580F" w:rsidRPr="003331EF" w:rsidRDefault="004B580F" w:rsidP="003331EF">
      <w:pPr>
        <w:spacing w:before="0"/>
      </w:pPr>
    </w:p>
    <w:p w14:paraId="1C56B62F" w14:textId="18253EDF" w:rsidR="004B580F" w:rsidRPr="003331EF" w:rsidRDefault="004B580F" w:rsidP="003331EF">
      <w:pPr>
        <w:spacing w:before="0"/>
        <w:rPr>
          <w:bCs/>
          <w:iCs/>
          <w:spacing w:val="-5"/>
          <w:lang w:eastAsia="en-US"/>
        </w:rPr>
      </w:pPr>
      <w:r w:rsidRPr="003331EF">
        <w:rPr>
          <w:bCs/>
          <w:iCs/>
          <w:spacing w:val="-5"/>
          <w:lang w:eastAsia="en-US"/>
        </w:rPr>
        <w:t xml:space="preserve">Teiseks, kehtiv </w:t>
      </w:r>
      <w:proofErr w:type="spellStart"/>
      <w:r w:rsidRPr="003331EF">
        <w:rPr>
          <w:bCs/>
          <w:iCs/>
          <w:spacing w:val="-5"/>
          <w:lang w:eastAsia="en-US"/>
        </w:rPr>
        <w:t>RahaPTS</w:t>
      </w:r>
      <w:proofErr w:type="spellEnd"/>
      <w:r w:rsidRPr="003331EF">
        <w:rPr>
          <w:bCs/>
          <w:iCs/>
          <w:spacing w:val="-5"/>
          <w:lang w:eastAsia="en-US"/>
        </w:rPr>
        <w:t xml:space="preserve"> suurt osa viidatud nõuetest ei reguleeri (vaid nõuded kapitalile ja omavahenditele ning juhtimiskord on teatud osas reguleeritud sarnaselt </w:t>
      </w:r>
      <w:proofErr w:type="spellStart"/>
      <w:r w:rsidRPr="003331EF">
        <w:rPr>
          <w:bCs/>
          <w:iCs/>
          <w:spacing w:val="-5"/>
          <w:lang w:eastAsia="en-US"/>
        </w:rPr>
        <w:t>MiCA-le</w:t>
      </w:r>
      <w:proofErr w:type="spellEnd"/>
      <w:r w:rsidRPr="003331EF">
        <w:rPr>
          <w:bCs/>
          <w:iCs/>
          <w:spacing w:val="-5"/>
          <w:lang w:eastAsia="en-US"/>
        </w:rPr>
        <w:t>, vt allolevat tabelit</w:t>
      </w:r>
      <w:r w:rsidR="00C578F0">
        <w:rPr>
          <w:bCs/>
          <w:iCs/>
          <w:spacing w:val="-5"/>
          <w:lang w:eastAsia="en-US"/>
        </w:rPr>
        <w:t> </w:t>
      </w:r>
      <w:r w:rsidR="00C27922" w:rsidRPr="003331EF">
        <w:rPr>
          <w:bCs/>
          <w:iCs/>
          <w:spacing w:val="-5"/>
          <w:lang w:eastAsia="en-US"/>
        </w:rPr>
        <w:t>2</w:t>
      </w:r>
      <w:r w:rsidRPr="003331EF">
        <w:rPr>
          <w:bCs/>
          <w:iCs/>
          <w:spacing w:val="-5"/>
          <w:lang w:eastAsia="en-US"/>
        </w:rPr>
        <w:t>). Seega</w:t>
      </w:r>
      <w:r w:rsidR="00A1744F" w:rsidRPr="003331EF">
        <w:rPr>
          <w:bCs/>
          <w:iCs/>
          <w:spacing w:val="-5"/>
          <w:lang w:eastAsia="en-US"/>
        </w:rPr>
        <w:t>,</w:t>
      </w:r>
      <w:r w:rsidRPr="003331EF">
        <w:rPr>
          <w:bCs/>
          <w:iCs/>
          <w:spacing w:val="-5"/>
          <w:lang w:eastAsia="en-US"/>
        </w:rPr>
        <w:t xml:space="preserve"> isegi kui näha ette eraldi vastavad koostöö</w:t>
      </w:r>
      <w:r w:rsidR="00A1744F" w:rsidRPr="003331EF">
        <w:rPr>
          <w:bCs/>
          <w:iCs/>
          <w:spacing w:val="-5"/>
          <w:lang w:eastAsia="en-US"/>
        </w:rPr>
        <w:t xml:space="preserve"> ja </w:t>
      </w:r>
      <w:r w:rsidRPr="003331EF">
        <w:rPr>
          <w:bCs/>
          <w:iCs/>
          <w:spacing w:val="-5"/>
          <w:lang w:eastAsia="en-US"/>
        </w:rPr>
        <w:t xml:space="preserve">info edastamise alused </w:t>
      </w:r>
      <w:proofErr w:type="spellStart"/>
      <w:r w:rsidRPr="003331EF">
        <w:rPr>
          <w:bCs/>
          <w:iCs/>
          <w:spacing w:val="-5"/>
          <w:lang w:eastAsia="en-US"/>
        </w:rPr>
        <w:t>RABi</w:t>
      </w:r>
      <w:proofErr w:type="spellEnd"/>
      <w:r w:rsidRPr="003331EF">
        <w:rPr>
          <w:bCs/>
          <w:iCs/>
          <w:spacing w:val="-5"/>
          <w:lang w:eastAsia="en-US"/>
        </w:rPr>
        <w:t xml:space="preserve"> ja F</w:t>
      </w:r>
      <w:r w:rsidR="00A1744F" w:rsidRPr="003331EF">
        <w:rPr>
          <w:bCs/>
          <w:iCs/>
          <w:spacing w:val="-5"/>
          <w:lang w:eastAsia="en-US"/>
        </w:rPr>
        <w:t xml:space="preserve">inantsinspektsiooni </w:t>
      </w:r>
      <w:r w:rsidRPr="003331EF">
        <w:rPr>
          <w:bCs/>
          <w:iCs/>
          <w:spacing w:val="-5"/>
          <w:lang w:eastAsia="en-US"/>
        </w:rPr>
        <w:t xml:space="preserve">vahel, siis samuti ei ole </w:t>
      </w:r>
      <w:r w:rsidR="00A27065" w:rsidRPr="003331EF">
        <w:rPr>
          <w:bCs/>
          <w:iCs/>
          <w:spacing w:val="-5"/>
          <w:lang w:eastAsia="en-US"/>
        </w:rPr>
        <w:t xml:space="preserve">Finantsinspektsioonil </w:t>
      </w:r>
      <w:r w:rsidRPr="003331EF">
        <w:rPr>
          <w:bCs/>
          <w:iCs/>
          <w:spacing w:val="-5"/>
          <w:lang w:eastAsia="en-US"/>
        </w:rPr>
        <w:t xml:space="preserve">võimalik </w:t>
      </w:r>
      <w:proofErr w:type="spellStart"/>
      <w:r w:rsidRPr="003331EF">
        <w:rPr>
          <w:bCs/>
          <w:iCs/>
          <w:spacing w:val="-5"/>
          <w:lang w:eastAsia="en-US"/>
        </w:rPr>
        <w:t>RAB-ilt</w:t>
      </w:r>
      <w:proofErr w:type="spellEnd"/>
      <w:r w:rsidRPr="003331EF">
        <w:rPr>
          <w:bCs/>
          <w:iCs/>
          <w:spacing w:val="-5"/>
          <w:lang w:eastAsia="en-US"/>
        </w:rPr>
        <w:t xml:space="preserve"> </w:t>
      </w:r>
      <w:r w:rsidR="00A1744F" w:rsidRPr="003331EF">
        <w:rPr>
          <w:bCs/>
          <w:iCs/>
          <w:spacing w:val="-5"/>
          <w:lang w:eastAsia="en-US"/>
        </w:rPr>
        <w:t xml:space="preserve">vastavat teavet </w:t>
      </w:r>
      <w:r w:rsidRPr="003331EF">
        <w:rPr>
          <w:bCs/>
          <w:iCs/>
          <w:spacing w:val="-5"/>
          <w:lang w:eastAsia="en-US"/>
        </w:rPr>
        <w:t xml:space="preserve">saada, kuna nagu osutatud, suur osa viidatud nõuetest kehtiva regulatsiooni kohaselt teenuseosutajale hetkel ei kohaldu ehk ka </w:t>
      </w:r>
      <w:proofErr w:type="spellStart"/>
      <w:r w:rsidRPr="003331EF">
        <w:rPr>
          <w:bCs/>
          <w:iCs/>
          <w:spacing w:val="-5"/>
          <w:lang w:eastAsia="en-US"/>
        </w:rPr>
        <w:t>RABil</w:t>
      </w:r>
      <w:proofErr w:type="spellEnd"/>
      <w:r w:rsidRPr="003331EF">
        <w:rPr>
          <w:bCs/>
          <w:iCs/>
          <w:spacing w:val="-5"/>
          <w:lang w:eastAsia="en-US"/>
        </w:rPr>
        <w:t xml:space="preserve"> pole vastavat järelevalvelist infot, mida Finantsinspektsiooniga jagada. </w:t>
      </w:r>
    </w:p>
    <w:p w14:paraId="1CB15A20" w14:textId="77777777" w:rsidR="003304DA" w:rsidRPr="003331EF" w:rsidRDefault="003304DA" w:rsidP="003331EF">
      <w:pPr>
        <w:spacing w:before="0"/>
        <w:rPr>
          <w:bCs/>
          <w:iCs/>
          <w:spacing w:val="-5"/>
          <w:lang w:eastAsia="en-US"/>
        </w:rPr>
      </w:pPr>
    </w:p>
    <w:p w14:paraId="1BFC5017" w14:textId="74F2225A" w:rsidR="007B7E0D" w:rsidRPr="003331EF" w:rsidRDefault="004B580F" w:rsidP="003331EF">
      <w:pPr>
        <w:spacing w:before="0" w:line="276" w:lineRule="auto"/>
        <w:rPr>
          <w:bCs/>
          <w:iCs/>
          <w:spacing w:val="-5"/>
          <w:lang w:eastAsia="en-US"/>
        </w:rPr>
      </w:pPr>
      <w:r w:rsidRPr="003331EF">
        <w:rPr>
          <w:bCs/>
          <w:iCs/>
          <w:spacing w:val="-5"/>
          <w:lang w:eastAsia="en-US"/>
        </w:rPr>
        <w:t xml:space="preserve">Seega kirjeldatud lihtsustatud korras tegevusloa menetlus oleks rakendatav üksnes siis, kui riigisiseselt oleks juba varasemalt kehtestatud riigisisene (nö </w:t>
      </w:r>
      <w:proofErr w:type="spellStart"/>
      <w:r w:rsidRPr="003331EF">
        <w:rPr>
          <w:bCs/>
          <w:iCs/>
          <w:spacing w:val="-5"/>
          <w:lang w:eastAsia="en-US"/>
        </w:rPr>
        <w:t>MiCA</w:t>
      </w:r>
      <w:proofErr w:type="spellEnd"/>
      <w:r w:rsidRPr="003331EF">
        <w:rPr>
          <w:bCs/>
          <w:iCs/>
          <w:spacing w:val="-5"/>
          <w:lang w:eastAsia="en-US"/>
        </w:rPr>
        <w:t xml:space="preserve"> eelne) </w:t>
      </w:r>
      <w:proofErr w:type="spellStart"/>
      <w:r w:rsidRPr="003331EF">
        <w:rPr>
          <w:bCs/>
          <w:iCs/>
          <w:spacing w:val="-5"/>
          <w:lang w:eastAsia="en-US"/>
        </w:rPr>
        <w:t>krüptovara</w:t>
      </w:r>
      <w:proofErr w:type="spellEnd"/>
      <w:r w:rsidRPr="003331EF">
        <w:rPr>
          <w:bCs/>
          <w:iCs/>
          <w:spacing w:val="-5"/>
          <w:lang w:eastAsia="en-US"/>
        </w:rPr>
        <w:t xml:space="preserve"> regulatsioon, </w:t>
      </w:r>
      <w:r w:rsidR="00A2745C" w:rsidRPr="003331EF">
        <w:rPr>
          <w:bCs/>
          <w:iCs/>
          <w:spacing w:val="-5"/>
          <w:lang w:eastAsia="en-US"/>
        </w:rPr>
        <w:t xml:space="preserve">mis oleks olnud samaväärne </w:t>
      </w:r>
      <w:proofErr w:type="spellStart"/>
      <w:r w:rsidR="00A2745C" w:rsidRPr="003331EF">
        <w:rPr>
          <w:bCs/>
          <w:iCs/>
          <w:spacing w:val="-5"/>
          <w:lang w:eastAsia="en-US"/>
        </w:rPr>
        <w:t>MiCA</w:t>
      </w:r>
      <w:proofErr w:type="spellEnd"/>
      <w:r w:rsidR="00A2745C" w:rsidRPr="003331EF">
        <w:rPr>
          <w:bCs/>
          <w:iCs/>
          <w:spacing w:val="-5"/>
          <w:lang w:eastAsia="en-US"/>
        </w:rPr>
        <w:t xml:space="preserve"> määruse V jaotise 2. ja 3. peatükis sätestatud nõuetega ja </w:t>
      </w:r>
      <w:r w:rsidRPr="003331EF">
        <w:rPr>
          <w:bCs/>
          <w:iCs/>
          <w:spacing w:val="-5"/>
          <w:lang w:eastAsia="en-US"/>
        </w:rPr>
        <w:t>mille kohaselt oleks olnud Finantsinspektsioon vastav järelevalv</w:t>
      </w:r>
      <w:r w:rsidR="00A1744F" w:rsidRPr="003331EF">
        <w:rPr>
          <w:bCs/>
          <w:iCs/>
          <w:spacing w:val="-5"/>
          <w:lang w:eastAsia="en-US"/>
        </w:rPr>
        <w:t>easutus</w:t>
      </w:r>
      <w:r w:rsidR="00A2745C" w:rsidRPr="003331EF">
        <w:rPr>
          <w:bCs/>
          <w:iCs/>
          <w:spacing w:val="-5"/>
          <w:lang w:eastAsia="en-US"/>
        </w:rPr>
        <w:t>.</w:t>
      </w:r>
    </w:p>
    <w:p w14:paraId="590AD8B6" w14:textId="77777777" w:rsidR="00B662D1" w:rsidRPr="003331EF" w:rsidRDefault="00B662D1" w:rsidP="003331EF">
      <w:pPr>
        <w:spacing w:before="0"/>
        <w:rPr>
          <w:bCs/>
          <w:iCs/>
          <w:spacing w:val="-5"/>
          <w:highlight w:val="yellow"/>
          <w:lang w:eastAsia="en-US"/>
        </w:rPr>
      </w:pPr>
    </w:p>
    <w:tbl>
      <w:tblPr>
        <w:tblStyle w:val="Kontuurtabel"/>
        <w:tblW w:w="0" w:type="auto"/>
        <w:tblLook w:val="04A0" w:firstRow="1" w:lastRow="0" w:firstColumn="1" w:lastColumn="0" w:noHBand="0" w:noVBand="1"/>
      </w:tblPr>
      <w:tblGrid>
        <w:gridCol w:w="3020"/>
        <w:gridCol w:w="3020"/>
        <w:gridCol w:w="3021"/>
      </w:tblGrid>
      <w:tr w:rsidR="003331EF" w:rsidRPr="003331EF" w14:paraId="5F5884BA"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0887581C" w14:textId="77777777" w:rsidR="00EA3901" w:rsidRPr="003331EF" w:rsidRDefault="00EA3901" w:rsidP="003331EF">
            <w:pPr>
              <w:spacing w:before="0"/>
              <w:jc w:val="center"/>
              <w:rPr>
                <w:b/>
                <w:iCs/>
                <w:spacing w:val="-5"/>
                <w:szCs w:val="22"/>
              </w:rPr>
            </w:pPr>
            <w:proofErr w:type="spellStart"/>
            <w:r w:rsidRPr="003331EF">
              <w:rPr>
                <w:b/>
                <w:iCs/>
                <w:spacing w:val="-5"/>
              </w:rPr>
              <w:t>MiCA</w:t>
            </w:r>
            <w:proofErr w:type="spellEnd"/>
            <w:r w:rsidRPr="003331EF">
              <w:rPr>
                <w:b/>
                <w:iCs/>
                <w:spacing w:val="-5"/>
              </w:rPr>
              <w:t xml:space="preserve"> määruse</w:t>
            </w:r>
          </w:p>
          <w:p w14:paraId="4B4BE55D" w14:textId="77777777" w:rsidR="00EA3901" w:rsidRPr="003331EF" w:rsidRDefault="00EA3901" w:rsidP="003331EF">
            <w:pPr>
              <w:spacing w:before="0"/>
              <w:jc w:val="center"/>
              <w:rPr>
                <w:b/>
                <w:iCs/>
                <w:spacing w:val="-5"/>
              </w:rPr>
            </w:pPr>
            <w:r w:rsidRPr="003331EF">
              <w:rPr>
                <w:b/>
                <w:iCs/>
                <w:spacing w:val="-5"/>
              </w:rPr>
              <w:t>V jaotise 2. ja 3 peatükk</w:t>
            </w:r>
          </w:p>
        </w:tc>
        <w:tc>
          <w:tcPr>
            <w:tcW w:w="3020" w:type="dxa"/>
            <w:tcBorders>
              <w:top w:val="single" w:sz="4" w:space="0" w:color="auto"/>
              <w:left w:val="single" w:sz="4" w:space="0" w:color="auto"/>
              <w:bottom w:val="single" w:sz="4" w:space="0" w:color="auto"/>
              <w:right w:val="single" w:sz="4" w:space="0" w:color="auto"/>
            </w:tcBorders>
            <w:hideMark/>
          </w:tcPr>
          <w:p w14:paraId="39AB0DA8" w14:textId="77777777" w:rsidR="00EA3901" w:rsidRPr="003331EF" w:rsidRDefault="00EA3901" w:rsidP="003331EF">
            <w:pPr>
              <w:spacing w:before="0"/>
              <w:jc w:val="center"/>
              <w:rPr>
                <w:b/>
                <w:iCs/>
                <w:spacing w:val="-5"/>
              </w:rPr>
            </w:pPr>
            <w:proofErr w:type="spellStart"/>
            <w:r w:rsidRPr="003331EF">
              <w:rPr>
                <w:b/>
                <w:iCs/>
                <w:spacing w:val="-5"/>
              </w:rPr>
              <w:t>RahaPTS</w:t>
            </w:r>
            <w:proofErr w:type="spellEnd"/>
          </w:p>
        </w:tc>
        <w:tc>
          <w:tcPr>
            <w:tcW w:w="3021" w:type="dxa"/>
            <w:tcBorders>
              <w:top w:val="single" w:sz="4" w:space="0" w:color="auto"/>
              <w:left w:val="single" w:sz="4" w:space="0" w:color="auto"/>
              <w:bottom w:val="single" w:sz="4" w:space="0" w:color="auto"/>
              <w:right w:val="single" w:sz="4" w:space="0" w:color="auto"/>
            </w:tcBorders>
            <w:hideMark/>
          </w:tcPr>
          <w:p w14:paraId="7237BCF2" w14:textId="77777777" w:rsidR="00EA3901" w:rsidRPr="003331EF" w:rsidRDefault="00EA3901" w:rsidP="003331EF">
            <w:pPr>
              <w:spacing w:before="0"/>
              <w:jc w:val="center"/>
              <w:rPr>
                <w:b/>
                <w:iCs/>
                <w:spacing w:val="-5"/>
              </w:rPr>
            </w:pPr>
            <w:r w:rsidRPr="003331EF">
              <w:rPr>
                <w:b/>
                <w:iCs/>
                <w:spacing w:val="-5"/>
              </w:rPr>
              <w:t>Kommentaar</w:t>
            </w:r>
          </w:p>
        </w:tc>
      </w:tr>
      <w:tr w:rsidR="003331EF" w:rsidRPr="003331EF" w14:paraId="102A794F"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61E8B44D" w14:textId="77777777" w:rsidR="00EA3901" w:rsidRPr="003331EF" w:rsidRDefault="00EA3901" w:rsidP="003331EF">
            <w:pPr>
              <w:spacing w:before="0"/>
              <w:rPr>
                <w:bCs/>
                <w:iCs/>
                <w:spacing w:val="-5"/>
                <w:highlight w:val="yellow"/>
              </w:rPr>
            </w:pPr>
            <w:r w:rsidRPr="003331EF">
              <w:rPr>
                <w:b/>
                <w:iCs/>
                <w:spacing w:val="-5"/>
              </w:rPr>
              <w:t>Art 66:</w:t>
            </w:r>
            <w:r w:rsidRPr="003331EF">
              <w:rPr>
                <w:bCs/>
                <w:iCs/>
                <w:spacing w:val="-5"/>
              </w:rPr>
              <w:t xml:space="preserve"> Kohustus tegutseda kliendi parimates huvides ausalt, õiglaselt ja professionaalselt</w:t>
            </w:r>
          </w:p>
        </w:tc>
        <w:tc>
          <w:tcPr>
            <w:tcW w:w="3020" w:type="dxa"/>
            <w:tcBorders>
              <w:top w:val="single" w:sz="4" w:space="0" w:color="auto"/>
              <w:left w:val="single" w:sz="4" w:space="0" w:color="auto"/>
              <w:bottom w:val="single" w:sz="4" w:space="0" w:color="auto"/>
              <w:right w:val="single" w:sz="4" w:space="0" w:color="auto"/>
            </w:tcBorders>
          </w:tcPr>
          <w:p w14:paraId="3759DAEB" w14:textId="7E8B59D1" w:rsidR="00EA3901" w:rsidRPr="003331EF" w:rsidRDefault="00EA3901" w:rsidP="003331EF">
            <w:pPr>
              <w:spacing w:before="0"/>
              <w:rPr>
                <w:bCs/>
                <w:iCs/>
                <w:spacing w:val="-5"/>
                <w:highlight w:val="yellow"/>
              </w:rPr>
            </w:pPr>
          </w:p>
        </w:tc>
        <w:tc>
          <w:tcPr>
            <w:tcW w:w="3021" w:type="dxa"/>
            <w:tcBorders>
              <w:top w:val="single" w:sz="4" w:space="0" w:color="auto"/>
              <w:left w:val="single" w:sz="4" w:space="0" w:color="auto"/>
              <w:bottom w:val="single" w:sz="4" w:space="0" w:color="auto"/>
              <w:right w:val="single" w:sz="4" w:space="0" w:color="auto"/>
            </w:tcBorders>
          </w:tcPr>
          <w:p w14:paraId="0D304742" w14:textId="3652F00A" w:rsidR="00EA3901" w:rsidRPr="003331EF" w:rsidRDefault="00EA3901" w:rsidP="003331EF">
            <w:pPr>
              <w:spacing w:before="0"/>
              <w:rPr>
                <w:bCs/>
                <w:iCs/>
                <w:spacing w:val="-5"/>
                <w:highlight w:val="yellow"/>
              </w:rPr>
            </w:pPr>
            <w:r w:rsidRPr="003331EF">
              <w:rPr>
                <w:bCs/>
                <w:iCs/>
                <w:spacing w:val="-5"/>
              </w:rPr>
              <w:t xml:space="preserve">Kehtiv </w:t>
            </w:r>
            <w:proofErr w:type="spellStart"/>
            <w:r w:rsidRPr="003331EF">
              <w:rPr>
                <w:bCs/>
                <w:iCs/>
                <w:spacing w:val="-5"/>
              </w:rPr>
              <w:t>RahaPTS</w:t>
            </w:r>
            <w:proofErr w:type="spellEnd"/>
            <w:r w:rsidRPr="003331EF">
              <w:rPr>
                <w:bCs/>
                <w:iCs/>
                <w:spacing w:val="-5"/>
              </w:rPr>
              <w:t xml:space="preserve"> ei reguleeri kliendi parimas </w:t>
            </w:r>
            <w:proofErr w:type="spellStart"/>
            <w:r w:rsidRPr="003331EF">
              <w:rPr>
                <w:bCs/>
                <w:iCs/>
                <w:spacing w:val="-5"/>
              </w:rPr>
              <w:t>huvs</w:t>
            </w:r>
            <w:proofErr w:type="spellEnd"/>
            <w:r w:rsidRPr="003331EF">
              <w:rPr>
                <w:bCs/>
                <w:iCs/>
                <w:spacing w:val="-5"/>
              </w:rPr>
              <w:t xml:space="preserve"> tegutsemist.</w:t>
            </w:r>
          </w:p>
        </w:tc>
      </w:tr>
      <w:tr w:rsidR="003331EF" w:rsidRPr="003331EF" w14:paraId="2EABF305"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487C865E" w14:textId="77777777" w:rsidR="00EA3901" w:rsidRPr="003331EF" w:rsidRDefault="00EA3901" w:rsidP="003331EF">
            <w:pPr>
              <w:spacing w:before="0"/>
              <w:rPr>
                <w:bCs/>
                <w:iCs/>
                <w:spacing w:val="-5"/>
                <w:highlight w:val="yellow"/>
              </w:rPr>
            </w:pPr>
            <w:r w:rsidRPr="003331EF">
              <w:rPr>
                <w:b/>
                <w:iCs/>
                <w:spacing w:val="-5"/>
              </w:rPr>
              <w:t>Art 67</w:t>
            </w:r>
            <w:r w:rsidRPr="003331EF">
              <w:rPr>
                <w:bCs/>
                <w:iCs/>
                <w:spacing w:val="-5"/>
              </w:rPr>
              <w:t>: Usaldatavusnõuded</w:t>
            </w:r>
          </w:p>
        </w:tc>
        <w:tc>
          <w:tcPr>
            <w:tcW w:w="3020" w:type="dxa"/>
            <w:tcBorders>
              <w:top w:val="single" w:sz="4" w:space="0" w:color="auto"/>
              <w:left w:val="single" w:sz="4" w:space="0" w:color="auto"/>
              <w:bottom w:val="single" w:sz="4" w:space="0" w:color="auto"/>
              <w:right w:val="single" w:sz="4" w:space="0" w:color="auto"/>
            </w:tcBorders>
            <w:hideMark/>
          </w:tcPr>
          <w:p w14:paraId="6C3BA69A" w14:textId="04097AF6" w:rsidR="00EA3901" w:rsidRPr="003331EF" w:rsidRDefault="00EA3901" w:rsidP="003331EF">
            <w:pPr>
              <w:spacing w:before="0"/>
              <w:rPr>
                <w:bCs/>
                <w:iCs/>
                <w:spacing w:val="-5"/>
                <w:highlight w:val="yellow"/>
              </w:rPr>
            </w:pPr>
            <w:r w:rsidRPr="003331EF">
              <w:rPr>
                <w:bCs/>
                <w:iCs/>
                <w:spacing w:val="-5"/>
              </w:rPr>
              <w:t>§</w:t>
            </w:r>
            <w:r w:rsidR="00C578F0">
              <w:rPr>
                <w:bCs/>
                <w:iCs/>
                <w:spacing w:val="-5"/>
              </w:rPr>
              <w:t> </w:t>
            </w:r>
            <w:r w:rsidRPr="003331EF">
              <w:rPr>
                <w:bCs/>
                <w:iCs/>
                <w:spacing w:val="-5"/>
              </w:rPr>
              <w:t>72</w:t>
            </w:r>
            <w:r w:rsidRPr="003331EF">
              <w:rPr>
                <w:bCs/>
                <w:iCs/>
                <w:spacing w:val="-5"/>
                <w:vertAlign w:val="superscript"/>
              </w:rPr>
              <w:t>2</w:t>
            </w:r>
            <w:r w:rsidRPr="003331EF">
              <w:rPr>
                <w:bCs/>
                <w:iCs/>
                <w:spacing w:val="-5"/>
              </w:rPr>
              <w:t>.</w:t>
            </w:r>
            <w:r w:rsidR="006D2AF2">
              <w:rPr>
                <w:bCs/>
                <w:iCs/>
                <w:spacing w:val="-5"/>
              </w:rPr>
              <w:t> </w:t>
            </w:r>
            <w:r w:rsidRPr="003331EF">
              <w:rPr>
                <w:bCs/>
                <w:iCs/>
                <w:spacing w:val="-5"/>
              </w:rPr>
              <w:t>Nõuded virtuaal</w:t>
            </w:r>
            <w:r w:rsidR="006D2AF2">
              <w:rPr>
                <w:bCs/>
                <w:iCs/>
                <w:spacing w:val="-5"/>
              </w:rPr>
              <w:softHyphen/>
            </w:r>
            <w:r w:rsidRPr="003331EF">
              <w:rPr>
                <w:bCs/>
                <w:iCs/>
                <w:spacing w:val="-5"/>
              </w:rPr>
              <w:t>vääringu teenuse pakkuja omavahenditele</w:t>
            </w:r>
          </w:p>
        </w:tc>
        <w:tc>
          <w:tcPr>
            <w:tcW w:w="3021" w:type="dxa"/>
            <w:tcBorders>
              <w:top w:val="single" w:sz="4" w:space="0" w:color="auto"/>
              <w:left w:val="single" w:sz="4" w:space="0" w:color="auto"/>
              <w:bottom w:val="single" w:sz="4" w:space="0" w:color="auto"/>
              <w:right w:val="single" w:sz="4" w:space="0" w:color="auto"/>
            </w:tcBorders>
          </w:tcPr>
          <w:p w14:paraId="477355B6" w14:textId="77777777" w:rsidR="00EA3901" w:rsidRPr="003331EF" w:rsidRDefault="00EA3901" w:rsidP="003331EF">
            <w:pPr>
              <w:spacing w:before="0"/>
              <w:rPr>
                <w:bCs/>
                <w:iCs/>
                <w:spacing w:val="-5"/>
                <w:highlight w:val="yellow"/>
              </w:rPr>
            </w:pPr>
          </w:p>
        </w:tc>
      </w:tr>
      <w:tr w:rsidR="003331EF" w:rsidRPr="003331EF" w14:paraId="2486273A"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1596E0BC" w14:textId="77777777" w:rsidR="00EA3901" w:rsidRPr="003331EF" w:rsidRDefault="00EA3901" w:rsidP="003331EF">
            <w:pPr>
              <w:spacing w:before="0"/>
              <w:rPr>
                <w:bCs/>
                <w:iCs/>
                <w:spacing w:val="-5"/>
                <w:highlight w:val="yellow"/>
              </w:rPr>
            </w:pPr>
            <w:r w:rsidRPr="003331EF">
              <w:rPr>
                <w:b/>
                <w:iCs/>
                <w:spacing w:val="-5"/>
              </w:rPr>
              <w:t>Art 68:</w:t>
            </w:r>
            <w:r w:rsidRPr="003331EF">
              <w:rPr>
                <w:bCs/>
                <w:iCs/>
                <w:spacing w:val="-5"/>
              </w:rPr>
              <w:t xml:space="preserve"> Juhtimiskord</w:t>
            </w:r>
          </w:p>
        </w:tc>
        <w:tc>
          <w:tcPr>
            <w:tcW w:w="3020" w:type="dxa"/>
            <w:tcBorders>
              <w:top w:val="single" w:sz="4" w:space="0" w:color="auto"/>
              <w:left w:val="single" w:sz="4" w:space="0" w:color="auto"/>
              <w:bottom w:val="single" w:sz="4" w:space="0" w:color="auto"/>
              <w:right w:val="single" w:sz="4" w:space="0" w:color="auto"/>
            </w:tcBorders>
            <w:hideMark/>
          </w:tcPr>
          <w:p w14:paraId="58383E93" w14:textId="77777777" w:rsidR="00EA3901" w:rsidRPr="003331EF" w:rsidRDefault="00EA3901" w:rsidP="003331EF">
            <w:pPr>
              <w:spacing w:before="0"/>
              <w:rPr>
                <w:bCs/>
                <w:iCs/>
                <w:spacing w:val="-5"/>
              </w:rPr>
            </w:pPr>
            <w:r w:rsidRPr="003331EF">
              <w:rPr>
                <w:bCs/>
                <w:iCs/>
                <w:spacing w:val="-5"/>
              </w:rPr>
              <w:t>§ 72. Tegevusloa kontrollese ja tegevusloa andmisest keeldumise alused (korrektse ärialase maine nõue)</w:t>
            </w:r>
          </w:p>
          <w:p w14:paraId="00C562AD" w14:textId="77777777" w:rsidR="00EA3901" w:rsidRPr="003331EF" w:rsidRDefault="00EA3901" w:rsidP="003331EF">
            <w:pPr>
              <w:spacing w:before="0"/>
              <w:rPr>
                <w:bCs/>
                <w:iCs/>
                <w:spacing w:val="-5"/>
                <w:highlight w:val="yellow"/>
              </w:rPr>
            </w:pPr>
            <w:r w:rsidRPr="003331EF">
              <w:rPr>
                <w:bCs/>
                <w:iCs/>
                <w:spacing w:val="-5"/>
              </w:rPr>
              <w:t>§ 72</w:t>
            </w:r>
            <w:r w:rsidRPr="003331EF">
              <w:rPr>
                <w:bCs/>
                <w:iCs/>
                <w:spacing w:val="-5"/>
                <w:vertAlign w:val="superscript"/>
              </w:rPr>
              <w:t>5</w:t>
            </w:r>
            <w:r w:rsidRPr="003331EF">
              <w:rPr>
                <w:bCs/>
                <w:iCs/>
                <w:spacing w:val="-5"/>
              </w:rPr>
              <w:t xml:space="preserve">. Kõrgendatud nõuded virtuaalvääringu teenuse pakkuja asukohale, tegevuskohale, juhatuse liikmetel </w:t>
            </w:r>
            <w:proofErr w:type="spellStart"/>
            <w:r w:rsidRPr="003331EF">
              <w:rPr>
                <w:bCs/>
                <w:iCs/>
                <w:spacing w:val="-5"/>
              </w:rPr>
              <w:t>eja</w:t>
            </w:r>
            <w:proofErr w:type="spellEnd"/>
            <w:r w:rsidRPr="003331EF">
              <w:rPr>
                <w:bCs/>
                <w:iCs/>
                <w:spacing w:val="-5"/>
              </w:rPr>
              <w:t xml:space="preserve"> </w:t>
            </w:r>
            <w:proofErr w:type="spellStart"/>
            <w:r w:rsidRPr="003331EF">
              <w:rPr>
                <w:bCs/>
                <w:iCs/>
                <w:spacing w:val="-5"/>
              </w:rPr>
              <w:t>kontakstisiktele</w:t>
            </w:r>
            <w:proofErr w:type="spellEnd"/>
          </w:p>
        </w:tc>
        <w:tc>
          <w:tcPr>
            <w:tcW w:w="3021" w:type="dxa"/>
            <w:tcBorders>
              <w:top w:val="single" w:sz="4" w:space="0" w:color="auto"/>
              <w:left w:val="single" w:sz="4" w:space="0" w:color="auto"/>
              <w:bottom w:val="single" w:sz="4" w:space="0" w:color="auto"/>
              <w:right w:val="single" w:sz="4" w:space="0" w:color="auto"/>
            </w:tcBorders>
          </w:tcPr>
          <w:p w14:paraId="2F672F16" w14:textId="77777777" w:rsidR="00EA3901" w:rsidRPr="003331EF" w:rsidRDefault="00EA3901" w:rsidP="003331EF">
            <w:pPr>
              <w:spacing w:before="0"/>
              <w:rPr>
                <w:bCs/>
                <w:iCs/>
                <w:spacing w:val="-5"/>
                <w:highlight w:val="yellow"/>
              </w:rPr>
            </w:pPr>
          </w:p>
        </w:tc>
      </w:tr>
      <w:tr w:rsidR="003331EF" w:rsidRPr="003331EF" w14:paraId="14815B38"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499B9EF2" w14:textId="77777777" w:rsidR="00EA3901" w:rsidRPr="003331EF" w:rsidRDefault="00EA3901" w:rsidP="003331EF">
            <w:pPr>
              <w:spacing w:before="0"/>
              <w:rPr>
                <w:bCs/>
                <w:iCs/>
                <w:spacing w:val="-5"/>
                <w:highlight w:val="yellow"/>
              </w:rPr>
            </w:pPr>
            <w:r w:rsidRPr="003331EF">
              <w:rPr>
                <w:b/>
                <w:iCs/>
                <w:spacing w:val="-5"/>
              </w:rPr>
              <w:t>Art 69:</w:t>
            </w:r>
            <w:r w:rsidRPr="003331EF">
              <w:rPr>
                <w:bCs/>
                <w:iCs/>
                <w:spacing w:val="-5"/>
              </w:rPr>
              <w:t xml:space="preserve"> Pädevatele asutustele esitatav teave</w:t>
            </w:r>
          </w:p>
        </w:tc>
        <w:tc>
          <w:tcPr>
            <w:tcW w:w="3020" w:type="dxa"/>
            <w:tcBorders>
              <w:top w:val="single" w:sz="4" w:space="0" w:color="auto"/>
              <w:left w:val="single" w:sz="4" w:space="0" w:color="auto"/>
              <w:bottom w:val="single" w:sz="4" w:space="0" w:color="auto"/>
              <w:right w:val="single" w:sz="4" w:space="0" w:color="auto"/>
            </w:tcBorders>
          </w:tcPr>
          <w:p w14:paraId="722D74F4" w14:textId="77777777" w:rsidR="00EA3901" w:rsidRPr="003331EF" w:rsidRDefault="00EA3901" w:rsidP="003331EF">
            <w:pPr>
              <w:spacing w:before="0"/>
              <w:rPr>
                <w:bCs/>
                <w:iCs/>
                <w:spacing w:val="-5"/>
                <w:highlight w:val="yellow"/>
              </w:rPr>
            </w:pPr>
          </w:p>
        </w:tc>
        <w:tc>
          <w:tcPr>
            <w:tcW w:w="3021" w:type="dxa"/>
            <w:tcBorders>
              <w:top w:val="single" w:sz="4" w:space="0" w:color="auto"/>
              <w:left w:val="single" w:sz="4" w:space="0" w:color="auto"/>
              <w:bottom w:val="single" w:sz="4" w:space="0" w:color="auto"/>
              <w:right w:val="single" w:sz="4" w:space="0" w:color="auto"/>
            </w:tcBorders>
          </w:tcPr>
          <w:p w14:paraId="54EC9E4A" w14:textId="1FF6436C" w:rsidR="00EA3901" w:rsidRPr="003331EF" w:rsidRDefault="00EA3901" w:rsidP="003331EF">
            <w:pPr>
              <w:spacing w:before="0"/>
              <w:rPr>
                <w:bCs/>
                <w:iCs/>
                <w:spacing w:val="-5"/>
                <w:highlight w:val="yellow"/>
              </w:rPr>
            </w:pPr>
            <w:proofErr w:type="spellStart"/>
            <w:r w:rsidRPr="003331EF">
              <w:rPr>
                <w:bCs/>
                <w:iCs/>
                <w:spacing w:val="-5"/>
              </w:rPr>
              <w:t>MiCA</w:t>
            </w:r>
            <w:proofErr w:type="spellEnd"/>
            <w:r w:rsidRPr="003331EF">
              <w:rPr>
                <w:bCs/>
                <w:iCs/>
                <w:spacing w:val="-5"/>
              </w:rPr>
              <w:t xml:space="preserve"> art 69 viitab olukorrale, kui uus  juhtorgani liige alustab tegevust ning sellest tuleb pädevat asutust teavitada.</w:t>
            </w:r>
          </w:p>
        </w:tc>
      </w:tr>
      <w:tr w:rsidR="003331EF" w:rsidRPr="003331EF" w14:paraId="012304E0"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4195411F" w14:textId="77777777" w:rsidR="00EA3901" w:rsidRPr="003331EF" w:rsidRDefault="00EA3901" w:rsidP="003331EF">
            <w:pPr>
              <w:spacing w:before="0"/>
              <w:rPr>
                <w:bCs/>
                <w:iCs/>
                <w:spacing w:val="-5"/>
                <w:highlight w:val="yellow"/>
              </w:rPr>
            </w:pPr>
            <w:r w:rsidRPr="003331EF">
              <w:rPr>
                <w:b/>
                <w:iCs/>
                <w:spacing w:val="-5"/>
              </w:rPr>
              <w:t>Art 70:</w:t>
            </w:r>
            <w:r w:rsidRPr="003331EF">
              <w:rPr>
                <w:bCs/>
                <w:iCs/>
                <w:spacing w:val="-5"/>
              </w:rPr>
              <w:t xml:space="preserve"> Klientide </w:t>
            </w:r>
            <w:proofErr w:type="spellStart"/>
            <w:r w:rsidRPr="003331EF">
              <w:rPr>
                <w:bCs/>
                <w:iCs/>
                <w:spacing w:val="-5"/>
              </w:rPr>
              <w:t>krüptovara</w:t>
            </w:r>
            <w:proofErr w:type="spellEnd"/>
            <w:r w:rsidRPr="003331EF">
              <w:rPr>
                <w:bCs/>
                <w:iCs/>
                <w:spacing w:val="-5"/>
              </w:rPr>
              <w:t xml:space="preserve"> ja raha kaitse</w:t>
            </w:r>
          </w:p>
        </w:tc>
        <w:tc>
          <w:tcPr>
            <w:tcW w:w="3020" w:type="dxa"/>
            <w:tcBorders>
              <w:top w:val="single" w:sz="4" w:space="0" w:color="auto"/>
              <w:left w:val="single" w:sz="4" w:space="0" w:color="auto"/>
              <w:bottom w:val="single" w:sz="4" w:space="0" w:color="auto"/>
              <w:right w:val="single" w:sz="4" w:space="0" w:color="auto"/>
            </w:tcBorders>
          </w:tcPr>
          <w:p w14:paraId="15F00A92" w14:textId="77777777" w:rsidR="00EA3901" w:rsidRPr="003331EF" w:rsidRDefault="00EA3901" w:rsidP="003331EF">
            <w:pPr>
              <w:spacing w:before="0"/>
              <w:rPr>
                <w:bCs/>
                <w:iCs/>
                <w:spacing w:val="-5"/>
                <w:highlight w:val="yellow"/>
              </w:rPr>
            </w:pPr>
          </w:p>
        </w:tc>
        <w:tc>
          <w:tcPr>
            <w:tcW w:w="3021" w:type="dxa"/>
            <w:tcBorders>
              <w:top w:val="single" w:sz="4" w:space="0" w:color="auto"/>
              <w:left w:val="single" w:sz="4" w:space="0" w:color="auto"/>
              <w:bottom w:val="single" w:sz="4" w:space="0" w:color="auto"/>
              <w:right w:val="single" w:sz="4" w:space="0" w:color="auto"/>
            </w:tcBorders>
          </w:tcPr>
          <w:p w14:paraId="34D24161" w14:textId="45CF5A74" w:rsidR="00EA3901" w:rsidRPr="003331EF" w:rsidRDefault="00070B7B" w:rsidP="003331EF">
            <w:pPr>
              <w:spacing w:before="0"/>
              <w:rPr>
                <w:bCs/>
                <w:iCs/>
                <w:spacing w:val="-5"/>
                <w:highlight w:val="yellow"/>
              </w:rPr>
            </w:pPr>
            <w:r w:rsidRPr="003331EF">
              <w:rPr>
                <w:bCs/>
                <w:iCs/>
                <w:spacing w:val="-5"/>
              </w:rPr>
              <w:t xml:space="preserve">Kehtiv </w:t>
            </w:r>
            <w:proofErr w:type="spellStart"/>
            <w:r w:rsidRPr="003331EF">
              <w:rPr>
                <w:bCs/>
                <w:iCs/>
                <w:spacing w:val="-5"/>
              </w:rPr>
              <w:t>RahaPTS</w:t>
            </w:r>
            <w:proofErr w:type="spellEnd"/>
            <w:r w:rsidRPr="003331EF">
              <w:rPr>
                <w:bCs/>
                <w:iCs/>
                <w:spacing w:val="-5"/>
              </w:rPr>
              <w:t xml:space="preserve"> ei reguleeri klientide </w:t>
            </w:r>
            <w:proofErr w:type="spellStart"/>
            <w:r w:rsidRPr="003331EF">
              <w:rPr>
                <w:bCs/>
                <w:iCs/>
                <w:spacing w:val="-5"/>
              </w:rPr>
              <w:t>krüptovara</w:t>
            </w:r>
            <w:proofErr w:type="spellEnd"/>
            <w:r w:rsidRPr="003331EF">
              <w:rPr>
                <w:bCs/>
                <w:iCs/>
                <w:spacing w:val="-5"/>
              </w:rPr>
              <w:t xml:space="preserve"> ja raha kaitset.</w:t>
            </w:r>
          </w:p>
        </w:tc>
      </w:tr>
      <w:tr w:rsidR="003331EF" w:rsidRPr="003331EF" w14:paraId="395D0EDB"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377EC8A9" w14:textId="77777777" w:rsidR="00EA3901" w:rsidRPr="003331EF" w:rsidRDefault="00EA3901" w:rsidP="003331EF">
            <w:pPr>
              <w:spacing w:before="0"/>
              <w:rPr>
                <w:bCs/>
                <w:iCs/>
                <w:spacing w:val="-5"/>
                <w:highlight w:val="yellow"/>
              </w:rPr>
            </w:pPr>
            <w:r w:rsidRPr="003331EF">
              <w:rPr>
                <w:b/>
                <w:iCs/>
                <w:spacing w:val="-5"/>
              </w:rPr>
              <w:lastRenderedPageBreak/>
              <w:t>Art 71:</w:t>
            </w:r>
            <w:r w:rsidRPr="003331EF">
              <w:rPr>
                <w:bCs/>
                <w:iCs/>
                <w:spacing w:val="-5"/>
              </w:rPr>
              <w:t xml:space="preserve"> Kaebuste käsitlemise kord</w:t>
            </w:r>
          </w:p>
        </w:tc>
        <w:tc>
          <w:tcPr>
            <w:tcW w:w="3020" w:type="dxa"/>
            <w:tcBorders>
              <w:top w:val="single" w:sz="4" w:space="0" w:color="auto"/>
              <w:left w:val="single" w:sz="4" w:space="0" w:color="auto"/>
              <w:bottom w:val="single" w:sz="4" w:space="0" w:color="auto"/>
              <w:right w:val="single" w:sz="4" w:space="0" w:color="auto"/>
            </w:tcBorders>
          </w:tcPr>
          <w:p w14:paraId="15E4D995" w14:textId="77777777" w:rsidR="00EA3901" w:rsidRPr="003331EF" w:rsidRDefault="00EA3901" w:rsidP="003331EF">
            <w:pPr>
              <w:spacing w:before="0"/>
              <w:rPr>
                <w:bCs/>
                <w:iCs/>
                <w:spacing w:val="-5"/>
                <w:highlight w:val="yellow"/>
              </w:rPr>
            </w:pPr>
          </w:p>
        </w:tc>
        <w:tc>
          <w:tcPr>
            <w:tcW w:w="3021" w:type="dxa"/>
            <w:tcBorders>
              <w:top w:val="single" w:sz="4" w:space="0" w:color="auto"/>
              <w:left w:val="single" w:sz="4" w:space="0" w:color="auto"/>
              <w:bottom w:val="single" w:sz="4" w:space="0" w:color="auto"/>
              <w:right w:val="single" w:sz="4" w:space="0" w:color="auto"/>
            </w:tcBorders>
          </w:tcPr>
          <w:p w14:paraId="077BF470" w14:textId="782C1E84" w:rsidR="00EA3901" w:rsidRPr="003331EF" w:rsidRDefault="00070B7B" w:rsidP="003331EF">
            <w:pPr>
              <w:spacing w:before="0"/>
              <w:rPr>
                <w:bCs/>
                <w:iCs/>
                <w:spacing w:val="-5"/>
                <w:highlight w:val="yellow"/>
              </w:rPr>
            </w:pPr>
            <w:r w:rsidRPr="003331EF">
              <w:rPr>
                <w:bCs/>
                <w:iCs/>
                <w:spacing w:val="-5"/>
              </w:rPr>
              <w:t xml:space="preserve">Kehtiv </w:t>
            </w:r>
            <w:proofErr w:type="spellStart"/>
            <w:r w:rsidRPr="003331EF">
              <w:rPr>
                <w:bCs/>
                <w:iCs/>
                <w:spacing w:val="-5"/>
              </w:rPr>
              <w:t>RahaPTS</w:t>
            </w:r>
            <w:proofErr w:type="spellEnd"/>
            <w:r w:rsidRPr="003331EF">
              <w:rPr>
                <w:bCs/>
                <w:iCs/>
                <w:spacing w:val="-5"/>
              </w:rPr>
              <w:t xml:space="preserve"> ei reguleeri kaebuste käsitlemist.</w:t>
            </w:r>
          </w:p>
        </w:tc>
      </w:tr>
      <w:tr w:rsidR="003331EF" w:rsidRPr="003331EF" w14:paraId="7C6A20D2"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420FBACE" w14:textId="77777777" w:rsidR="00EA3901" w:rsidRPr="003331EF" w:rsidRDefault="00EA3901" w:rsidP="003331EF">
            <w:pPr>
              <w:spacing w:before="0"/>
              <w:rPr>
                <w:bCs/>
                <w:iCs/>
                <w:spacing w:val="-5"/>
                <w:highlight w:val="yellow"/>
              </w:rPr>
            </w:pPr>
            <w:r w:rsidRPr="003331EF">
              <w:rPr>
                <w:b/>
                <w:iCs/>
                <w:spacing w:val="-5"/>
              </w:rPr>
              <w:t>Art 72:</w:t>
            </w:r>
            <w:r w:rsidRPr="003331EF">
              <w:rPr>
                <w:bCs/>
                <w:iCs/>
                <w:spacing w:val="-5"/>
              </w:rPr>
              <w:t xml:space="preserve"> Huvide konfliktide tuvastamine, vältimine, juhtimine ja avalikustamine</w:t>
            </w:r>
          </w:p>
        </w:tc>
        <w:tc>
          <w:tcPr>
            <w:tcW w:w="3020" w:type="dxa"/>
            <w:tcBorders>
              <w:top w:val="single" w:sz="4" w:space="0" w:color="auto"/>
              <w:left w:val="single" w:sz="4" w:space="0" w:color="auto"/>
              <w:bottom w:val="single" w:sz="4" w:space="0" w:color="auto"/>
              <w:right w:val="single" w:sz="4" w:space="0" w:color="auto"/>
            </w:tcBorders>
          </w:tcPr>
          <w:p w14:paraId="707E431B" w14:textId="77777777" w:rsidR="00EA3901" w:rsidRPr="003331EF" w:rsidRDefault="00EA3901" w:rsidP="003331EF">
            <w:pPr>
              <w:spacing w:before="0"/>
              <w:rPr>
                <w:bCs/>
                <w:iCs/>
                <w:spacing w:val="-5"/>
                <w:highlight w:val="yellow"/>
              </w:rPr>
            </w:pPr>
          </w:p>
        </w:tc>
        <w:tc>
          <w:tcPr>
            <w:tcW w:w="3021" w:type="dxa"/>
            <w:tcBorders>
              <w:top w:val="single" w:sz="4" w:space="0" w:color="auto"/>
              <w:left w:val="single" w:sz="4" w:space="0" w:color="auto"/>
              <w:bottom w:val="single" w:sz="4" w:space="0" w:color="auto"/>
              <w:right w:val="single" w:sz="4" w:space="0" w:color="auto"/>
            </w:tcBorders>
          </w:tcPr>
          <w:p w14:paraId="36E14D95" w14:textId="29C49DAE" w:rsidR="00EA3901" w:rsidRPr="003331EF" w:rsidRDefault="00070B7B" w:rsidP="003331EF">
            <w:pPr>
              <w:spacing w:before="0"/>
              <w:rPr>
                <w:bCs/>
                <w:iCs/>
                <w:spacing w:val="-5"/>
                <w:highlight w:val="yellow"/>
              </w:rPr>
            </w:pPr>
            <w:r w:rsidRPr="003331EF">
              <w:rPr>
                <w:bCs/>
                <w:iCs/>
                <w:spacing w:val="-5"/>
              </w:rPr>
              <w:t xml:space="preserve">Kehtiv </w:t>
            </w:r>
            <w:proofErr w:type="spellStart"/>
            <w:r w:rsidRPr="003331EF">
              <w:rPr>
                <w:bCs/>
                <w:iCs/>
                <w:spacing w:val="-5"/>
              </w:rPr>
              <w:t>RahaPTS</w:t>
            </w:r>
            <w:proofErr w:type="spellEnd"/>
            <w:r w:rsidRPr="003331EF">
              <w:rPr>
                <w:bCs/>
                <w:iCs/>
                <w:spacing w:val="-5"/>
              </w:rPr>
              <w:t xml:space="preserve"> ei reguleeri huvide konflikti tuvastamist, vältimist ja avalikustamist.</w:t>
            </w:r>
          </w:p>
        </w:tc>
      </w:tr>
      <w:tr w:rsidR="003331EF" w:rsidRPr="003331EF" w14:paraId="6426EB0F"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0E7A1460" w14:textId="77777777" w:rsidR="00EA3901" w:rsidRPr="003331EF" w:rsidRDefault="00EA3901" w:rsidP="003331EF">
            <w:pPr>
              <w:spacing w:before="0"/>
              <w:rPr>
                <w:bCs/>
                <w:iCs/>
                <w:spacing w:val="-5"/>
                <w:highlight w:val="yellow"/>
              </w:rPr>
            </w:pPr>
            <w:r w:rsidRPr="003331EF">
              <w:rPr>
                <w:b/>
                <w:iCs/>
                <w:spacing w:val="-5"/>
              </w:rPr>
              <w:t>Art 73:</w:t>
            </w:r>
            <w:r w:rsidRPr="003331EF">
              <w:rPr>
                <w:bCs/>
                <w:iCs/>
                <w:spacing w:val="-5"/>
              </w:rPr>
              <w:t xml:space="preserve"> Teenuste ja tegevuste edasiandmine</w:t>
            </w:r>
          </w:p>
        </w:tc>
        <w:tc>
          <w:tcPr>
            <w:tcW w:w="3020" w:type="dxa"/>
            <w:tcBorders>
              <w:top w:val="single" w:sz="4" w:space="0" w:color="auto"/>
              <w:left w:val="single" w:sz="4" w:space="0" w:color="auto"/>
              <w:bottom w:val="single" w:sz="4" w:space="0" w:color="auto"/>
              <w:right w:val="single" w:sz="4" w:space="0" w:color="auto"/>
            </w:tcBorders>
          </w:tcPr>
          <w:p w14:paraId="7C6C528E" w14:textId="77777777" w:rsidR="00EA3901" w:rsidRPr="003331EF" w:rsidRDefault="00EA3901" w:rsidP="003331EF">
            <w:pPr>
              <w:spacing w:before="0"/>
              <w:rPr>
                <w:bCs/>
                <w:iCs/>
                <w:spacing w:val="-5"/>
                <w:highlight w:val="yellow"/>
              </w:rPr>
            </w:pPr>
          </w:p>
        </w:tc>
        <w:tc>
          <w:tcPr>
            <w:tcW w:w="3021" w:type="dxa"/>
            <w:tcBorders>
              <w:top w:val="single" w:sz="4" w:space="0" w:color="auto"/>
              <w:left w:val="single" w:sz="4" w:space="0" w:color="auto"/>
              <w:bottom w:val="single" w:sz="4" w:space="0" w:color="auto"/>
              <w:right w:val="single" w:sz="4" w:space="0" w:color="auto"/>
            </w:tcBorders>
          </w:tcPr>
          <w:p w14:paraId="62A80DD1" w14:textId="5E71BAED" w:rsidR="00EA3901" w:rsidRPr="003331EF" w:rsidRDefault="00070B7B" w:rsidP="003331EF">
            <w:pPr>
              <w:spacing w:before="0"/>
              <w:rPr>
                <w:bCs/>
                <w:iCs/>
                <w:spacing w:val="-5"/>
                <w:highlight w:val="yellow"/>
              </w:rPr>
            </w:pPr>
            <w:r w:rsidRPr="003331EF">
              <w:rPr>
                <w:bCs/>
                <w:iCs/>
                <w:spacing w:val="-5"/>
              </w:rPr>
              <w:t xml:space="preserve">Kehtiv </w:t>
            </w:r>
            <w:proofErr w:type="spellStart"/>
            <w:r w:rsidRPr="003331EF">
              <w:rPr>
                <w:bCs/>
                <w:iCs/>
                <w:spacing w:val="-5"/>
              </w:rPr>
              <w:t>RahaPTS</w:t>
            </w:r>
            <w:proofErr w:type="spellEnd"/>
            <w:r w:rsidRPr="003331EF">
              <w:rPr>
                <w:bCs/>
                <w:iCs/>
                <w:spacing w:val="-5"/>
              </w:rPr>
              <w:t xml:space="preserve"> ei reguleeri teenuse edasiandmist.</w:t>
            </w:r>
            <w:r w:rsidR="002F77A3" w:rsidRPr="003331EF">
              <w:rPr>
                <w:bCs/>
                <w:iCs/>
                <w:spacing w:val="-5"/>
              </w:rPr>
              <w:t xml:space="preserve"> Teenuse osutamist otseselt üle anda ei tohi.</w:t>
            </w:r>
          </w:p>
        </w:tc>
      </w:tr>
      <w:tr w:rsidR="003331EF" w:rsidRPr="003331EF" w14:paraId="116699B6"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44147A03" w14:textId="77777777" w:rsidR="00EA3901" w:rsidRPr="003331EF" w:rsidRDefault="00EA3901" w:rsidP="003331EF">
            <w:pPr>
              <w:spacing w:before="0"/>
              <w:rPr>
                <w:b/>
                <w:iCs/>
                <w:spacing w:val="-5"/>
              </w:rPr>
            </w:pPr>
            <w:r w:rsidRPr="003331EF">
              <w:rPr>
                <w:b/>
                <w:iCs/>
                <w:spacing w:val="-5"/>
              </w:rPr>
              <w:t>Art 74:</w:t>
            </w:r>
            <w:r w:rsidRPr="003331EF">
              <w:rPr>
                <w:bCs/>
                <w:iCs/>
                <w:spacing w:val="-5"/>
              </w:rPr>
              <w:t xml:space="preserve"> </w:t>
            </w:r>
            <w:proofErr w:type="spellStart"/>
            <w:r w:rsidRPr="003331EF">
              <w:rPr>
                <w:bCs/>
                <w:iCs/>
                <w:spacing w:val="-5"/>
              </w:rPr>
              <w:t>Krüptovarateenuse</w:t>
            </w:r>
            <w:proofErr w:type="spellEnd"/>
            <w:r w:rsidRPr="003331EF">
              <w:rPr>
                <w:bCs/>
                <w:iCs/>
                <w:spacing w:val="-5"/>
              </w:rPr>
              <w:t xml:space="preserve"> osutaja tegevuse korrapärane lõpetamine</w:t>
            </w:r>
          </w:p>
        </w:tc>
        <w:tc>
          <w:tcPr>
            <w:tcW w:w="3020" w:type="dxa"/>
            <w:tcBorders>
              <w:top w:val="single" w:sz="4" w:space="0" w:color="auto"/>
              <w:left w:val="single" w:sz="4" w:space="0" w:color="auto"/>
              <w:bottom w:val="single" w:sz="4" w:space="0" w:color="auto"/>
              <w:right w:val="single" w:sz="4" w:space="0" w:color="auto"/>
            </w:tcBorders>
          </w:tcPr>
          <w:p w14:paraId="60999D94" w14:textId="77777777" w:rsidR="00EA3901" w:rsidRPr="003331EF" w:rsidRDefault="00EA3901" w:rsidP="003331EF">
            <w:pPr>
              <w:spacing w:before="0"/>
              <w:rPr>
                <w:bCs/>
                <w:iCs/>
                <w:spacing w:val="-5"/>
                <w:highlight w:val="yellow"/>
              </w:rPr>
            </w:pPr>
          </w:p>
        </w:tc>
        <w:tc>
          <w:tcPr>
            <w:tcW w:w="3021" w:type="dxa"/>
            <w:tcBorders>
              <w:top w:val="single" w:sz="4" w:space="0" w:color="auto"/>
              <w:left w:val="single" w:sz="4" w:space="0" w:color="auto"/>
              <w:bottom w:val="single" w:sz="4" w:space="0" w:color="auto"/>
              <w:right w:val="single" w:sz="4" w:space="0" w:color="auto"/>
            </w:tcBorders>
          </w:tcPr>
          <w:p w14:paraId="003F2477" w14:textId="05CC50AC" w:rsidR="00EA3901" w:rsidRPr="003331EF" w:rsidRDefault="00070B7B" w:rsidP="003331EF">
            <w:pPr>
              <w:spacing w:before="0"/>
              <w:rPr>
                <w:bCs/>
                <w:iCs/>
                <w:spacing w:val="-5"/>
                <w:highlight w:val="yellow"/>
              </w:rPr>
            </w:pPr>
            <w:r w:rsidRPr="003331EF">
              <w:rPr>
                <w:bCs/>
                <w:iCs/>
                <w:spacing w:val="-5"/>
              </w:rPr>
              <w:t xml:space="preserve">Kehtiv </w:t>
            </w:r>
            <w:proofErr w:type="spellStart"/>
            <w:r w:rsidRPr="003331EF">
              <w:rPr>
                <w:bCs/>
                <w:iCs/>
                <w:spacing w:val="-5"/>
              </w:rPr>
              <w:t>RahaPTS</w:t>
            </w:r>
            <w:proofErr w:type="spellEnd"/>
            <w:r w:rsidRPr="003331EF">
              <w:rPr>
                <w:bCs/>
                <w:iCs/>
                <w:spacing w:val="-5"/>
              </w:rPr>
              <w:t xml:space="preserve"> ei reguleeri teenuse korrapärast lõpetamist.</w:t>
            </w:r>
          </w:p>
        </w:tc>
      </w:tr>
      <w:tr w:rsidR="003331EF" w:rsidRPr="003331EF" w14:paraId="1763F34A"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2823A29A" w14:textId="77777777" w:rsidR="00EA3901" w:rsidRPr="003331EF" w:rsidRDefault="00EA3901" w:rsidP="003331EF">
            <w:pPr>
              <w:spacing w:before="0"/>
              <w:rPr>
                <w:b/>
                <w:iCs/>
                <w:spacing w:val="-5"/>
              </w:rPr>
            </w:pPr>
            <w:r w:rsidRPr="003331EF">
              <w:rPr>
                <w:b/>
                <w:iCs/>
                <w:spacing w:val="-5"/>
              </w:rPr>
              <w:t>Art 75:</w:t>
            </w:r>
            <w:r w:rsidRPr="003331EF">
              <w:rPr>
                <w:bCs/>
                <w:iCs/>
                <w:spacing w:val="-5"/>
              </w:rPr>
              <w:t xml:space="preserve"> </w:t>
            </w:r>
            <w:proofErr w:type="spellStart"/>
            <w:r w:rsidRPr="003331EF">
              <w:rPr>
                <w:bCs/>
                <w:iCs/>
                <w:spacing w:val="-5"/>
              </w:rPr>
              <w:t>Krüptovara</w:t>
            </w:r>
            <w:proofErr w:type="spellEnd"/>
            <w:r w:rsidRPr="003331EF">
              <w:rPr>
                <w:bCs/>
                <w:iCs/>
                <w:spacing w:val="-5"/>
              </w:rPr>
              <w:t xml:space="preserve"> hoidmine ja haldamine kliendi nimel</w:t>
            </w:r>
          </w:p>
        </w:tc>
        <w:tc>
          <w:tcPr>
            <w:tcW w:w="3020" w:type="dxa"/>
            <w:tcBorders>
              <w:top w:val="single" w:sz="4" w:space="0" w:color="auto"/>
              <w:left w:val="single" w:sz="4" w:space="0" w:color="auto"/>
              <w:bottom w:val="single" w:sz="4" w:space="0" w:color="auto"/>
              <w:right w:val="single" w:sz="4" w:space="0" w:color="auto"/>
            </w:tcBorders>
          </w:tcPr>
          <w:p w14:paraId="7A21BABA" w14:textId="77777777" w:rsidR="00EA3901" w:rsidRPr="003331EF" w:rsidRDefault="00EA3901" w:rsidP="003331EF">
            <w:pPr>
              <w:spacing w:before="0"/>
              <w:rPr>
                <w:bCs/>
                <w:iCs/>
                <w:spacing w:val="-5"/>
                <w:highlight w:val="yellow"/>
              </w:rPr>
            </w:pPr>
          </w:p>
        </w:tc>
        <w:tc>
          <w:tcPr>
            <w:tcW w:w="3021" w:type="dxa"/>
            <w:tcBorders>
              <w:top w:val="single" w:sz="4" w:space="0" w:color="auto"/>
              <w:left w:val="single" w:sz="4" w:space="0" w:color="auto"/>
              <w:bottom w:val="single" w:sz="4" w:space="0" w:color="auto"/>
              <w:right w:val="single" w:sz="4" w:space="0" w:color="auto"/>
            </w:tcBorders>
          </w:tcPr>
          <w:p w14:paraId="7B055A3E" w14:textId="62E0176D" w:rsidR="00EA3901" w:rsidRPr="003331EF" w:rsidRDefault="00070B7B" w:rsidP="003331EF">
            <w:pPr>
              <w:spacing w:before="0"/>
              <w:rPr>
                <w:bCs/>
                <w:iCs/>
                <w:spacing w:val="-5"/>
                <w:highlight w:val="yellow"/>
              </w:rPr>
            </w:pPr>
            <w:r w:rsidRPr="003331EF">
              <w:rPr>
                <w:bCs/>
                <w:iCs/>
                <w:spacing w:val="-5"/>
              </w:rPr>
              <w:t xml:space="preserve">Kehtiv </w:t>
            </w:r>
            <w:proofErr w:type="spellStart"/>
            <w:r w:rsidRPr="003331EF">
              <w:rPr>
                <w:bCs/>
                <w:iCs/>
                <w:spacing w:val="-5"/>
              </w:rPr>
              <w:t>RahaPTS</w:t>
            </w:r>
            <w:proofErr w:type="spellEnd"/>
            <w:r w:rsidRPr="003331EF">
              <w:rPr>
                <w:bCs/>
                <w:iCs/>
                <w:spacing w:val="-5"/>
              </w:rPr>
              <w:t xml:space="preserve"> ei reguleeri </w:t>
            </w:r>
            <w:proofErr w:type="spellStart"/>
            <w:r w:rsidRPr="003331EF">
              <w:rPr>
                <w:bCs/>
                <w:iCs/>
                <w:spacing w:val="-5"/>
              </w:rPr>
              <w:t>krüptovara</w:t>
            </w:r>
            <w:proofErr w:type="spellEnd"/>
            <w:r w:rsidRPr="003331EF">
              <w:rPr>
                <w:bCs/>
                <w:iCs/>
                <w:spacing w:val="-5"/>
              </w:rPr>
              <w:t xml:space="preserve"> hoidmist ja haldamist kliendi nimel.</w:t>
            </w:r>
          </w:p>
        </w:tc>
      </w:tr>
      <w:tr w:rsidR="003331EF" w:rsidRPr="003331EF" w14:paraId="1806C856"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70790D9C" w14:textId="77777777" w:rsidR="00EA3901" w:rsidRPr="003331EF" w:rsidRDefault="00EA3901" w:rsidP="003331EF">
            <w:pPr>
              <w:spacing w:before="0"/>
              <w:rPr>
                <w:b/>
                <w:iCs/>
                <w:spacing w:val="-5"/>
              </w:rPr>
            </w:pPr>
            <w:r w:rsidRPr="003331EF">
              <w:rPr>
                <w:b/>
                <w:iCs/>
                <w:spacing w:val="-5"/>
              </w:rPr>
              <w:t>Art 76:</w:t>
            </w:r>
            <w:r w:rsidRPr="003331EF">
              <w:rPr>
                <w:bCs/>
                <w:iCs/>
                <w:spacing w:val="-5"/>
              </w:rPr>
              <w:t xml:space="preserve"> </w:t>
            </w:r>
            <w:proofErr w:type="spellStart"/>
            <w:r w:rsidRPr="003331EF">
              <w:rPr>
                <w:bCs/>
                <w:iCs/>
                <w:spacing w:val="-5"/>
              </w:rPr>
              <w:t>Krüptovara</w:t>
            </w:r>
            <w:proofErr w:type="spellEnd"/>
            <w:r w:rsidRPr="003331EF">
              <w:rPr>
                <w:bCs/>
                <w:iCs/>
                <w:spacing w:val="-5"/>
              </w:rPr>
              <w:t xml:space="preserve"> kauplemisplatvormi korraldamine</w:t>
            </w:r>
          </w:p>
        </w:tc>
        <w:tc>
          <w:tcPr>
            <w:tcW w:w="3020" w:type="dxa"/>
            <w:tcBorders>
              <w:top w:val="single" w:sz="4" w:space="0" w:color="auto"/>
              <w:left w:val="single" w:sz="4" w:space="0" w:color="auto"/>
              <w:bottom w:val="single" w:sz="4" w:space="0" w:color="auto"/>
              <w:right w:val="single" w:sz="4" w:space="0" w:color="auto"/>
            </w:tcBorders>
          </w:tcPr>
          <w:p w14:paraId="6F0C0E8F" w14:textId="77777777" w:rsidR="00EA3901" w:rsidRPr="003331EF" w:rsidRDefault="00EA3901" w:rsidP="003331EF">
            <w:pPr>
              <w:spacing w:before="0"/>
              <w:rPr>
                <w:bCs/>
                <w:iCs/>
                <w:spacing w:val="-5"/>
                <w:highlight w:val="yellow"/>
              </w:rPr>
            </w:pPr>
          </w:p>
        </w:tc>
        <w:tc>
          <w:tcPr>
            <w:tcW w:w="3021" w:type="dxa"/>
            <w:tcBorders>
              <w:top w:val="single" w:sz="4" w:space="0" w:color="auto"/>
              <w:left w:val="single" w:sz="4" w:space="0" w:color="auto"/>
              <w:bottom w:val="single" w:sz="4" w:space="0" w:color="auto"/>
              <w:right w:val="single" w:sz="4" w:space="0" w:color="auto"/>
            </w:tcBorders>
          </w:tcPr>
          <w:p w14:paraId="3C976B93" w14:textId="1D25842D" w:rsidR="00EA3901" w:rsidRPr="003331EF" w:rsidRDefault="00070B7B" w:rsidP="003331EF">
            <w:pPr>
              <w:spacing w:before="0"/>
              <w:rPr>
                <w:bCs/>
                <w:iCs/>
                <w:spacing w:val="-5"/>
                <w:highlight w:val="yellow"/>
              </w:rPr>
            </w:pPr>
            <w:r w:rsidRPr="003331EF">
              <w:rPr>
                <w:bCs/>
                <w:iCs/>
                <w:spacing w:val="-5"/>
              </w:rPr>
              <w:t xml:space="preserve">Kehtiv </w:t>
            </w:r>
            <w:proofErr w:type="spellStart"/>
            <w:r w:rsidRPr="003331EF">
              <w:rPr>
                <w:bCs/>
                <w:iCs/>
                <w:spacing w:val="-5"/>
              </w:rPr>
              <w:t>RahaPTS</w:t>
            </w:r>
            <w:proofErr w:type="spellEnd"/>
            <w:r w:rsidRPr="003331EF">
              <w:rPr>
                <w:bCs/>
                <w:iCs/>
                <w:spacing w:val="-5"/>
              </w:rPr>
              <w:t xml:space="preserve"> ei reguleeri </w:t>
            </w:r>
            <w:proofErr w:type="spellStart"/>
            <w:r w:rsidRPr="003331EF">
              <w:rPr>
                <w:bCs/>
                <w:iCs/>
                <w:spacing w:val="-5"/>
              </w:rPr>
              <w:t>krüptovara</w:t>
            </w:r>
            <w:proofErr w:type="spellEnd"/>
            <w:r w:rsidRPr="003331EF">
              <w:rPr>
                <w:bCs/>
                <w:iCs/>
                <w:spacing w:val="-5"/>
              </w:rPr>
              <w:t xml:space="preserve"> kauplemisplatvormi korraldamist.</w:t>
            </w:r>
          </w:p>
        </w:tc>
      </w:tr>
      <w:tr w:rsidR="003331EF" w:rsidRPr="003331EF" w14:paraId="37CB0F2B"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57404E3A" w14:textId="77777777" w:rsidR="00EA3901" w:rsidRPr="003331EF" w:rsidRDefault="00EA3901" w:rsidP="003331EF">
            <w:pPr>
              <w:spacing w:before="0"/>
              <w:rPr>
                <w:b/>
                <w:iCs/>
                <w:spacing w:val="-5"/>
              </w:rPr>
            </w:pPr>
            <w:r w:rsidRPr="003331EF">
              <w:rPr>
                <w:b/>
                <w:iCs/>
                <w:spacing w:val="-5"/>
              </w:rPr>
              <w:t>Art 77:</w:t>
            </w:r>
            <w:r w:rsidRPr="003331EF">
              <w:rPr>
                <w:bCs/>
                <w:iCs/>
                <w:spacing w:val="-5"/>
              </w:rPr>
              <w:t xml:space="preserve"> </w:t>
            </w:r>
            <w:proofErr w:type="spellStart"/>
            <w:r w:rsidRPr="003331EF">
              <w:rPr>
                <w:bCs/>
                <w:iCs/>
                <w:spacing w:val="-5"/>
              </w:rPr>
              <w:t>Krüptovara</w:t>
            </w:r>
            <w:proofErr w:type="spellEnd"/>
            <w:r w:rsidRPr="003331EF">
              <w:rPr>
                <w:bCs/>
                <w:iCs/>
                <w:spacing w:val="-5"/>
              </w:rPr>
              <w:t xml:space="preserve"> vahetamine raha või muu </w:t>
            </w:r>
            <w:proofErr w:type="spellStart"/>
            <w:r w:rsidRPr="003331EF">
              <w:rPr>
                <w:bCs/>
                <w:iCs/>
                <w:spacing w:val="-5"/>
              </w:rPr>
              <w:t>krüptovara</w:t>
            </w:r>
            <w:proofErr w:type="spellEnd"/>
            <w:r w:rsidRPr="003331EF">
              <w:rPr>
                <w:bCs/>
                <w:iCs/>
                <w:spacing w:val="-5"/>
              </w:rPr>
              <w:t xml:space="preserve"> vastu</w:t>
            </w:r>
          </w:p>
        </w:tc>
        <w:tc>
          <w:tcPr>
            <w:tcW w:w="3020" w:type="dxa"/>
            <w:tcBorders>
              <w:top w:val="single" w:sz="4" w:space="0" w:color="auto"/>
              <w:left w:val="single" w:sz="4" w:space="0" w:color="auto"/>
              <w:bottom w:val="single" w:sz="4" w:space="0" w:color="auto"/>
              <w:right w:val="single" w:sz="4" w:space="0" w:color="auto"/>
            </w:tcBorders>
          </w:tcPr>
          <w:p w14:paraId="5905EFBE" w14:textId="77777777" w:rsidR="00EA3901" w:rsidRPr="003331EF" w:rsidRDefault="00EA3901" w:rsidP="003331EF">
            <w:pPr>
              <w:spacing w:before="0"/>
              <w:rPr>
                <w:bCs/>
                <w:iCs/>
                <w:spacing w:val="-5"/>
                <w:highlight w:val="yellow"/>
              </w:rPr>
            </w:pPr>
          </w:p>
        </w:tc>
        <w:tc>
          <w:tcPr>
            <w:tcW w:w="3021" w:type="dxa"/>
            <w:tcBorders>
              <w:top w:val="single" w:sz="4" w:space="0" w:color="auto"/>
              <w:left w:val="single" w:sz="4" w:space="0" w:color="auto"/>
              <w:bottom w:val="single" w:sz="4" w:space="0" w:color="auto"/>
              <w:right w:val="single" w:sz="4" w:space="0" w:color="auto"/>
            </w:tcBorders>
          </w:tcPr>
          <w:p w14:paraId="53CB42B5" w14:textId="6EE1E731" w:rsidR="00EA3901" w:rsidRPr="003331EF" w:rsidRDefault="00070B7B" w:rsidP="003331EF">
            <w:pPr>
              <w:spacing w:before="0"/>
              <w:rPr>
                <w:bCs/>
                <w:iCs/>
                <w:spacing w:val="-5"/>
                <w:highlight w:val="yellow"/>
              </w:rPr>
            </w:pPr>
            <w:r w:rsidRPr="003331EF">
              <w:rPr>
                <w:bCs/>
                <w:iCs/>
                <w:spacing w:val="-5"/>
              </w:rPr>
              <w:t xml:space="preserve">Kehtiv </w:t>
            </w:r>
            <w:proofErr w:type="spellStart"/>
            <w:r w:rsidRPr="003331EF">
              <w:rPr>
                <w:bCs/>
                <w:iCs/>
                <w:spacing w:val="-5"/>
              </w:rPr>
              <w:t>RahaPTS</w:t>
            </w:r>
            <w:proofErr w:type="spellEnd"/>
            <w:r w:rsidRPr="003331EF">
              <w:rPr>
                <w:bCs/>
                <w:iCs/>
                <w:spacing w:val="-5"/>
              </w:rPr>
              <w:t xml:space="preserve"> ei reguleeri </w:t>
            </w:r>
            <w:proofErr w:type="spellStart"/>
            <w:r w:rsidRPr="003331EF">
              <w:rPr>
                <w:bCs/>
                <w:iCs/>
                <w:spacing w:val="-5"/>
              </w:rPr>
              <w:t>kürotovara</w:t>
            </w:r>
            <w:proofErr w:type="spellEnd"/>
            <w:r w:rsidRPr="003331EF">
              <w:rPr>
                <w:bCs/>
                <w:iCs/>
                <w:spacing w:val="-5"/>
              </w:rPr>
              <w:t xml:space="preserve"> vahetamist raha või muu </w:t>
            </w:r>
            <w:proofErr w:type="spellStart"/>
            <w:r w:rsidRPr="003331EF">
              <w:rPr>
                <w:bCs/>
                <w:iCs/>
                <w:spacing w:val="-5"/>
              </w:rPr>
              <w:t>krüptovara</w:t>
            </w:r>
            <w:proofErr w:type="spellEnd"/>
            <w:r w:rsidRPr="003331EF">
              <w:rPr>
                <w:bCs/>
                <w:iCs/>
                <w:spacing w:val="-5"/>
              </w:rPr>
              <w:t xml:space="preserve"> vastu.</w:t>
            </w:r>
          </w:p>
        </w:tc>
      </w:tr>
      <w:tr w:rsidR="003331EF" w:rsidRPr="003331EF" w14:paraId="5B3CED95"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0411B04D" w14:textId="77777777" w:rsidR="00EA3901" w:rsidRPr="003331EF" w:rsidRDefault="00EA3901" w:rsidP="003331EF">
            <w:pPr>
              <w:spacing w:before="0"/>
              <w:rPr>
                <w:b/>
                <w:iCs/>
                <w:spacing w:val="-5"/>
              </w:rPr>
            </w:pPr>
            <w:r w:rsidRPr="003331EF">
              <w:rPr>
                <w:b/>
                <w:iCs/>
                <w:spacing w:val="-5"/>
              </w:rPr>
              <w:t>Art 78:</w:t>
            </w:r>
            <w:r w:rsidRPr="003331EF">
              <w:rPr>
                <w:bCs/>
                <w:iCs/>
                <w:spacing w:val="-5"/>
              </w:rPr>
              <w:t xml:space="preserve"> </w:t>
            </w:r>
            <w:proofErr w:type="spellStart"/>
            <w:r w:rsidRPr="003331EF">
              <w:rPr>
                <w:bCs/>
                <w:iCs/>
                <w:spacing w:val="-5"/>
              </w:rPr>
              <w:t>Krüptovaraga</w:t>
            </w:r>
            <w:proofErr w:type="spellEnd"/>
            <w:r w:rsidRPr="003331EF">
              <w:rPr>
                <w:bCs/>
                <w:iCs/>
                <w:spacing w:val="-5"/>
              </w:rPr>
              <w:t xml:space="preserve"> seotud korralduste täitmine kliendi nimel</w:t>
            </w:r>
          </w:p>
        </w:tc>
        <w:tc>
          <w:tcPr>
            <w:tcW w:w="3020" w:type="dxa"/>
            <w:tcBorders>
              <w:top w:val="single" w:sz="4" w:space="0" w:color="auto"/>
              <w:left w:val="single" w:sz="4" w:space="0" w:color="auto"/>
              <w:bottom w:val="single" w:sz="4" w:space="0" w:color="auto"/>
              <w:right w:val="single" w:sz="4" w:space="0" w:color="auto"/>
            </w:tcBorders>
          </w:tcPr>
          <w:p w14:paraId="35A53EFC" w14:textId="77777777" w:rsidR="00EA3901" w:rsidRPr="003331EF" w:rsidRDefault="00EA3901" w:rsidP="003331EF">
            <w:pPr>
              <w:spacing w:before="0"/>
              <w:rPr>
                <w:bCs/>
                <w:iCs/>
                <w:spacing w:val="-5"/>
                <w:highlight w:val="yellow"/>
              </w:rPr>
            </w:pPr>
          </w:p>
        </w:tc>
        <w:tc>
          <w:tcPr>
            <w:tcW w:w="3021" w:type="dxa"/>
            <w:tcBorders>
              <w:top w:val="single" w:sz="4" w:space="0" w:color="auto"/>
              <w:left w:val="single" w:sz="4" w:space="0" w:color="auto"/>
              <w:bottom w:val="single" w:sz="4" w:space="0" w:color="auto"/>
              <w:right w:val="single" w:sz="4" w:space="0" w:color="auto"/>
            </w:tcBorders>
          </w:tcPr>
          <w:p w14:paraId="1F6E0830" w14:textId="48B83162" w:rsidR="00EA3901" w:rsidRPr="003331EF" w:rsidRDefault="00070B7B" w:rsidP="003331EF">
            <w:pPr>
              <w:spacing w:before="0"/>
              <w:rPr>
                <w:bCs/>
                <w:iCs/>
                <w:spacing w:val="-5"/>
                <w:highlight w:val="yellow"/>
              </w:rPr>
            </w:pPr>
            <w:r w:rsidRPr="003331EF">
              <w:rPr>
                <w:bCs/>
                <w:iCs/>
                <w:spacing w:val="-5"/>
              </w:rPr>
              <w:t xml:space="preserve">Kehtiv </w:t>
            </w:r>
            <w:proofErr w:type="spellStart"/>
            <w:r w:rsidRPr="003331EF">
              <w:rPr>
                <w:bCs/>
                <w:iCs/>
                <w:spacing w:val="-5"/>
              </w:rPr>
              <w:t>RahaPTS</w:t>
            </w:r>
            <w:proofErr w:type="spellEnd"/>
            <w:r w:rsidRPr="003331EF">
              <w:rPr>
                <w:bCs/>
                <w:iCs/>
                <w:spacing w:val="-5"/>
              </w:rPr>
              <w:t xml:space="preserve"> ei reguleeri </w:t>
            </w:r>
            <w:proofErr w:type="spellStart"/>
            <w:r w:rsidRPr="003331EF">
              <w:rPr>
                <w:bCs/>
                <w:iCs/>
                <w:spacing w:val="-5"/>
              </w:rPr>
              <w:t>krüptovaraga</w:t>
            </w:r>
            <w:proofErr w:type="spellEnd"/>
            <w:r w:rsidRPr="003331EF">
              <w:rPr>
                <w:bCs/>
                <w:iCs/>
                <w:spacing w:val="-5"/>
              </w:rPr>
              <w:t xml:space="preserve"> seotud korralduste täitmist kliendi nimel.</w:t>
            </w:r>
          </w:p>
        </w:tc>
      </w:tr>
      <w:tr w:rsidR="003331EF" w:rsidRPr="003331EF" w14:paraId="5F988C9E"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4B73464B" w14:textId="77777777" w:rsidR="00EA3901" w:rsidRPr="003331EF" w:rsidRDefault="00EA3901" w:rsidP="003331EF">
            <w:pPr>
              <w:spacing w:before="0"/>
              <w:rPr>
                <w:b/>
                <w:iCs/>
                <w:spacing w:val="-5"/>
              </w:rPr>
            </w:pPr>
            <w:r w:rsidRPr="003331EF">
              <w:rPr>
                <w:b/>
                <w:iCs/>
                <w:spacing w:val="-5"/>
              </w:rPr>
              <w:t>Art 79:</w:t>
            </w:r>
            <w:r w:rsidRPr="003331EF">
              <w:rPr>
                <w:bCs/>
                <w:iCs/>
                <w:spacing w:val="-5"/>
              </w:rPr>
              <w:t xml:space="preserve"> </w:t>
            </w:r>
            <w:proofErr w:type="spellStart"/>
            <w:r w:rsidRPr="003331EF">
              <w:rPr>
                <w:bCs/>
                <w:iCs/>
                <w:spacing w:val="-5"/>
              </w:rPr>
              <w:t>Krüptovara</w:t>
            </w:r>
            <w:proofErr w:type="spellEnd"/>
            <w:r w:rsidRPr="003331EF">
              <w:rPr>
                <w:bCs/>
                <w:iCs/>
                <w:spacing w:val="-5"/>
              </w:rPr>
              <w:t xml:space="preserve"> pakkumise korraldamine</w:t>
            </w:r>
          </w:p>
        </w:tc>
        <w:tc>
          <w:tcPr>
            <w:tcW w:w="3020" w:type="dxa"/>
            <w:tcBorders>
              <w:top w:val="single" w:sz="4" w:space="0" w:color="auto"/>
              <w:left w:val="single" w:sz="4" w:space="0" w:color="auto"/>
              <w:bottom w:val="single" w:sz="4" w:space="0" w:color="auto"/>
              <w:right w:val="single" w:sz="4" w:space="0" w:color="auto"/>
            </w:tcBorders>
          </w:tcPr>
          <w:p w14:paraId="205C8AEF" w14:textId="77777777" w:rsidR="00EA3901" w:rsidRPr="003331EF" w:rsidRDefault="00EA3901" w:rsidP="003331EF">
            <w:pPr>
              <w:spacing w:before="0"/>
              <w:rPr>
                <w:bCs/>
                <w:iCs/>
                <w:spacing w:val="-5"/>
                <w:highlight w:val="yellow"/>
              </w:rPr>
            </w:pPr>
          </w:p>
        </w:tc>
        <w:tc>
          <w:tcPr>
            <w:tcW w:w="3021" w:type="dxa"/>
            <w:tcBorders>
              <w:top w:val="single" w:sz="4" w:space="0" w:color="auto"/>
              <w:left w:val="single" w:sz="4" w:space="0" w:color="auto"/>
              <w:bottom w:val="single" w:sz="4" w:space="0" w:color="auto"/>
              <w:right w:val="single" w:sz="4" w:space="0" w:color="auto"/>
            </w:tcBorders>
          </w:tcPr>
          <w:p w14:paraId="194AA494" w14:textId="45296C26" w:rsidR="00EA3901" w:rsidRPr="003331EF" w:rsidRDefault="00070B7B" w:rsidP="003331EF">
            <w:pPr>
              <w:spacing w:before="0"/>
              <w:rPr>
                <w:bCs/>
                <w:iCs/>
                <w:spacing w:val="-5"/>
                <w:highlight w:val="yellow"/>
              </w:rPr>
            </w:pPr>
            <w:r w:rsidRPr="003331EF">
              <w:rPr>
                <w:bCs/>
                <w:iCs/>
                <w:spacing w:val="-5"/>
              </w:rPr>
              <w:t xml:space="preserve">Kehtiv </w:t>
            </w:r>
            <w:proofErr w:type="spellStart"/>
            <w:r w:rsidRPr="003331EF">
              <w:rPr>
                <w:bCs/>
                <w:iCs/>
                <w:spacing w:val="-5"/>
              </w:rPr>
              <w:t>RahaPTS</w:t>
            </w:r>
            <w:proofErr w:type="spellEnd"/>
            <w:r w:rsidRPr="003331EF">
              <w:rPr>
                <w:bCs/>
                <w:iCs/>
                <w:spacing w:val="-5"/>
              </w:rPr>
              <w:t xml:space="preserve"> ei reguleeri </w:t>
            </w:r>
            <w:proofErr w:type="spellStart"/>
            <w:r w:rsidRPr="003331EF">
              <w:rPr>
                <w:bCs/>
                <w:iCs/>
                <w:spacing w:val="-5"/>
              </w:rPr>
              <w:t>krüptovara</w:t>
            </w:r>
            <w:proofErr w:type="spellEnd"/>
            <w:r w:rsidRPr="003331EF">
              <w:rPr>
                <w:bCs/>
                <w:iCs/>
                <w:spacing w:val="-5"/>
              </w:rPr>
              <w:t xml:space="preserve"> pakkumise korraldamist.</w:t>
            </w:r>
          </w:p>
        </w:tc>
      </w:tr>
      <w:tr w:rsidR="003331EF" w:rsidRPr="003331EF" w14:paraId="2DC15350"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7A5774D8" w14:textId="77777777" w:rsidR="00EA3901" w:rsidRPr="003331EF" w:rsidRDefault="00EA3901" w:rsidP="003331EF">
            <w:pPr>
              <w:spacing w:before="0"/>
              <w:rPr>
                <w:b/>
                <w:iCs/>
                <w:spacing w:val="-5"/>
              </w:rPr>
            </w:pPr>
            <w:proofErr w:type="spellStart"/>
            <w:r w:rsidRPr="003331EF">
              <w:rPr>
                <w:b/>
                <w:iCs/>
                <w:spacing w:val="-5"/>
              </w:rPr>
              <w:t>Arti</w:t>
            </w:r>
            <w:proofErr w:type="spellEnd"/>
            <w:r w:rsidRPr="003331EF">
              <w:rPr>
                <w:b/>
                <w:iCs/>
                <w:spacing w:val="-5"/>
              </w:rPr>
              <w:t> 80</w:t>
            </w:r>
            <w:r w:rsidRPr="003331EF">
              <w:rPr>
                <w:bCs/>
                <w:iCs/>
                <w:spacing w:val="-5"/>
              </w:rPr>
              <w:t xml:space="preserve">: </w:t>
            </w:r>
            <w:proofErr w:type="spellStart"/>
            <w:r w:rsidRPr="003331EF">
              <w:rPr>
                <w:bCs/>
                <w:iCs/>
                <w:spacing w:val="-5"/>
              </w:rPr>
              <w:t>Krüptovaraga</w:t>
            </w:r>
            <w:proofErr w:type="spellEnd"/>
            <w:r w:rsidRPr="003331EF">
              <w:rPr>
                <w:bCs/>
                <w:iCs/>
                <w:spacing w:val="-5"/>
              </w:rPr>
              <w:t xml:space="preserve"> seotud korralduste vastuvõtmine ja edastamine kliendi nimel</w:t>
            </w:r>
          </w:p>
        </w:tc>
        <w:tc>
          <w:tcPr>
            <w:tcW w:w="3020" w:type="dxa"/>
            <w:tcBorders>
              <w:top w:val="single" w:sz="4" w:space="0" w:color="auto"/>
              <w:left w:val="single" w:sz="4" w:space="0" w:color="auto"/>
              <w:bottom w:val="single" w:sz="4" w:space="0" w:color="auto"/>
              <w:right w:val="single" w:sz="4" w:space="0" w:color="auto"/>
            </w:tcBorders>
          </w:tcPr>
          <w:p w14:paraId="082A6E72" w14:textId="77777777" w:rsidR="00EA3901" w:rsidRPr="003331EF" w:rsidRDefault="00EA3901" w:rsidP="003331EF">
            <w:pPr>
              <w:spacing w:before="0"/>
              <w:rPr>
                <w:bCs/>
                <w:iCs/>
                <w:spacing w:val="-5"/>
                <w:highlight w:val="yellow"/>
              </w:rPr>
            </w:pPr>
          </w:p>
        </w:tc>
        <w:tc>
          <w:tcPr>
            <w:tcW w:w="3021" w:type="dxa"/>
            <w:tcBorders>
              <w:top w:val="single" w:sz="4" w:space="0" w:color="auto"/>
              <w:left w:val="single" w:sz="4" w:space="0" w:color="auto"/>
              <w:bottom w:val="single" w:sz="4" w:space="0" w:color="auto"/>
              <w:right w:val="single" w:sz="4" w:space="0" w:color="auto"/>
            </w:tcBorders>
          </w:tcPr>
          <w:p w14:paraId="5EDBB526" w14:textId="5F278D33" w:rsidR="00EA3901" w:rsidRPr="003331EF" w:rsidRDefault="00070B7B" w:rsidP="003331EF">
            <w:pPr>
              <w:spacing w:before="0"/>
              <w:rPr>
                <w:bCs/>
                <w:iCs/>
                <w:spacing w:val="-5"/>
                <w:highlight w:val="yellow"/>
              </w:rPr>
            </w:pPr>
            <w:r w:rsidRPr="003331EF">
              <w:rPr>
                <w:bCs/>
                <w:iCs/>
                <w:spacing w:val="-5"/>
              </w:rPr>
              <w:t xml:space="preserve">Kehtiv </w:t>
            </w:r>
            <w:proofErr w:type="spellStart"/>
            <w:r w:rsidRPr="003331EF">
              <w:rPr>
                <w:bCs/>
                <w:iCs/>
                <w:spacing w:val="-5"/>
              </w:rPr>
              <w:t>RahaPTS</w:t>
            </w:r>
            <w:proofErr w:type="spellEnd"/>
            <w:r w:rsidRPr="003331EF">
              <w:rPr>
                <w:bCs/>
                <w:iCs/>
                <w:spacing w:val="-5"/>
              </w:rPr>
              <w:t xml:space="preserve"> ei reguleeri </w:t>
            </w:r>
            <w:proofErr w:type="spellStart"/>
            <w:r w:rsidRPr="003331EF">
              <w:rPr>
                <w:bCs/>
                <w:iCs/>
                <w:spacing w:val="-5"/>
              </w:rPr>
              <w:t>krüptovaraga</w:t>
            </w:r>
            <w:proofErr w:type="spellEnd"/>
            <w:r w:rsidRPr="003331EF">
              <w:rPr>
                <w:bCs/>
                <w:iCs/>
                <w:spacing w:val="-5"/>
              </w:rPr>
              <w:t xml:space="preserve"> seotud korralduste vastuvõtmist ja edastamist kliendi nimel.</w:t>
            </w:r>
          </w:p>
        </w:tc>
      </w:tr>
      <w:tr w:rsidR="003331EF" w:rsidRPr="003331EF" w14:paraId="650303E7" w14:textId="77777777" w:rsidTr="00EA3901">
        <w:tc>
          <w:tcPr>
            <w:tcW w:w="3020" w:type="dxa"/>
            <w:tcBorders>
              <w:top w:val="single" w:sz="4" w:space="0" w:color="auto"/>
              <w:left w:val="single" w:sz="4" w:space="0" w:color="auto"/>
              <w:bottom w:val="single" w:sz="4" w:space="0" w:color="auto"/>
              <w:right w:val="single" w:sz="4" w:space="0" w:color="auto"/>
            </w:tcBorders>
            <w:hideMark/>
          </w:tcPr>
          <w:p w14:paraId="32D92C37" w14:textId="77777777" w:rsidR="00EA3901" w:rsidRPr="003331EF" w:rsidRDefault="00EA3901" w:rsidP="003331EF">
            <w:pPr>
              <w:spacing w:before="0"/>
              <w:rPr>
                <w:b/>
                <w:iCs/>
                <w:spacing w:val="-5"/>
              </w:rPr>
            </w:pPr>
            <w:r w:rsidRPr="003331EF">
              <w:rPr>
                <w:b/>
                <w:iCs/>
                <w:spacing w:val="-5"/>
              </w:rPr>
              <w:t>Art 81:</w:t>
            </w:r>
            <w:r w:rsidRPr="003331EF">
              <w:rPr>
                <w:bCs/>
                <w:iCs/>
                <w:spacing w:val="-5"/>
              </w:rPr>
              <w:t xml:space="preserve"> </w:t>
            </w:r>
            <w:proofErr w:type="spellStart"/>
            <w:r w:rsidRPr="003331EF">
              <w:rPr>
                <w:bCs/>
                <w:iCs/>
                <w:spacing w:val="-5"/>
              </w:rPr>
              <w:t>Krüptovara</w:t>
            </w:r>
            <w:proofErr w:type="spellEnd"/>
            <w:r w:rsidRPr="003331EF">
              <w:rPr>
                <w:bCs/>
                <w:iCs/>
                <w:spacing w:val="-5"/>
              </w:rPr>
              <w:t xml:space="preserve"> kohta nõu andmine ja </w:t>
            </w:r>
            <w:proofErr w:type="spellStart"/>
            <w:r w:rsidRPr="003331EF">
              <w:rPr>
                <w:bCs/>
                <w:iCs/>
                <w:spacing w:val="-5"/>
              </w:rPr>
              <w:t>krüptovaraportfelli</w:t>
            </w:r>
            <w:proofErr w:type="spellEnd"/>
            <w:r w:rsidRPr="003331EF">
              <w:rPr>
                <w:bCs/>
                <w:iCs/>
                <w:spacing w:val="-5"/>
              </w:rPr>
              <w:t xml:space="preserve"> valitsemine</w:t>
            </w:r>
          </w:p>
        </w:tc>
        <w:tc>
          <w:tcPr>
            <w:tcW w:w="3020" w:type="dxa"/>
            <w:tcBorders>
              <w:top w:val="single" w:sz="4" w:space="0" w:color="auto"/>
              <w:left w:val="single" w:sz="4" w:space="0" w:color="auto"/>
              <w:bottom w:val="single" w:sz="4" w:space="0" w:color="auto"/>
              <w:right w:val="single" w:sz="4" w:space="0" w:color="auto"/>
            </w:tcBorders>
          </w:tcPr>
          <w:p w14:paraId="50820296" w14:textId="77777777" w:rsidR="00EA3901" w:rsidRPr="003331EF" w:rsidRDefault="00EA3901" w:rsidP="003331EF">
            <w:pPr>
              <w:spacing w:before="0"/>
              <w:rPr>
                <w:bCs/>
                <w:iCs/>
                <w:spacing w:val="-5"/>
                <w:highlight w:val="yellow"/>
              </w:rPr>
            </w:pPr>
          </w:p>
        </w:tc>
        <w:tc>
          <w:tcPr>
            <w:tcW w:w="3021" w:type="dxa"/>
            <w:tcBorders>
              <w:top w:val="single" w:sz="4" w:space="0" w:color="auto"/>
              <w:left w:val="single" w:sz="4" w:space="0" w:color="auto"/>
              <w:bottom w:val="single" w:sz="4" w:space="0" w:color="auto"/>
              <w:right w:val="single" w:sz="4" w:space="0" w:color="auto"/>
            </w:tcBorders>
          </w:tcPr>
          <w:p w14:paraId="26AA0EB5" w14:textId="2AC765F6" w:rsidR="00EA3901" w:rsidRPr="003331EF" w:rsidRDefault="00DA5858" w:rsidP="003331EF">
            <w:pPr>
              <w:spacing w:before="0"/>
              <w:rPr>
                <w:bCs/>
                <w:iCs/>
                <w:spacing w:val="-5"/>
                <w:highlight w:val="yellow"/>
              </w:rPr>
            </w:pPr>
            <w:r w:rsidRPr="003331EF">
              <w:rPr>
                <w:bCs/>
                <w:iCs/>
                <w:spacing w:val="-5"/>
              </w:rPr>
              <w:t xml:space="preserve">Kehtiv </w:t>
            </w:r>
            <w:proofErr w:type="spellStart"/>
            <w:r w:rsidRPr="003331EF">
              <w:rPr>
                <w:bCs/>
                <w:iCs/>
                <w:spacing w:val="-5"/>
              </w:rPr>
              <w:t>RahaPTS</w:t>
            </w:r>
            <w:proofErr w:type="spellEnd"/>
            <w:r w:rsidRPr="003331EF">
              <w:rPr>
                <w:bCs/>
                <w:iCs/>
                <w:spacing w:val="-5"/>
              </w:rPr>
              <w:t xml:space="preserve"> ei reguleeri </w:t>
            </w:r>
            <w:proofErr w:type="spellStart"/>
            <w:r w:rsidRPr="003331EF">
              <w:rPr>
                <w:bCs/>
                <w:iCs/>
                <w:spacing w:val="-5"/>
              </w:rPr>
              <w:t>krüptovara</w:t>
            </w:r>
            <w:proofErr w:type="spellEnd"/>
            <w:r w:rsidRPr="003331EF">
              <w:rPr>
                <w:bCs/>
                <w:iCs/>
                <w:spacing w:val="-5"/>
              </w:rPr>
              <w:t xml:space="preserve"> kohta nõu andmist ja portfelli valitsemist. </w:t>
            </w:r>
          </w:p>
        </w:tc>
      </w:tr>
      <w:tr w:rsidR="00EA3901" w:rsidRPr="003331EF" w14:paraId="33A43F52" w14:textId="77777777" w:rsidTr="00EA3901">
        <w:tc>
          <w:tcPr>
            <w:tcW w:w="3020" w:type="dxa"/>
            <w:tcBorders>
              <w:top w:val="single" w:sz="4" w:space="0" w:color="auto"/>
              <w:left w:val="single" w:sz="4" w:space="0" w:color="auto"/>
              <w:bottom w:val="single" w:sz="4" w:space="0" w:color="auto"/>
              <w:right w:val="single" w:sz="4" w:space="0" w:color="auto"/>
            </w:tcBorders>
          </w:tcPr>
          <w:p w14:paraId="3FB9A011" w14:textId="77777777" w:rsidR="00EA3901" w:rsidRPr="003331EF" w:rsidRDefault="00EA3901" w:rsidP="003331EF">
            <w:pPr>
              <w:spacing w:before="0"/>
              <w:rPr>
                <w:bCs/>
                <w:iCs/>
                <w:spacing w:val="-5"/>
              </w:rPr>
            </w:pPr>
            <w:r w:rsidRPr="003331EF">
              <w:rPr>
                <w:b/>
                <w:iCs/>
                <w:spacing w:val="-5"/>
              </w:rPr>
              <w:t>Art 82:</w:t>
            </w:r>
            <w:r w:rsidRPr="003331EF">
              <w:rPr>
                <w:bCs/>
                <w:iCs/>
                <w:spacing w:val="-5"/>
              </w:rPr>
              <w:t xml:space="preserve"> </w:t>
            </w:r>
            <w:proofErr w:type="spellStart"/>
            <w:r w:rsidRPr="003331EF">
              <w:rPr>
                <w:bCs/>
                <w:iCs/>
                <w:spacing w:val="-5"/>
              </w:rPr>
              <w:t>Krüptovaraülekande</w:t>
            </w:r>
            <w:proofErr w:type="spellEnd"/>
            <w:r w:rsidRPr="003331EF">
              <w:rPr>
                <w:bCs/>
                <w:iCs/>
                <w:spacing w:val="-5"/>
              </w:rPr>
              <w:t xml:space="preserve"> teenuse osutamine kliendi nimel.</w:t>
            </w:r>
          </w:p>
          <w:p w14:paraId="4F3E7C46" w14:textId="77777777" w:rsidR="00EA3901" w:rsidRPr="003331EF" w:rsidRDefault="00EA3901" w:rsidP="003331EF">
            <w:pPr>
              <w:spacing w:before="0"/>
              <w:rPr>
                <w:b/>
                <w:iCs/>
                <w:spacing w:val="-5"/>
              </w:rPr>
            </w:pPr>
          </w:p>
        </w:tc>
        <w:tc>
          <w:tcPr>
            <w:tcW w:w="3020" w:type="dxa"/>
            <w:tcBorders>
              <w:top w:val="single" w:sz="4" w:space="0" w:color="auto"/>
              <w:left w:val="single" w:sz="4" w:space="0" w:color="auto"/>
              <w:bottom w:val="single" w:sz="4" w:space="0" w:color="auto"/>
              <w:right w:val="single" w:sz="4" w:space="0" w:color="auto"/>
            </w:tcBorders>
          </w:tcPr>
          <w:p w14:paraId="2B3269F0" w14:textId="77777777" w:rsidR="00EA3901" w:rsidRPr="003331EF" w:rsidRDefault="00EA3901" w:rsidP="003331EF">
            <w:pPr>
              <w:spacing w:before="0"/>
              <w:rPr>
                <w:bCs/>
                <w:iCs/>
                <w:spacing w:val="-5"/>
                <w:highlight w:val="yellow"/>
              </w:rPr>
            </w:pPr>
          </w:p>
        </w:tc>
        <w:tc>
          <w:tcPr>
            <w:tcW w:w="3021" w:type="dxa"/>
            <w:tcBorders>
              <w:top w:val="single" w:sz="4" w:space="0" w:color="auto"/>
              <w:left w:val="single" w:sz="4" w:space="0" w:color="auto"/>
              <w:bottom w:val="single" w:sz="4" w:space="0" w:color="auto"/>
              <w:right w:val="single" w:sz="4" w:space="0" w:color="auto"/>
            </w:tcBorders>
          </w:tcPr>
          <w:p w14:paraId="4816F43A" w14:textId="7AC1510A" w:rsidR="00EA3901" w:rsidRPr="003331EF" w:rsidRDefault="00DA5858" w:rsidP="003331EF">
            <w:pPr>
              <w:spacing w:before="0"/>
              <w:rPr>
                <w:bCs/>
                <w:iCs/>
                <w:spacing w:val="-5"/>
                <w:highlight w:val="yellow"/>
              </w:rPr>
            </w:pPr>
            <w:r w:rsidRPr="003331EF">
              <w:rPr>
                <w:bCs/>
                <w:iCs/>
                <w:spacing w:val="-5"/>
              </w:rPr>
              <w:t xml:space="preserve">Kehtiv </w:t>
            </w:r>
            <w:proofErr w:type="spellStart"/>
            <w:r w:rsidRPr="003331EF">
              <w:rPr>
                <w:bCs/>
                <w:iCs/>
                <w:spacing w:val="-5"/>
              </w:rPr>
              <w:t>RahaPTS</w:t>
            </w:r>
            <w:proofErr w:type="spellEnd"/>
            <w:r w:rsidRPr="003331EF">
              <w:rPr>
                <w:bCs/>
                <w:iCs/>
                <w:spacing w:val="-5"/>
              </w:rPr>
              <w:t xml:space="preserve"> ei reguleeri teenuse osutamist kliendi nimel. </w:t>
            </w:r>
          </w:p>
        </w:tc>
      </w:tr>
    </w:tbl>
    <w:p w14:paraId="5D4B85F3" w14:textId="77777777" w:rsidR="00EA3901" w:rsidRPr="003331EF" w:rsidRDefault="00EA3901" w:rsidP="003331EF">
      <w:pPr>
        <w:spacing w:before="0"/>
        <w:rPr>
          <w:bCs/>
          <w:iCs/>
          <w:spacing w:val="-5"/>
          <w:highlight w:val="yellow"/>
          <w:lang w:eastAsia="en-US"/>
        </w:rPr>
      </w:pPr>
    </w:p>
    <w:p w14:paraId="679FD74A" w14:textId="49E3EBB1" w:rsidR="002C6394" w:rsidRPr="003331EF" w:rsidRDefault="002C6394" w:rsidP="003331EF">
      <w:pPr>
        <w:spacing w:before="0"/>
        <w:rPr>
          <w:bCs/>
          <w:iCs/>
          <w:spacing w:val="-5"/>
          <w:lang w:eastAsia="en-US"/>
        </w:rPr>
      </w:pPr>
      <w:r w:rsidRPr="003331EF">
        <w:rPr>
          <w:b/>
          <w:iCs/>
          <w:spacing w:val="-5"/>
          <w:lang w:eastAsia="en-US"/>
        </w:rPr>
        <w:t xml:space="preserve">Tabel </w:t>
      </w:r>
      <w:r w:rsidR="00E856F7" w:rsidRPr="003331EF">
        <w:rPr>
          <w:b/>
          <w:iCs/>
          <w:spacing w:val="-5"/>
          <w:lang w:eastAsia="en-US"/>
        </w:rPr>
        <w:t>2</w:t>
      </w:r>
      <w:r w:rsidRPr="003331EF">
        <w:rPr>
          <w:b/>
          <w:iCs/>
          <w:spacing w:val="-5"/>
          <w:lang w:eastAsia="en-US"/>
        </w:rPr>
        <w:t>.</w:t>
      </w:r>
      <w:r w:rsidRPr="003331EF">
        <w:rPr>
          <w:bCs/>
          <w:iCs/>
          <w:spacing w:val="-5"/>
          <w:lang w:eastAsia="en-US"/>
        </w:rPr>
        <w:t xml:space="preserve"> </w:t>
      </w:r>
      <w:proofErr w:type="spellStart"/>
      <w:r w:rsidRPr="003331EF">
        <w:rPr>
          <w:bCs/>
          <w:iCs/>
          <w:spacing w:val="-5"/>
          <w:lang w:eastAsia="en-US"/>
        </w:rPr>
        <w:t>MiCA</w:t>
      </w:r>
      <w:proofErr w:type="spellEnd"/>
      <w:r w:rsidRPr="003331EF">
        <w:rPr>
          <w:bCs/>
          <w:iCs/>
          <w:spacing w:val="-5"/>
          <w:lang w:eastAsia="en-US"/>
        </w:rPr>
        <w:t xml:space="preserve"> määruse V jaotise 2. ja 3. peatüki võrdlus kehtiva regulatsiooniga</w:t>
      </w:r>
    </w:p>
    <w:p w14:paraId="5929DF12" w14:textId="77777777" w:rsidR="002C6394" w:rsidRPr="003331EF" w:rsidRDefault="002C6394" w:rsidP="003331EF">
      <w:pPr>
        <w:spacing w:before="0"/>
        <w:rPr>
          <w:bCs/>
          <w:iCs/>
          <w:spacing w:val="-5"/>
          <w:lang w:eastAsia="en-US"/>
        </w:rPr>
      </w:pPr>
    </w:p>
    <w:p w14:paraId="711F33ED" w14:textId="5D57DCE8" w:rsidR="00A66909" w:rsidRPr="003331EF" w:rsidRDefault="00A66909" w:rsidP="003331EF">
      <w:pPr>
        <w:pStyle w:val="Loendilik"/>
        <w:numPr>
          <w:ilvl w:val="0"/>
          <w:numId w:val="37"/>
        </w:numPr>
        <w:rPr>
          <w:b/>
          <w:bCs/>
        </w:rPr>
      </w:pPr>
      <w:r w:rsidRPr="003331EF">
        <w:rPr>
          <w:b/>
          <w:bCs/>
        </w:rPr>
        <w:t>Siseteabe avalikustamisega viivitamine</w:t>
      </w:r>
    </w:p>
    <w:p w14:paraId="121B0CE7" w14:textId="77777777" w:rsidR="00A66909" w:rsidRPr="003331EF" w:rsidRDefault="00A66909" w:rsidP="003331EF">
      <w:pPr>
        <w:spacing w:before="0"/>
        <w:rPr>
          <w:lang w:val="en-GB"/>
        </w:rPr>
      </w:pPr>
    </w:p>
    <w:p w14:paraId="45E0678D" w14:textId="55E7209D" w:rsidR="00A66909" w:rsidRPr="003331EF" w:rsidRDefault="00A66909" w:rsidP="003331EF">
      <w:pPr>
        <w:spacing w:before="0"/>
        <w:rPr>
          <w:bCs/>
          <w:iCs/>
          <w:spacing w:val="-5"/>
          <w:lang w:eastAsia="en-US"/>
        </w:rPr>
      </w:pPr>
      <w:proofErr w:type="spellStart"/>
      <w:r w:rsidRPr="003331EF">
        <w:rPr>
          <w:bCs/>
          <w:iCs/>
          <w:spacing w:val="-5"/>
          <w:lang w:eastAsia="en-US"/>
        </w:rPr>
        <w:t>M</w:t>
      </w:r>
      <w:r w:rsidR="00A03096">
        <w:rPr>
          <w:bCs/>
          <w:iCs/>
          <w:spacing w:val="-5"/>
          <w:lang w:eastAsia="en-US"/>
        </w:rPr>
        <w:t>i</w:t>
      </w:r>
      <w:r w:rsidRPr="003331EF">
        <w:rPr>
          <w:bCs/>
          <w:iCs/>
          <w:spacing w:val="-5"/>
          <w:lang w:eastAsia="en-US"/>
        </w:rPr>
        <w:t>CA</w:t>
      </w:r>
      <w:proofErr w:type="spellEnd"/>
      <w:r w:rsidRPr="003331EF">
        <w:rPr>
          <w:bCs/>
          <w:iCs/>
          <w:spacing w:val="-5"/>
          <w:lang w:eastAsia="en-US"/>
        </w:rPr>
        <w:t xml:space="preserve"> määruse artikli 88 kohaselt </w:t>
      </w:r>
      <w:r w:rsidR="00F7124D" w:rsidRPr="003331EF">
        <w:rPr>
          <w:bCs/>
          <w:iCs/>
          <w:spacing w:val="-5"/>
          <w:lang w:eastAsia="en-US"/>
        </w:rPr>
        <w:t>võib</w:t>
      </w:r>
      <w:r w:rsidRPr="003331EF">
        <w:rPr>
          <w:bCs/>
          <w:iCs/>
          <w:spacing w:val="-5"/>
          <w:lang w:eastAsia="en-US"/>
        </w:rPr>
        <w:t xml:space="preserve"> </w:t>
      </w:r>
      <w:proofErr w:type="spellStart"/>
      <w:r w:rsidRPr="003331EF">
        <w:rPr>
          <w:bCs/>
          <w:iCs/>
          <w:spacing w:val="-5"/>
          <w:lang w:eastAsia="en-US"/>
        </w:rPr>
        <w:t>krüptovara</w:t>
      </w:r>
      <w:proofErr w:type="spellEnd"/>
      <w:r w:rsidRPr="003331EF">
        <w:rPr>
          <w:bCs/>
          <w:iCs/>
          <w:spacing w:val="-5"/>
          <w:lang w:eastAsia="en-US"/>
        </w:rPr>
        <w:t xml:space="preserve"> emitent, pakkuja ja kauplemisele võtmist taotlev isik </w:t>
      </w:r>
      <w:proofErr w:type="spellStart"/>
      <w:r w:rsidRPr="003331EF">
        <w:rPr>
          <w:bCs/>
          <w:iCs/>
          <w:spacing w:val="-5"/>
          <w:lang w:eastAsia="en-US"/>
        </w:rPr>
        <w:t>siseteabe</w:t>
      </w:r>
      <w:proofErr w:type="spellEnd"/>
      <w:r w:rsidRPr="003331EF">
        <w:rPr>
          <w:bCs/>
          <w:iCs/>
          <w:spacing w:val="-5"/>
          <w:lang w:eastAsia="en-US"/>
        </w:rPr>
        <w:t xml:space="preserve"> avalikustamisega teatud tingimustel viivitada. Kui ta seda teeb, peab ta sellest pädevale asutusele teada andma ja esitama kohe pärast teabe avalikustamist kirjaliku selgituse selle kohta, kuidas viivituse aluseks olevad tingimused on täidetud. </w:t>
      </w:r>
    </w:p>
    <w:p w14:paraId="623BD89F" w14:textId="77777777" w:rsidR="00A66909" w:rsidRPr="003331EF" w:rsidRDefault="00A66909" w:rsidP="003331EF">
      <w:pPr>
        <w:spacing w:before="0"/>
        <w:rPr>
          <w:bCs/>
          <w:iCs/>
          <w:spacing w:val="-5"/>
          <w:lang w:eastAsia="en-US"/>
        </w:rPr>
      </w:pPr>
    </w:p>
    <w:p w14:paraId="737315B1" w14:textId="317A2748" w:rsidR="00A66909" w:rsidRPr="003331EF" w:rsidRDefault="00F7124D" w:rsidP="003331EF">
      <w:pPr>
        <w:spacing w:before="0"/>
        <w:rPr>
          <w:bCs/>
          <w:iCs/>
          <w:spacing w:val="-5"/>
          <w:lang w:eastAsia="en-US"/>
        </w:rPr>
      </w:pPr>
      <w:r w:rsidRPr="003331EF">
        <w:rPr>
          <w:bCs/>
          <w:iCs/>
          <w:spacing w:val="-5"/>
          <w:lang w:eastAsia="en-US"/>
        </w:rPr>
        <w:t>L</w:t>
      </w:r>
      <w:r w:rsidR="00A66909" w:rsidRPr="003331EF">
        <w:rPr>
          <w:bCs/>
          <w:iCs/>
          <w:spacing w:val="-5"/>
          <w:lang w:eastAsia="en-US"/>
        </w:rPr>
        <w:t xml:space="preserve">iikmesriigid </w:t>
      </w:r>
      <w:r w:rsidRPr="003331EF">
        <w:rPr>
          <w:bCs/>
          <w:iCs/>
          <w:spacing w:val="-5"/>
          <w:lang w:eastAsia="en-US"/>
        </w:rPr>
        <w:t xml:space="preserve">võivad </w:t>
      </w:r>
      <w:r w:rsidR="00A66909" w:rsidRPr="003331EF">
        <w:rPr>
          <w:bCs/>
          <w:iCs/>
          <w:spacing w:val="-5"/>
          <w:lang w:eastAsia="en-US"/>
        </w:rPr>
        <w:t>ette näha, et selline selgitus esitatakse üksnes pädeva asutuse taotlusel.</w:t>
      </w:r>
    </w:p>
    <w:p w14:paraId="6143EE56" w14:textId="77777777" w:rsidR="00F7124D" w:rsidRPr="003331EF" w:rsidRDefault="00F7124D" w:rsidP="003331EF">
      <w:pPr>
        <w:spacing w:before="0"/>
        <w:rPr>
          <w:bCs/>
          <w:iCs/>
          <w:spacing w:val="-5"/>
          <w:lang w:eastAsia="en-US"/>
        </w:rPr>
      </w:pPr>
    </w:p>
    <w:p w14:paraId="6C1657D0" w14:textId="537DFA62" w:rsidR="00F7124D" w:rsidRPr="003331EF" w:rsidRDefault="00C00AAD" w:rsidP="003331EF">
      <w:pPr>
        <w:spacing w:before="0"/>
        <w:rPr>
          <w:bCs/>
          <w:iCs/>
          <w:spacing w:val="-5"/>
          <w:lang w:eastAsia="en-US"/>
        </w:rPr>
      </w:pPr>
      <w:r w:rsidRPr="003331EF">
        <w:rPr>
          <w:bCs/>
          <w:iCs/>
          <w:spacing w:val="-5"/>
          <w:lang w:eastAsia="en-US"/>
        </w:rPr>
        <w:t xml:space="preserve">Pärast konsulteerimist Finantsinspektsiooniga on </w:t>
      </w:r>
      <w:r w:rsidR="005F4E70" w:rsidRPr="003331EF">
        <w:rPr>
          <w:bCs/>
          <w:iCs/>
          <w:spacing w:val="-5"/>
          <w:lang w:eastAsia="en-US"/>
        </w:rPr>
        <w:t xml:space="preserve">Eesti puhul </w:t>
      </w:r>
      <w:r w:rsidRPr="003331EF">
        <w:rPr>
          <w:bCs/>
          <w:iCs/>
          <w:spacing w:val="-5"/>
          <w:lang w:eastAsia="en-US"/>
        </w:rPr>
        <w:t xml:space="preserve">võetud lähenemine, et </w:t>
      </w:r>
      <w:r w:rsidR="00A415A4" w:rsidRPr="003331EF">
        <w:rPr>
          <w:bCs/>
          <w:iCs/>
          <w:spacing w:val="-5"/>
          <w:lang w:eastAsia="en-US"/>
        </w:rPr>
        <w:t xml:space="preserve">liikmeriigi võimalust ette näha, et selgitus esitatakse üksnes pädeva asutuse taotlusel, ei kasutata. </w:t>
      </w:r>
      <w:r w:rsidR="00BE3DF6" w:rsidRPr="003331EF">
        <w:rPr>
          <w:bCs/>
          <w:iCs/>
          <w:spacing w:val="-5"/>
          <w:lang w:eastAsia="en-US"/>
        </w:rPr>
        <w:t>Seega, s</w:t>
      </w:r>
      <w:r w:rsidR="00A415A4" w:rsidRPr="003331EF">
        <w:rPr>
          <w:bCs/>
          <w:iCs/>
          <w:spacing w:val="-5"/>
          <w:lang w:eastAsia="en-US"/>
        </w:rPr>
        <w:t xml:space="preserve">arnaselt reguleeritud turuga tuleks esitada kohe pärast teabe avalikustamist kirjalik selgitus selle kohta, kuidas </w:t>
      </w:r>
      <w:proofErr w:type="spellStart"/>
      <w:r w:rsidR="00A415A4" w:rsidRPr="003331EF">
        <w:rPr>
          <w:bCs/>
          <w:iCs/>
          <w:spacing w:val="-5"/>
          <w:lang w:eastAsia="en-US"/>
        </w:rPr>
        <w:t>M</w:t>
      </w:r>
      <w:r w:rsidR="00A03096">
        <w:rPr>
          <w:bCs/>
          <w:iCs/>
          <w:spacing w:val="-5"/>
          <w:lang w:eastAsia="en-US"/>
        </w:rPr>
        <w:t>i</w:t>
      </w:r>
      <w:r w:rsidR="00A415A4" w:rsidRPr="003331EF">
        <w:rPr>
          <w:bCs/>
          <w:iCs/>
          <w:spacing w:val="-5"/>
          <w:lang w:eastAsia="en-US"/>
        </w:rPr>
        <w:t>CA</w:t>
      </w:r>
      <w:proofErr w:type="spellEnd"/>
      <w:r w:rsidR="00A415A4" w:rsidRPr="003331EF">
        <w:rPr>
          <w:bCs/>
          <w:iCs/>
          <w:spacing w:val="-5"/>
          <w:lang w:eastAsia="en-US"/>
        </w:rPr>
        <w:t xml:space="preserve"> artikli 88 lõikes 2 sätestatud tingimused on täidetud. Seda enam, et ka turukuritarvituse määruse (EU 596/2014) artikkel 17(4) näeb </w:t>
      </w:r>
      <w:proofErr w:type="spellStart"/>
      <w:r w:rsidR="00A415A4" w:rsidRPr="003331EF">
        <w:rPr>
          <w:bCs/>
          <w:iCs/>
          <w:spacing w:val="-5"/>
          <w:lang w:eastAsia="en-US"/>
        </w:rPr>
        <w:t>siseteabe</w:t>
      </w:r>
      <w:proofErr w:type="spellEnd"/>
      <w:r w:rsidR="00A415A4" w:rsidRPr="003331EF">
        <w:rPr>
          <w:bCs/>
          <w:iCs/>
          <w:spacing w:val="-5"/>
          <w:lang w:eastAsia="en-US"/>
        </w:rPr>
        <w:t xml:space="preserve"> puhul emitendile kohustuse pädevat asutust </w:t>
      </w:r>
      <w:proofErr w:type="spellStart"/>
      <w:r w:rsidR="00A415A4" w:rsidRPr="003331EF">
        <w:rPr>
          <w:bCs/>
          <w:iCs/>
          <w:spacing w:val="-5"/>
          <w:lang w:eastAsia="en-US"/>
        </w:rPr>
        <w:t>siseteabe</w:t>
      </w:r>
      <w:proofErr w:type="spellEnd"/>
      <w:r w:rsidR="00A415A4" w:rsidRPr="003331EF">
        <w:rPr>
          <w:bCs/>
          <w:iCs/>
          <w:spacing w:val="-5"/>
          <w:lang w:eastAsia="en-US"/>
        </w:rPr>
        <w:t xml:space="preserve"> avalikustamisega viivitamisest ise teavitada.</w:t>
      </w:r>
      <w:r w:rsidR="00F7124D" w:rsidRPr="003331EF">
        <w:rPr>
          <w:bCs/>
          <w:iCs/>
          <w:spacing w:val="-5"/>
          <w:lang w:eastAsia="en-US"/>
        </w:rPr>
        <w:t xml:space="preserve"> </w:t>
      </w:r>
    </w:p>
    <w:p w14:paraId="60C7CD28" w14:textId="77777777" w:rsidR="00F7124D" w:rsidRPr="003331EF" w:rsidRDefault="00F7124D" w:rsidP="003331EF">
      <w:pPr>
        <w:spacing w:before="0"/>
        <w:rPr>
          <w:lang w:eastAsia="en-US"/>
        </w:rPr>
      </w:pPr>
    </w:p>
    <w:p w14:paraId="023BC087" w14:textId="1EBC3D90" w:rsidR="00B77F21" w:rsidRPr="003331EF" w:rsidRDefault="00FB3211" w:rsidP="003331EF">
      <w:pPr>
        <w:pStyle w:val="Loendilik"/>
        <w:numPr>
          <w:ilvl w:val="0"/>
          <w:numId w:val="37"/>
        </w:numPr>
      </w:pPr>
      <w:r w:rsidRPr="003331EF">
        <w:rPr>
          <w:b/>
          <w:bCs/>
        </w:rPr>
        <w:t xml:space="preserve">Üleminek </w:t>
      </w:r>
      <w:proofErr w:type="spellStart"/>
      <w:r w:rsidRPr="003331EF">
        <w:rPr>
          <w:b/>
          <w:bCs/>
        </w:rPr>
        <w:t>M</w:t>
      </w:r>
      <w:r w:rsidR="00A03096">
        <w:rPr>
          <w:b/>
          <w:bCs/>
        </w:rPr>
        <w:t>i</w:t>
      </w:r>
      <w:r w:rsidRPr="003331EF">
        <w:rPr>
          <w:b/>
          <w:bCs/>
        </w:rPr>
        <w:t>CA-le</w:t>
      </w:r>
      <w:proofErr w:type="spellEnd"/>
      <w:r w:rsidRPr="003331EF">
        <w:t xml:space="preserve"> </w:t>
      </w:r>
    </w:p>
    <w:p w14:paraId="4AEB147D" w14:textId="77777777" w:rsidR="00FB3211" w:rsidRPr="003331EF" w:rsidRDefault="00FB3211" w:rsidP="003331EF">
      <w:pPr>
        <w:pStyle w:val="Loendilik"/>
        <w:ind w:left="360"/>
      </w:pPr>
    </w:p>
    <w:p w14:paraId="0EE12271" w14:textId="5C198749" w:rsidR="00FB3211" w:rsidRPr="003331EF" w:rsidRDefault="00FB3211" w:rsidP="003331EF">
      <w:pPr>
        <w:spacing w:before="0"/>
        <w:rPr>
          <w:bCs/>
          <w:iCs/>
          <w:spacing w:val="-5"/>
          <w:lang w:eastAsia="en-US"/>
        </w:rPr>
      </w:pPr>
      <w:proofErr w:type="spellStart"/>
      <w:r w:rsidRPr="003331EF">
        <w:rPr>
          <w:bCs/>
          <w:iCs/>
          <w:spacing w:val="-5"/>
          <w:lang w:eastAsia="en-US"/>
        </w:rPr>
        <w:t>M</w:t>
      </w:r>
      <w:r w:rsidR="00A2745C" w:rsidRPr="003331EF">
        <w:rPr>
          <w:bCs/>
          <w:iCs/>
          <w:spacing w:val="-5"/>
          <w:lang w:eastAsia="en-US"/>
        </w:rPr>
        <w:t>i</w:t>
      </w:r>
      <w:r w:rsidRPr="003331EF">
        <w:rPr>
          <w:bCs/>
          <w:iCs/>
          <w:spacing w:val="-5"/>
          <w:lang w:eastAsia="en-US"/>
        </w:rPr>
        <w:t>CA</w:t>
      </w:r>
      <w:proofErr w:type="spellEnd"/>
      <w:r w:rsidRPr="003331EF">
        <w:rPr>
          <w:bCs/>
          <w:iCs/>
          <w:spacing w:val="-5"/>
          <w:lang w:eastAsia="en-US"/>
        </w:rPr>
        <w:t xml:space="preserve"> määruse artikli 143 lõikes 3 on sätestatud, et </w:t>
      </w:r>
      <w:proofErr w:type="spellStart"/>
      <w:r w:rsidRPr="003331EF">
        <w:rPr>
          <w:bCs/>
          <w:iCs/>
          <w:spacing w:val="-5"/>
          <w:lang w:eastAsia="en-US"/>
        </w:rPr>
        <w:t>krüptovarateenuse</w:t>
      </w:r>
      <w:proofErr w:type="spellEnd"/>
      <w:r w:rsidRPr="003331EF">
        <w:rPr>
          <w:bCs/>
          <w:iCs/>
          <w:spacing w:val="-5"/>
          <w:lang w:eastAsia="en-US"/>
        </w:rPr>
        <w:t xml:space="preserve"> osutaja, kes osutas oma teenuseid kohaldatavate õigusaktide alusel enne </w:t>
      </w:r>
      <w:proofErr w:type="spellStart"/>
      <w:r w:rsidRPr="003331EF">
        <w:rPr>
          <w:bCs/>
          <w:iCs/>
          <w:spacing w:val="-5"/>
          <w:lang w:eastAsia="en-US"/>
        </w:rPr>
        <w:t>M</w:t>
      </w:r>
      <w:r w:rsidR="00A2745C" w:rsidRPr="003331EF">
        <w:rPr>
          <w:bCs/>
          <w:iCs/>
          <w:spacing w:val="-5"/>
          <w:lang w:eastAsia="en-US"/>
        </w:rPr>
        <w:t>i</w:t>
      </w:r>
      <w:r w:rsidRPr="003331EF">
        <w:rPr>
          <w:bCs/>
          <w:iCs/>
          <w:spacing w:val="-5"/>
          <w:lang w:eastAsia="en-US"/>
        </w:rPr>
        <w:t>CA</w:t>
      </w:r>
      <w:proofErr w:type="spellEnd"/>
      <w:r w:rsidRPr="003331EF">
        <w:rPr>
          <w:bCs/>
          <w:iCs/>
          <w:spacing w:val="-5"/>
          <w:lang w:eastAsia="en-US"/>
        </w:rPr>
        <w:t xml:space="preserve"> rakendamise kuupäeva</w:t>
      </w:r>
      <w:r w:rsidR="001B13A0" w:rsidRPr="003331EF">
        <w:rPr>
          <w:bCs/>
          <w:iCs/>
          <w:spacing w:val="-5"/>
          <w:lang w:eastAsia="en-US"/>
        </w:rPr>
        <w:t xml:space="preserve"> (ehk Eesti puhul </w:t>
      </w:r>
      <w:proofErr w:type="spellStart"/>
      <w:r w:rsidR="005E7406" w:rsidRPr="003331EF">
        <w:rPr>
          <w:bCs/>
          <w:iCs/>
          <w:spacing w:val="-5"/>
          <w:lang w:eastAsia="en-US"/>
        </w:rPr>
        <w:t>VASP-id</w:t>
      </w:r>
      <w:proofErr w:type="spellEnd"/>
      <w:r w:rsidR="00AC78FC" w:rsidRPr="003331EF">
        <w:rPr>
          <w:bCs/>
          <w:iCs/>
          <w:spacing w:val="-5"/>
          <w:lang w:eastAsia="en-US"/>
        </w:rPr>
        <w:t xml:space="preserve"> </w:t>
      </w:r>
      <w:proofErr w:type="spellStart"/>
      <w:r w:rsidR="001B13A0" w:rsidRPr="003331EF">
        <w:rPr>
          <w:bCs/>
          <w:iCs/>
          <w:spacing w:val="-5"/>
          <w:lang w:eastAsia="en-US"/>
        </w:rPr>
        <w:t>RahaPTS</w:t>
      </w:r>
      <w:proofErr w:type="spellEnd"/>
      <w:r w:rsidR="001B13A0" w:rsidRPr="003331EF">
        <w:rPr>
          <w:bCs/>
          <w:iCs/>
          <w:spacing w:val="-5"/>
          <w:lang w:eastAsia="en-US"/>
        </w:rPr>
        <w:t xml:space="preserve"> alusel)</w:t>
      </w:r>
      <w:r w:rsidRPr="003331EF">
        <w:rPr>
          <w:bCs/>
          <w:iCs/>
          <w:spacing w:val="-5"/>
          <w:lang w:eastAsia="en-US"/>
        </w:rPr>
        <w:t xml:space="preserve">, saab jätkata tegutsemist </w:t>
      </w:r>
      <w:r w:rsidR="001B13A0" w:rsidRPr="003331EF">
        <w:rPr>
          <w:bCs/>
          <w:iCs/>
          <w:spacing w:val="-5"/>
          <w:lang w:eastAsia="en-US"/>
        </w:rPr>
        <w:t xml:space="preserve">„vana“ tegevusloaga </w:t>
      </w:r>
      <w:r w:rsidRPr="003331EF">
        <w:rPr>
          <w:bCs/>
          <w:iCs/>
          <w:spacing w:val="-5"/>
          <w:lang w:eastAsia="en-US"/>
        </w:rPr>
        <w:t>veel kuni 18</w:t>
      </w:r>
      <w:r w:rsidR="00105B7E">
        <w:rPr>
          <w:bCs/>
          <w:iCs/>
          <w:spacing w:val="-5"/>
          <w:lang w:eastAsia="en-US"/>
        </w:rPr>
        <w:t> </w:t>
      </w:r>
      <w:r w:rsidRPr="003331EF">
        <w:rPr>
          <w:bCs/>
          <w:iCs/>
          <w:spacing w:val="-5"/>
          <w:lang w:eastAsia="en-US"/>
        </w:rPr>
        <w:t xml:space="preserve">kuud või kuni talle antakse tegevusluba vastavalt </w:t>
      </w:r>
      <w:proofErr w:type="spellStart"/>
      <w:r w:rsidRPr="003331EF">
        <w:rPr>
          <w:bCs/>
          <w:iCs/>
          <w:spacing w:val="-5"/>
          <w:lang w:eastAsia="en-US"/>
        </w:rPr>
        <w:t>M</w:t>
      </w:r>
      <w:r w:rsidR="00A2745C" w:rsidRPr="003331EF">
        <w:rPr>
          <w:bCs/>
          <w:iCs/>
          <w:spacing w:val="-5"/>
          <w:lang w:eastAsia="en-US"/>
        </w:rPr>
        <w:t>i</w:t>
      </w:r>
      <w:r w:rsidRPr="003331EF">
        <w:rPr>
          <w:bCs/>
          <w:iCs/>
          <w:spacing w:val="-5"/>
          <w:lang w:eastAsia="en-US"/>
        </w:rPr>
        <w:t>CA</w:t>
      </w:r>
      <w:proofErr w:type="spellEnd"/>
      <w:r w:rsidRPr="003331EF">
        <w:rPr>
          <w:bCs/>
          <w:iCs/>
          <w:spacing w:val="-5"/>
          <w:lang w:eastAsia="en-US"/>
        </w:rPr>
        <w:t xml:space="preserve"> määruse artiklile 63, olenevalt sellest, kumb juhtub varem.</w:t>
      </w:r>
    </w:p>
    <w:p w14:paraId="6DE920E9" w14:textId="77777777" w:rsidR="001B13A0" w:rsidRPr="003331EF" w:rsidRDefault="001B13A0" w:rsidP="003331EF">
      <w:pPr>
        <w:spacing w:before="0"/>
        <w:rPr>
          <w:bCs/>
          <w:iCs/>
          <w:spacing w:val="-5"/>
          <w:lang w:eastAsia="en-US"/>
        </w:rPr>
      </w:pPr>
    </w:p>
    <w:p w14:paraId="1FC88B17" w14:textId="1271DA25" w:rsidR="00FB3211" w:rsidRPr="003331EF" w:rsidRDefault="001B13A0" w:rsidP="003331EF">
      <w:pPr>
        <w:spacing w:before="0"/>
        <w:rPr>
          <w:bCs/>
          <w:iCs/>
          <w:spacing w:val="-5"/>
          <w:lang w:eastAsia="en-US"/>
        </w:rPr>
      </w:pPr>
      <w:r w:rsidRPr="003331EF">
        <w:rPr>
          <w:bCs/>
          <w:iCs/>
          <w:spacing w:val="-5"/>
          <w:lang w:eastAsia="en-US"/>
        </w:rPr>
        <w:t xml:space="preserve">Samas, võib liikmesriik otsustada mitte kasutada </w:t>
      </w:r>
      <w:proofErr w:type="spellStart"/>
      <w:r w:rsidRPr="003331EF">
        <w:rPr>
          <w:bCs/>
          <w:iCs/>
          <w:spacing w:val="-5"/>
          <w:lang w:eastAsia="en-US"/>
        </w:rPr>
        <w:t>krüptovarateenuse</w:t>
      </w:r>
      <w:proofErr w:type="spellEnd"/>
      <w:r w:rsidRPr="003331EF">
        <w:rPr>
          <w:bCs/>
          <w:iCs/>
          <w:spacing w:val="-5"/>
          <w:lang w:eastAsia="en-US"/>
        </w:rPr>
        <w:t xml:space="preserve"> osutajatele viidatud erandit või lühendada selle kestust, kui liikmesriik leiab, et tema riigisisene õigusraamistik, mida kohaldatakse enne </w:t>
      </w:r>
      <w:proofErr w:type="spellStart"/>
      <w:r w:rsidRPr="003331EF">
        <w:rPr>
          <w:bCs/>
          <w:iCs/>
          <w:spacing w:val="-5"/>
          <w:lang w:eastAsia="en-US"/>
        </w:rPr>
        <w:t>M</w:t>
      </w:r>
      <w:r w:rsidR="00A03096">
        <w:rPr>
          <w:bCs/>
          <w:iCs/>
          <w:spacing w:val="-5"/>
          <w:lang w:eastAsia="en-US"/>
        </w:rPr>
        <w:t>i</w:t>
      </w:r>
      <w:r w:rsidRPr="003331EF">
        <w:rPr>
          <w:bCs/>
          <w:iCs/>
          <w:spacing w:val="-5"/>
          <w:lang w:eastAsia="en-US"/>
        </w:rPr>
        <w:t>CA</w:t>
      </w:r>
      <w:proofErr w:type="spellEnd"/>
      <w:r w:rsidRPr="003331EF">
        <w:rPr>
          <w:bCs/>
          <w:iCs/>
          <w:spacing w:val="-5"/>
          <w:lang w:eastAsia="en-US"/>
        </w:rPr>
        <w:t xml:space="preserve"> rakendamist, on leebem kui </w:t>
      </w:r>
      <w:proofErr w:type="spellStart"/>
      <w:r w:rsidRPr="003331EF">
        <w:rPr>
          <w:bCs/>
          <w:iCs/>
          <w:spacing w:val="-5"/>
          <w:lang w:eastAsia="en-US"/>
        </w:rPr>
        <w:t>M</w:t>
      </w:r>
      <w:r w:rsidR="00A2745C" w:rsidRPr="003331EF">
        <w:rPr>
          <w:bCs/>
          <w:iCs/>
          <w:spacing w:val="-5"/>
          <w:lang w:eastAsia="en-US"/>
        </w:rPr>
        <w:t>i</w:t>
      </w:r>
      <w:r w:rsidRPr="003331EF">
        <w:rPr>
          <w:bCs/>
          <w:iCs/>
          <w:spacing w:val="-5"/>
          <w:lang w:eastAsia="en-US"/>
        </w:rPr>
        <w:t>CA</w:t>
      </w:r>
      <w:proofErr w:type="spellEnd"/>
      <w:r w:rsidRPr="003331EF">
        <w:rPr>
          <w:bCs/>
          <w:iCs/>
          <w:spacing w:val="-5"/>
          <w:lang w:eastAsia="en-US"/>
        </w:rPr>
        <w:t xml:space="preserve"> määrus. </w:t>
      </w:r>
      <w:r w:rsidR="00BB2E40" w:rsidRPr="003331EF">
        <w:rPr>
          <w:bCs/>
          <w:iCs/>
          <w:spacing w:val="-5"/>
          <w:lang w:eastAsia="en-US"/>
        </w:rPr>
        <w:t xml:space="preserve">Kuna Euroopa Väärtpaberiturujärelevalve asutus on andnud liikmesriikide rahandusministritele (majandus- ja rahandusnõukogule </w:t>
      </w:r>
      <w:r w:rsidR="00BC2DDF">
        <w:rPr>
          <w:bCs/>
          <w:iCs/>
          <w:spacing w:val="-5"/>
          <w:lang w:eastAsia="en-US"/>
        </w:rPr>
        <w:t>–</w:t>
      </w:r>
      <w:r w:rsidR="00BB2E40" w:rsidRPr="003331EF">
        <w:rPr>
          <w:bCs/>
          <w:iCs/>
          <w:spacing w:val="-5"/>
          <w:lang w:eastAsia="en-US"/>
        </w:rPr>
        <w:t xml:space="preserve"> ECOFIN) soovituse kaaluda valikulise üleminekuperioodi piiramist 12 kuuni</w:t>
      </w:r>
      <w:r w:rsidR="00BB2E40" w:rsidRPr="003331EF">
        <w:rPr>
          <w:rStyle w:val="Allmrkuseviide"/>
          <w:bCs w:val="0"/>
          <w:iCs/>
          <w:spacing w:val="-5"/>
          <w:lang w:eastAsia="en-US"/>
        </w:rPr>
        <w:footnoteReference w:id="18"/>
      </w:r>
      <w:r w:rsidR="00BB2E40" w:rsidRPr="003331EF">
        <w:rPr>
          <w:bCs/>
          <w:iCs/>
          <w:spacing w:val="-5"/>
          <w:lang w:eastAsia="en-US"/>
        </w:rPr>
        <w:t xml:space="preserve">, on eelnõu puhul võetud lähenemine, et täielik ülemine </w:t>
      </w:r>
      <w:proofErr w:type="spellStart"/>
      <w:r w:rsidR="00BB2E40" w:rsidRPr="003331EF">
        <w:rPr>
          <w:bCs/>
          <w:iCs/>
          <w:spacing w:val="-5"/>
          <w:lang w:eastAsia="en-US"/>
        </w:rPr>
        <w:t>MiCA</w:t>
      </w:r>
      <w:proofErr w:type="spellEnd"/>
      <w:r w:rsidR="00BB2E40" w:rsidRPr="003331EF">
        <w:rPr>
          <w:bCs/>
          <w:iCs/>
          <w:spacing w:val="-5"/>
          <w:lang w:eastAsia="en-US"/>
        </w:rPr>
        <w:t xml:space="preserve"> regulatsioonile peab olema toimunud  2026. aasta 1. jaanuariks. </w:t>
      </w:r>
    </w:p>
    <w:p w14:paraId="4C3069A9" w14:textId="77777777" w:rsidR="00BB2E40" w:rsidRPr="003331EF" w:rsidRDefault="00BB2E40" w:rsidP="003331EF">
      <w:pPr>
        <w:spacing w:before="0"/>
        <w:rPr>
          <w:bCs/>
          <w:iCs/>
          <w:spacing w:val="-5"/>
          <w:lang w:eastAsia="en-US"/>
        </w:rPr>
      </w:pPr>
    </w:p>
    <w:p w14:paraId="21316D0E" w14:textId="4CCA7074" w:rsidR="00997EEC" w:rsidRPr="003331EF" w:rsidRDefault="00997EEC" w:rsidP="003331EF">
      <w:pPr>
        <w:spacing w:before="0"/>
        <w:ind w:right="-62"/>
        <w:rPr>
          <w:b/>
          <w:bCs/>
          <w:lang w:eastAsia="en-US"/>
        </w:rPr>
      </w:pPr>
      <w:r w:rsidRPr="003331EF">
        <w:rPr>
          <w:b/>
          <w:bCs/>
          <w:lang w:eastAsia="en-US"/>
        </w:rPr>
        <w:t>2.5. Väikefondivalitsejate täiendav reguleerimine</w:t>
      </w:r>
    </w:p>
    <w:p w14:paraId="6A9ECFC4" w14:textId="77777777" w:rsidR="00997EEC" w:rsidRPr="003331EF" w:rsidRDefault="00997EEC" w:rsidP="003331EF">
      <w:pPr>
        <w:spacing w:before="0"/>
        <w:ind w:right="-62"/>
        <w:rPr>
          <w:b/>
          <w:bCs/>
          <w:lang w:eastAsia="en-US"/>
        </w:rPr>
      </w:pPr>
    </w:p>
    <w:p w14:paraId="6512F91E" w14:textId="61A9F336" w:rsidR="00997EEC" w:rsidRPr="003331EF" w:rsidRDefault="00997EEC" w:rsidP="003331EF">
      <w:pPr>
        <w:spacing w:before="0"/>
        <w:rPr>
          <w:bCs/>
          <w:iCs/>
          <w:spacing w:val="-5"/>
          <w:lang w:eastAsia="en-US"/>
        </w:rPr>
      </w:pPr>
      <w:r w:rsidRPr="003331EF">
        <w:rPr>
          <w:bCs/>
          <w:iCs/>
          <w:spacing w:val="-5"/>
          <w:lang w:eastAsia="en-US"/>
        </w:rPr>
        <w:t xml:space="preserve">Eelnõuga muudetakse </w:t>
      </w:r>
      <w:proofErr w:type="spellStart"/>
      <w:r w:rsidRPr="003331EF">
        <w:rPr>
          <w:bCs/>
          <w:iCs/>
          <w:spacing w:val="-5"/>
          <w:lang w:eastAsia="en-US"/>
        </w:rPr>
        <w:t>IFSi</w:t>
      </w:r>
      <w:proofErr w:type="spellEnd"/>
      <w:r w:rsidRPr="003331EF">
        <w:rPr>
          <w:bCs/>
          <w:iCs/>
          <w:spacing w:val="-5"/>
          <w:lang w:eastAsia="en-US"/>
        </w:rPr>
        <w:t xml:space="preserve"> tegevusloata väikefondi valitsejaid reguleerivaid sätteid:</w:t>
      </w:r>
    </w:p>
    <w:p w14:paraId="59D3221E" w14:textId="78975EC3" w:rsidR="00F65B9E" w:rsidRPr="003331EF" w:rsidRDefault="00997EEC" w:rsidP="003331EF">
      <w:pPr>
        <w:pStyle w:val="Loendilik"/>
        <w:numPr>
          <w:ilvl w:val="0"/>
          <w:numId w:val="58"/>
        </w:numPr>
        <w:jc w:val="both"/>
        <w:rPr>
          <w:bCs/>
          <w:iCs/>
          <w:spacing w:val="-5"/>
        </w:rPr>
      </w:pPr>
      <w:r w:rsidRPr="003331EF">
        <w:t>kehtestatakse tegevusloata väikefondi valitsejale kapitalinõue 25</w:t>
      </w:r>
      <w:r w:rsidR="00105B7E">
        <w:t> </w:t>
      </w:r>
      <w:r w:rsidRPr="003331EF">
        <w:t>000</w:t>
      </w:r>
      <w:r w:rsidR="00105B7E">
        <w:t> </w:t>
      </w:r>
      <w:r w:rsidRPr="003331EF">
        <w:t xml:space="preserve">eurot, mis </w:t>
      </w:r>
      <w:r w:rsidR="00250929" w:rsidRPr="003331EF">
        <w:t xml:space="preserve">asutamisel oleva väikefondi valitseja puhul </w:t>
      </w:r>
      <w:r w:rsidRPr="003331EF">
        <w:t>peab olema rahas sisse makstud;</w:t>
      </w:r>
    </w:p>
    <w:p w14:paraId="55EE4230" w14:textId="698A4582" w:rsidR="00997EEC" w:rsidRPr="003331EF" w:rsidRDefault="00997EEC" w:rsidP="003331EF">
      <w:pPr>
        <w:pStyle w:val="Loendilik"/>
        <w:numPr>
          <w:ilvl w:val="0"/>
          <w:numId w:val="58"/>
        </w:numPr>
        <w:jc w:val="both"/>
        <w:rPr>
          <w:bCs/>
          <w:iCs/>
          <w:spacing w:val="-5"/>
        </w:rPr>
      </w:pPr>
      <w:r w:rsidRPr="003331EF">
        <w:rPr>
          <w:bCs/>
          <w:iCs/>
          <w:spacing w:val="-5"/>
        </w:rPr>
        <w:t xml:space="preserve">kehtestatakse läbipaistvust suurendavad nõuded, millest tuleb kinni pidada, kui soovitakse reklaamida oma valitsetavat fondi – reklaamimisel tuleb esitada hoiatused selle kohta, et väikefondi valitseja tegutseb registreeringu alusel ega oma tegevusluba ning </w:t>
      </w:r>
      <w:r w:rsidR="00250929" w:rsidRPr="003331EF">
        <w:rPr>
          <w:bCs/>
          <w:iCs/>
          <w:spacing w:val="-5"/>
        </w:rPr>
        <w:t xml:space="preserve">et </w:t>
      </w:r>
      <w:r w:rsidRPr="003331EF">
        <w:rPr>
          <w:bCs/>
          <w:iCs/>
          <w:spacing w:val="-5"/>
        </w:rPr>
        <w:t>tema tegevuse üle ei teostata järelevalvet.</w:t>
      </w:r>
    </w:p>
    <w:p w14:paraId="281628DD" w14:textId="77777777" w:rsidR="00997EEC" w:rsidRPr="003331EF" w:rsidRDefault="00997EEC" w:rsidP="00105B7E">
      <w:pPr>
        <w:spacing w:before="0"/>
      </w:pPr>
    </w:p>
    <w:p w14:paraId="306E067A" w14:textId="7B239525" w:rsidR="00997EEC" w:rsidRPr="003331EF" w:rsidRDefault="00997EEC" w:rsidP="003331EF">
      <w:pPr>
        <w:spacing w:before="0"/>
        <w:rPr>
          <w:bCs/>
          <w:iCs/>
          <w:spacing w:val="-5"/>
          <w:lang w:eastAsia="en-US"/>
        </w:rPr>
      </w:pPr>
      <w:r w:rsidRPr="003331EF">
        <w:rPr>
          <w:bCs/>
          <w:iCs/>
          <w:spacing w:val="-5"/>
          <w:lang w:eastAsia="en-US"/>
        </w:rPr>
        <w:t>Ühtlasi täpsustatakse eelnõuga tegevusloata väikefondi valitsejate registreerimise ja registrist kustutamise regulatsiooni. Registreerimise taotlemisel esitatavate andmete ja dokumentide loetelu täiendatakse, näiteks tuleb esitada ka tõendid kapitalinõude täitmise ja menetlustasu maksmise kohta ning hinnang selle kohta, et kavandatav tegevus vastab alternatiivse investeerimisfondi valitseja tegevuse tunnustele. Samuti lisatakse esitatavate andmete loetellu andmed taotleja juhatuse liikmete ning aktsionäride või osanike kohta. Vastavalt täiendatakse ka registreerimis</w:t>
      </w:r>
      <w:r w:rsidR="00250929" w:rsidRPr="003331EF">
        <w:rPr>
          <w:bCs/>
          <w:iCs/>
          <w:spacing w:val="-5"/>
          <w:lang w:eastAsia="en-US"/>
        </w:rPr>
        <w:t>e taotluse</w:t>
      </w:r>
      <w:r w:rsidRPr="003331EF">
        <w:rPr>
          <w:bCs/>
          <w:iCs/>
          <w:spacing w:val="-5"/>
          <w:lang w:eastAsia="en-US"/>
        </w:rPr>
        <w:t xml:space="preserve"> rahuldamata jätmise aluseid – lisaks seni kehtinule võib Finantsinspektsioon jätta </w:t>
      </w:r>
      <w:r w:rsidR="00250929" w:rsidRPr="003331EF">
        <w:rPr>
          <w:bCs/>
          <w:iCs/>
          <w:spacing w:val="-5"/>
          <w:lang w:eastAsia="en-US"/>
        </w:rPr>
        <w:t xml:space="preserve">taotluse </w:t>
      </w:r>
      <w:r w:rsidRPr="003331EF">
        <w:rPr>
          <w:bCs/>
          <w:iCs/>
          <w:spacing w:val="-5"/>
          <w:lang w:eastAsia="en-US"/>
        </w:rPr>
        <w:t xml:space="preserve">rahuldamata ka, kui ei ole tõendatud, et täidetud on eelnõuga kehtestatav kapitalinõue. Lisaks </w:t>
      </w:r>
      <w:r w:rsidR="00250929" w:rsidRPr="003331EF">
        <w:rPr>
          <w:bCs/>
          <w:iCs/>
          <w:spacing w:val="-5"/>
          <w:lang w:eastAsia="en-US"/>
        </w:rPr>
        <w:t>taotluse</w:t>
      </w:r>
      <w:r w:rsidRPr="003331EF">
        <w:rPr>
          <w:bCs/>
          <w:iCs/>
          <w:spacing w:val="-5"/>
          <w:lang w:eastAsia="en-US"/>
        </w:rPr>
        <w:t xml:space="preserve"> rahuldamata jätmisele ja taotlemisel esinenud puuduste kõrvaldamise nõudmisele annab eelnõu Finantsinspektsioonile võimaluse jätta </w:t>
      </w:r>
      <w:r w:rsidR="00250929" w:rsidRPr="003331EF">
        <w:rPr>
          <w:bCs/>
          <w:iCs/>
          <w:spacing w:val="-5"/>
          <w:lang w:eastAsia="en-US"/>
        </w:rPr>
        <w:t>taotlus</w:t>
      </w:r>
      <w:r w:rsidRPr="003331EF">
        <w:rPr>
          <w:bCs/>
          <w:iCs/>
          <w:spacing w:val="-5"/>
          <w:lang w:eastAsia="en-US"/>
        </w:rPr>
        <w:t xml:space="preserve"> läbi vaatamata</w:t>
      </w:r>
      <w:r w:rsidR="00250929" w:rsidRPr="003331EF">
        <w:rPr>
          <w:bCs/>
          <w:iCs/>
          <w:spacing w:val="-5"/>
          <w:lang w:eastAsia="en-US"/>
        </w:rPr>
        <w:t>. Finantsinspektsioon võib jätta taotluse läbi vaatamata, kui ta on nõudnud taotlejalt puuduste kõrvaldamist, kuid taotleja ei ole suutnud seda ette nähtud tähtajaks teha või kui taotleja ei ole tähtpäevaks esitanud Finantsinspektsiooni nõutud lisaandmeid või dokumente või on esitanud need oluliste puudustega.</w:t>
      </w:r>
    </w:p>
    <w:p w14:paraId="773DA2ED" w14:textId="77777777" w:rsidR="00997EEC" w:rsidRPr="003331EF" w:rsidRDefault="00997EEC" w:rsidP="003331EF">
      <w:pPr>
        <w:spacing w:before="0"/>
      </w:pPr>
    </w:p>
    <w:p w14:paraId="07FB4466" w14:textId="1F1D96C4" w:rsidR="00997EEC" w:rsidRPr="003331EF" w:rsidRDefault="00997EEC" w:rsidP="003331EF">
      <w:pPr>
        <w:spacing w:before="0"/>
        <w:rPr>
          <w:bCs/>
          <w:iCs/>
          <w:spacing w:val="-5"/>
          <w:lang w:eastAsia="en-US"/>
        </w:rPr>
      </w:pPr>
      <w:r w:rsidRPr="003331EF">
        <w:rPr>
          <w:bCs/>
          <w:iCs/>
          <w:spacing w:val="-5"/>
          <w:lang w:eastAsia="en-US"/>
        </w:rPr>
        <w:lastRenderedPageBreak/>
        <w:t>Finantsinspektsioon kustutab tegevusloata väikefondi valitseja registrist, kui tema tegevus lõpeb</w:t>
      </w:r>
      <w:r w:rsidR="00C82CFB" w:rsidRPr="003331EF">
        <w:rPr>
          <w:bCs/>
          <w:iCs/>
          <w:spacing w:val="-5"/>
          <w:lang w:eastAsia="en-US"/>
        </w:rPr>
        <w:t>.</w:t>
      </w:r>
      <w:r w:rsidRPr="003331EF">
        <w:rPr>
          <w:bCs/>
          <w:iCs/>
          <w:spacing w:val="-5"/>
          <w:lang w:eastAsia="en-US"/>
        </w:rPr>
        <w:t xml:space="preserve"> </w:t>
      </w:r>
    </w:p>
    <w:p w14:paraId="36D4F06F" w14:textId="77777777" w:rsidR="006301C1" w:rsidRPr="003331EF" w:rsidRDefault="006301C1" w:rsidP="003331EF">
      <w:pPr>
        <w:spacing w:before="0"/>
        <w:rPr>
          <w:bCs/>
          <w:iCs/>
          <w:spacing w:val="-5"/>
          <w:lang w:eastAsia="en-US"/>
        </w:rPr>
      </w:pPr>
    </w:p>
    <w:p w14:paraId="4D7BBADF" w14:textId="2898F65A" w:rsidR="00997EEC" w:rsidRPr="003331EF" w:rsidRDefault="00997EEC" w:rsidP="003331EF">
      <w:pPr>
        <w:spacing w:before="0"/>
        <w:rPr>
          <w:bCs/>
          <w:iCs/>
          <w:spacing w:val="-5"/>
          <w:lang w:eastAsia="en-US"/>
        </w:rPr>
      </w:pPr>
      <w:r w:rsidRPr="003331EF">
        <w:rPr>
          <w:bCs/>
          <w:iCs/>
          <w:spacing w:val="-5"/>
          <w:lang w:eastAsia="en-US"/>
        </w:rPr>
        <w:t>Lisaks eelpool kirjeldatud asjaolule on IFS-s kehtestatud veel eraldi alused Finantsinspektsioonile väikefondi valitseja registrist kustutamiseks</w:t>
      </w:r>
      <w:r w:rsidR="00C82CFB" w:rsidRPr="003331EF">
        <w:rPr>
          <w:bCs/>
          <w:iCs/>
          <w:spacing w:val="-5"/>
          <w:lang w:eastAsia="en-US"/>
        </w:rPr>
        <w:t xml:space="preserve"> (§ 453 lg 10). Registrist kustutamise aluste hulka (uues sõnastuses IFS §</w:t>
      </w:r>
      <w:r w:rsidR="00605ECB">
        <w:rPr>
          <w:bCs/>
          <w:iCs/>
          <w:spacing w:val="-5"/>
          <w:lang w:eastAsia="en-US"/>
        </w:rPr>
        <w:t> </w:t>
      </w:r>
      <w:r w:rsidR="00C82CFB" w:rsidRPr="003331EF">
        <w:rPr>
          <w:bCs/>
          <w:iCs/>
          <w:spacing w:val="-5"/>
          <w:lang w:eastAsia="en-US"/>
        </w:rPr>
        <w:t>453</w:t>
      </w:r>
      <w:r w:rsidR="00C82CFB" w:rsidRPr="003331EF">
        <w:rPr>
          <w:bCs/>
          <w:iCs/>
          <w:spacing w:val="-5"/>
          <w:vertAlign w:val="superscript"/>
          <w:lang w:eastAsia="en-US"/>
        </w:rPr>
        <w:t>2</w:t>
      </w:r>
      <w:r w:rsidR="00C82CFB" w:rsidRPr="003331EF">
        <w:rPr>
          <w:bCs/>
          <w:iCs/>
          <w:spacing w:val="-5"/>
          <w:lang w:eastAsia="en-US"/>
        </w:rPr>
        <w:t xml:space="preserve"> lg 3) lisatakse </w:t>
      </w:r>
      <w:r w:rsidRPr="003331EF">
        <w:rPr>
          <w:bCs/>
          <w:iCs/>
          <w:spacing w:val="-5"/>
          <w:lang w:eastAsia="en-US"/>
        </w:rPr>
        <w:t xml:space="preserve">põhjus, et väikefondi valitseja ei esita IFS §-s 454 ette nähtud teavet tähtaegselt. </w:t>
      </w:r>
    </w:p>
    <w:p w14:paraId="2EBE712B" w14:textId="77777777" w:rsidR="00997EEC" w:rsidRPr="003331EF" w:rsidRDefault="00997EEC" w:rsidP="003331EF">
      <w:pPr>
        <w:spacing w:before="0"/>
      </w:pPr>
    </w:p>
    <w:p w14:paraId="1EBCD13C" w14:textId="77777777" w:rsidR="00997EEC" w:rsidRPr="003331EF" w:rsidRDefault="00997EEC" w:rsidP="003331EF">
      <w:pPr>
        <w:spacing w:before="0"/>
        <w:rPr>
          <w:bCs/>
          <w:iCs/>
          <w:spacing w:val="-5"/>
          <w:lang w:eastAsia="en-US"/>
        </w:rPr>
      </w:pPr>
      <w:r w:rsidRPr="003331EF">
        <w:rPr>
          <w:bCs/>
          <w:iCs/>
          <w:spacing w:val="-5"/>
          <w:lang w:eastAsia="en-US"/>
        </w:rPr>
        <w:t>Eelnõuga reguleeritakse ka väikefondi valitseja kohustusi, mis tal tekivad pärast registrist kustutamist. Nimelt tuleb väikefondi valitsejal lõpetada sellisel juhul oma valitsetavate fondide aktsiate või osade väljalaskmine, alustada oma fondide likvideerimist või anda nende valitsemine üle, teavitada Finantsinspektsiooni fondide likvideerimisega alustamisest ja esitada pärast ka aruanne likvideerimise tulemuste kohta.</w:t>
      </w:r>
    </w:p>
    <w:p w14:paraId="66E0BEF2" w14:textId="77777777" w:rsidR="00997EEC" w:rsidRPr="003331EF" w:rsidRDefault="00997EEC" w:rsidP="003331EF">
      <w:pPr>
        <w:spacing w:before="0"/>
      </w:pPr>
    </w:p>
    <w:p w14:paraId="4CB3A491" w14:textId="46F1B5DE" w:rsidR="00997EEC" w:rsidRPr="003331EF" w:rsidRDefault="00997EEC" w:rsidP="003331EF">
      <w:pPr>
        <w:spacing w:before="0"/>
        <w:rPr>
          <w:bCs/>
          <w:iCs/>
          <w:spacing w:val="-5"/>
          <w:lang w:eastAsia="en-US"/>
        </w:rPr>
      </w:pPr>
      <w:r w:rsidRPr="003331EF">
        <w:rPr>
          <w:bCs/>
          <w:iCs/>
          <w:spacing w:val="-5"/>
          <w:lang w:eastAsia="en-US"/>
        </w:rPr>
        <w:t>Kehtestatavate kapitalinõuetega kooskõlla viimiseks jätab eelnõu kehtivat registreeringut omavatele väikefondi valitsejatele 12 kuud seaduse muudatuse jõustumisest</w:t>
      </w:r>
      <w:r w:rsidR="00C82CFB" w:rsidRPr="003331EF">
        <w:rPr>
          <w:bCs/>
          <w:iCs/>
          <w:spacing w:val="-5"/>
          <w:lang w:eastAsia="en-US"/>
        </w:rPr>
        <w:t>.</w:t>
      </w:r>
      <w:r w:rsidRPr="003331EF">
        <w:rPr>
          <w:bCs/>
          <w:iCs/>
          <w:spacing w:val="-5"/>
          <w:lang w:eastAsia="en-US"/>
        </w:rPr>
        <w:t xml:space="preserve"> Eelnõu kohustab väikefondi valitsejat </w:t>
      </w:r>
      <w:r w:rsidR="00C82CFB" w:rsidRPr="003331EF">
        <w:rPr>
          <w:bCs/>
          <w:iCs/>
          <w:spacing w:val="-5"/>
          <w:lang w:eastAsia="en-US"/>
        </w:rPr>
        <w:t>kapitalinõude täitmisest</w:t>
      </w:r>
      <w:r w:rsidRPr="003331EF">
        <w:rPr>
          <w:bCs/>
          <w:iCs/>
          <w:spacing w:val="-5"/>
          <w:lang w:eastAsia="en-US"/>
        </w:rPr>
        <w:t xml:space="preserve"> Finantsinspektsiooni ka viivitamata teavitama. </w:t>
      </w:r>
    </w:p>
    <w:p w14:paraId="402C19AF" w14:textId="77777777" w:rsidR="00997EEC" w:rsidRPr="003331EF" w:rsidRDefault="00997EEC" w:rsidP="003331EF">
      <w:pPr>
        <w:spacing w:before="0"/>
      </w:pPr>
    </w:p>
    <w:p w14:paraId="22BD2A3E" w14:textId="2FA614C1" w:rsidR="00997EEC" w:rsidRPr="003331EF" w:rsidRDefault="00997EEC" w:rsidP="003331EF">
      <w:pPr>
        <w:spacing w:before="0"/>
        <w:rPr>
          <w:bCs/>
          <w:iCs/>
          <w:spacing w:val="-5"/>
          <w:lang w:eastAsia="en-US"/>
        </w:rPr>
      </w:pPr>
      <w:r w:rsidRPr="003331EF">
        <w:rPr>
          <w:bCs/>
          <w:iCs/>
          <w:spacing w:val="-5"/>
          <w:lang w:eastAsia="en-US"/>
        </w:rPr>
        <w:t>Kavandatud muudatuste tulemusena tagatakse investeerimisturu tõhusam toimimine ja investorite parem kaitse. Täiendav reguleerimine on tingitud sektori kiirest kasvust ja soovist maandada võimalikust kuritarvitamisest tingitud riske.</w:t>
      </w:r>
    </w:p>
    <w:p w14:paraId="5C9CE308" w14:textId="77777777" w:rsidR="00997EEC" w:rsidRPr="003331EF" w:rsidRDefault="00997EEC" w:rsidP="003331EF">
      <w:pPr>
        <w:spacing w:before="0"/>
        <w:rPr>
          <w:bCs/>
          <w:iCs/>
          <w:spacing w:val="-5"/>
          <w:lang w:eastAsia="en-US"/>
        </w:rPr>
      </w:pPr>
    </w:p>
    <w:p w14:paraId="4E0A3EA6" w14:textId="06044158" w:rsidR="00997EEC" w:rsidRPr="003331EF" w:rsidRDefault="00997EEC" w:rsidP="003331EF">
      <w:pPr>
        <w:spacing w:before="0"/>
        <w:rPr>
          <w:bCs/>
          <w:iCs/>
          <w:spacing w:val="-5"/>
          <w:lang w:eastAsia="en-US"/>
        </w:rPr>
      </w:pPr>
      <w:r w:rsidRPr="003331EF">
        <w:rPr>
          <w:bCs/>
          <w:iCs/>
          <w:spacing w:val="-5"/>
          <w:lang w:eastAsia="en-US"/>
        </w:rPr>
        <w:t>Nii menetluste kui registreeringu saanud väikefondi valitsejate arv on mõne aastaga oluliselt kasvanud. 2019. aastal registreeriti 8 tegevusloata väikefondi valitsejat, 2021. aastal juba 16 ja 2022.</w:t>
      </w:r>
      <w:r w:rsidR="00605ECB">
        <w:rPr>
          <w:bCs/>
          <w:iCs/>
          <w:spacing w:val="-5"/>
          <w:lang w:eastAsia="en-US"/>
        </w:rPr>
        <w:t> </w:t>
      </w:r>
      <w:r w:rsidRPr="003331EF">
        <w:rPr>
          <w:bCs/>
          <w:iCs/>
          <w:spacing w:val="-5"/>
          <w:lang w:eastAsia="en-US"/>
        </w:rPr>
        <w:t xml:space="preserve">aastal 19 uut fondivalitsejat. Käesoleva aasta I kvartalis on lisandunud omakorda 4 uut registreeritud väikefondi valitsejat. 2022. aastal oli korraga menetluses kuni 30 registreerimise taotlust. </w:t>
      </w:r>
    </w:p>
    <w:p w14:paraId="70BF1ACB" w14:textId="77777777" w:rsidR="00997EEC" w:rsidRPr="003331EF" w:rsidRDefault="00997EEC" w:rsidP="003331EF">
      <w:pPr>
        <w:spacing w:before="0"/>
        <w:rPr>
          <w:bCs/>
          <w:iCs/>
          <w:spacing w:val="-5"/>
          <w:lang w:eastAsia="en-US"/>
        </w:rPr>
      </w:pPr>
    </w:p>
    <w:p w14:paraId="7A1253FF" w14:textId="260FF829" w:rsidR="00997EEC" w:rsidRPr="003331EF" w:rsidRDefault="00997EEC" w:rsidP="003331EF">
      <w:pPr>
        <w:spacing w:before="0"/>
        <w:rPr>
          <w:bCs/>
          <w:iCs/>
          <w:spacing w:val="-5"/>
          <w:lang w:eastAsia="en-US"/>
        </w:rPr>
      </w:pPr>
      <w:r w:rsidRPr="003331EF">
        <w:rPr>
          <w:bCs/>
          <w:iCs/>
          <w:spacing w:val="-5"/>
          <w:lang w:eastAsia="en-US"/>
        </w:rPr>
        <w:t>Samuti on oluliselt kasvanud registreeritud väikefondi valitsejate sektori maht. Kui 2019. aastal oli selliste fondivalitsejate valitsetud alternatiivfondide maht kokku 257 miljonit eurot, siis 2022.</w:t>
      </w:r>
      <w:r w:rsidR="00605ECB">
        <w:rPr>
          <w:bCs/>
          <w:iCs/>
          <w:spacing w:val="-5"/>
          <w:lang w:eastAsia="en-US"/>
        </w:rPr>
        <w:t> </w:t>
      </w:r>
      <w:r w:rsidRPr="003331EF">
        <w:rPr>
          <w:bCs/>
          <w:iCs/>
          <w:spacing w:val="-5"/>
          <w:lang w:eastAsia="en-US"/>
        </w:rPr>
        <w:t xml:space="preserve">aasta lõpu seisuga oli see juba 732 miljonit eurot. </w:t>
      </w:r>
    </w:p>
    <w:p w14:paraId="6A95AD5F" w14:textId="77777777" w:rsidR="00997EEC" w:rsidRPr="003331EF" w:rsidRDefault="00997EEC" w:rsidP="003331EF">
      <w:pPr>
        <w:spacing w:before="0"/>
        <w:rPr>
          <w:bCs/>
          <w:iCs/>
          <w:spacing w:val="-5"/>
          <w:lang w:eastAsia="en-US"/>
        </w:rPr>
      </w:pPr>
    </w:p>
    <w:p w14:paraId="2C2D5AD8" w14:textId="1176F786" w:rsidR="00997EEC" w:rsidRPr="003331EF" w:rsidRDefault="00997EEC" w:rsidP="003331EF">
      <w:pPr>
        <w:spacing w:before="0"/>
        <w:rPr>
          <w:bCs/>
          <w:iCs/>
          <w:spacing w:val="-5"/>
          <w:lang w:eastAsia="en-US"/>
        </w:rPr>
      </w:pPr>
      <w:r w:rsidRPr="003331EF">
        <w:rPr>
          <w:bCs/>
          <w:iCs/>
          <w:spacing w:val="-5"/>
          <w:lang w:eastAsia="en-US"/>
        </w:rPr>
        <w:t xml:space="preserve">Alates registreeritud väikefondi valitsejate turu elavnemisest 2020. aastal on peamisteks riskifaktoriteks Finantsinspektsiooni hinnangul tõusnud </w:t>
      </w:r>
      <w:proofErr w:type="spellStart"/>
      <w:r w:rsidRPr="003331EF">
        <w:rPr>
          <w:bCs/>
          <w:iCs/>
          <w:spacing w:val="-5"/>
          <w:lang w:eastAsia="en-US"/>
        </w:rPr>
        <w:t>krüptoinvesteeringud</w:t>
      </w:r>
      <w:proofErr w:type="spellEnd"/>
      <w:r w:rsidRPr="003331EF">
        <w:rPr>
          <w:bCs/>
          <w:iCs/>
          <w:spacing w:val="-5"/>
          <w:lang w:eastAsia="en-US"/>
        </w:rPr>
        <w:t xml:space="preserve"> ning Eestiga seost mitteomavate ja kõrge rahapesu riskiga äriühingute registreerimise taotlused. 2022. aasta </w:t>
      </w:r>
      <w:proofErr w:type="spellStart"/>
      <w:r w:rsidRPr="003331EF">
        <w:rPr>
          <w:bCs/>
          <w:iCs/>
          <w:spacing w:val="-5"/>
          <w:lang w:eastAsia="en-US"/>
        </w:rPr>
        <w:t>krüpto</w:t>
      </w:r>
      <w:r w:rsidR="00F550D2" w:rsidRPr="003331EF">
        <w:rPr>
          <w:bCs/>
          <w:iCs/>
          <w:spacing w:val="-5"/>
          <w:lang w:eastAsia="en-US"/>
        </w:rPr>
        <w:t>vara</w:t>
      </w:r>
      <w:r w:rsidRPr="003331EF">
        <w:rPr>
          <w:bCs/>
          <w:iCs/>
          <w:spacing w:val="-5"/>
          <w:lang w:eastAsia="en-US"/>
        </w:rPr>
        <w:t>turu</w:t>
      </w:r>
      <w:proofErr w:type="spellEnd"/>
      <w:r w:rsidRPr="003331EF">
        <w:rPr>
          <w:bCs/>
          <w:iCs/>
          <w:spacing w:val="-5"/>
          <w:lang w:eastAsia="en-US"/>
        </w:rPr>
        <w:t xml:space="preserve"> negatiivsed sündmused on küll vähendanud taotlejate arvu, kes soovivad valitseda </w:t>
      </w:r>
      <w:proofErr w:type="spellStart"/>
      <w:r w:rsidRPr="003331EF">
        <w:rPr>
          <w:bCs/>
          <w:iCs/>
          <w:spacing w:val="-5"/>
          <w:lang w:eastAsia="en-US"/>
        </w:rPr>
        <w:t>krüptofonde</w:t>
      </w:r>
      <w:proofErr w:type="spellEnd"/>
      <w:r w:rsidRPr="003331EF">
        <w:rPr>
          <w:bCs/>
          <w:iCs/>
          <w:spacing w:val="-5"/>
          <w:lang w:eastAsia="en-US"/>
        </w:rPr>
        <w:t xml:space="preserve">, ja seda peaks vähendama ka käesolev </w:t>
      </w:r>
      <w:proofErr w:type="spellStart"/>
      <w:r w:rsidRPr="003331EF">
        <w:rPr>
          <w:bCs/>
          <w:iCs/>
          <w:spacing w:val="-5"/>
          <w:lang w:eastAsia="en-US"/>
        </w:rPr>
        <w:t>krüptovaraturu</w:t>
      </w:r>
      <w:proofErr w:type="spellEnd"/>
      <w:r w:rsidRPr="003331EF">
        <w:rPr>
          <w:bCs/>
          <w:iCs/>
          <w:spacing w:val="-5"/>
          <w:lang w:eastAsia="en-US"/>
        </w:rPr>
        <w:t xml:space="preserve"> seaduse eelnõu, kuid kõik olulised riskid </w:t>
      </w:r>
      <w:r w:rsidR="00C82CFB" w:rsidRPr="003331EF">
        <w:rPr>
          <w:bCs/>
          <w:iCs/>
          <w:spacing w:val="-5"/>
          <w:lang w:eastAsia="en-US"/>
        </w:rPr>
        <w:t xml:space="preserve">ei lange </w:t>
      </w:r>
      <w:r w:rsidRPr="003331EF">
        <w:rPr>
          <w:bCs/>
          <w:iCs/>
          <w:spacing w:val="-5"/>
          <w:lang w:eastAsia="en-US"/>
        </w:rPr>
        <w:t xml:space="preserve">ära ka üksi </w:t>
      </w:r>
      <w:proofErr w:type="spellStart"/>
      <w:r w:rsidRPr="003331EF">
        <w:rPr>
          <w:bCs/>
          <w:iCs/>
          <w:spacing w:val="-5"/>
          <w:lang w:eastAsia="en-US"/>
        </w:rPr>
        <w:t>krüptovaraturu</w:t>
      </w:r>
      <w:proofErr w:type="spellEnd"/>
      <w:r w:rsidRPr="003331EF">
        <w:rPr>
          <w:bCs/>
          <w:iCs/>
          <w:spacing w:val="-5"/>
          <w:lang w:eastAsia="en-US"/>
        </w:rPr>
        <w:t xml:space="preserve"> seaduse jõustumisega.</w:t>
      </w:r>
      <w:r w:rsidR="00C82CFB" w:rsidRPr="003331EF">
        <w:rPr>
          <w:bCs/>
          <w:iCs/>
          <w:spacing w:val="-5"/>
          <w:lang w:eastAsia="en-US"/>
        </w:rPr>
        <w:t xml:space="preserve"> </w:t>
      </w:r>
      <w:r w:rsidRPr="003331EF">
        <w:rPr>
          <w:bCs/>
          <w:iCs/>
          <w:spacing w:val="-5"/>
          <w:lang w:eastAsia="en-US"/>
        </w:rPr>
        <w:t xml:space="preserve"> </w:t>
      </w:r>
    </w:p>
    <w:p w14:paraId="4066F3D8" w14:textId="77777777" w:rsidR="00997EEC" w:rsidRPr="003331EF" w:rsidRDefault="00997EEC" w:rsidP="003331EF">
      <w:pPr>
        <w:spacing w:before="0"/>
        <w:rPr>
          <w:bCs/>
          <w:iCs/>
          <w:spacing w:val="-5"/>
          <w:lang w:eastAsia="en-US"/>
        </w:rPr>
      </w:pPr>
    </w:p>
    <w:p w14:paraId="6302D806" w14:textId="27A51A90" w:rsidR="00997EEC" w:rsidRPr="003331EF" w:rsidRDefault="00997EEC" w:rsidP="003331EF">
      <w:pPr>
        <w:spacing w:before="0"/>
        <w:rPr>
          <w:bCs/>
          <w:iCs/>
          <w:spacing w:val="-5"/>
          <w:lang w:eastAsia="en-US"/>
        </w:rPr>
      </w:pPr>
      <w:r w:rsidRPr="003331EF">
        <w:rPr>
          <w:bCs/>
          <w:iCs/>
          <w:spacing w:val="-5"/>
          <w:lang w:eastAsia="en-US"/>
        </w:rPr>
        <w:t>Tegevusloata väikefondi valitseja tegevuse registreerimise ja registrist kustutamise regulatsioone täiendati mõnevõrra küll 2022. aasta</w:t>
      </w:r>
      <w:r w:rsidRPr="00605ECB">
        <w:rPr>
          <w:bCs/>
          <w:iCs/>
          <w:spacing w:val="-5"/>
          <w:lang w:eastAsia="en-US"/>
        </w:rPr>
        <w:t>l</w:t>
      </w:r>
      <w:r w:rsidR="005D38BE" w:rsidRPr="00605ECB">
        <w:rPr>
          <w:rStyle w:val="Allmrkuseviide"/>
          <w:b w:val="0"/>
          <w:iCs/>
          <w:spacing w:val="-5"/>
          <w:lang w:eastAsia="en-US"/>
        </w:rPr>
        <w:footnoteReference w:id="19"/>
      </w:r>
      <w:r w:rsidRPr="00605ECB">
        <w:rPr>
          <w:b/>
          <w:iCs/>
          <w:spacing w:val="-5"/>
          <w:lang w:eastAsia="en-US"/>
        </w:rPr>
        <w:t>,</w:t>
      </w:r>
      <w:r w:rsidRPr="003331EF">
        <w:rPr>
          <w:bCs/>
          <w:iCs/>
          <w:spacing w:val="-5"/>
          <w:lang w:eastAsia="en-US"/>
        </w:rPr>
        <w:t xml:space="preserve"> kuid </w:t>
      </w:r>
      <w:r w:rsidR="005D38BE" w:rsidRPr="003331EF">
        <w:rPr>
          <w:bCs/>
          <w:iCs/>
          <w:spacing w:val="-5"/>
          <w:lang w:eastAsia="en-US"/>
        </w:rPr>
        <w:t>eelnõu menetluse käigus näiteks kapitalinõude kehtestamisest loobuti. Paraku on praktikas ilmnenud, et tehtud</w:t>
      </w:r>
      <w:r w:rsidRPr="003331EF">
        <w:rPr>
          <w:bCs/>
          <w:iCs/>
          <w:spacing w:val="-5"/>
          <w:lang w:eastAsia="en-US"/>
        </w:rPr>
        <w:t xml:space="preserve"> muudatused ei ole olnud </w:t>
      </w:r>
      <w:r w:rsidR="005D38BE" w:rsidRPr="003331EF">
        <w:rPr>
          <w:bCs/>
          <w:iCs/>
          <w:spacing w:val="-5"/>
          <w:lang w:eastAsia="en-US"/>
        </w:rPr>
        <w:t xml:space="preserve"> ülal</w:t>
      </w:r>
      <w:r w:rsidRPr="003331EF">
        <w:rPr>
          <w:bCs/>
          <w:iCs/>
          <w:spacing w:val="-5"/>
          <w:lang w:eastAsia="en-US"/>
        </w:rPr>
        <w:t xml:space="preserve"> viidatud probleemide</w:t>
      </w:r>
      <w:r w:rsidR="005D38BE" w:rsidRPr="003331EF">
        <w:rPr>
          <w:bCs/>
          <w:iCs/>
          <w:spacing w:val="-5"/>
          <w:lang w:eastAsia="en-US"/>
        </w:rPr>
        <w:t xml:space="preserve"> lahendamiseks</w:t>
      </w:r>
      <w:r w:rsidRPr="003331EF">
        <w:rPr>
          <w:bCs/>
          <w:iCs/>
          <w:spacing w:val="-5"/>
          <w:lang w:eastAsia="en-US"/>
        </w:rPr>
        <w:t xml:space="preserve"> ja sektoriga seonduva</w:t>
      </w:r>
      <w:r w:rsidR="005D38BE" w:rsidRPr="003331EF">
        <w:rPr>
          <w:bCs/>
          <w:iCs/>
          <w:spacing w:val="-5"/>
          <w:lang w:eastAsia="en-US"/>
        </w:rPr>
        <w:t>te</w:t>
      </w:r>
      <w:r w:rsidRPr="003331EF">
        <w:rPr>
          <w:bCs/>
          <w:iCs/>
          <w:spacing w:val="-5"/>
          <w:lang w:eastAsia="en-US"/>
        </w:rPr>
        <w:t xml:space="preserve"> risk</w:t>
      </w:r>
      <w:r w:rsidR="005D38BE" w:rsidRPr="003331EF">
        <w:rPr>
          <w:bCs/>
          <w:iCs/>
          <w:spacing w:val="-5"/>
          <w:lang w:eastAsia="en-US"/>
        </w:rPr>
        <w:t>id</w:t>
      </w:r>
      <w:r w:rsidRPr="003331EF">
        <w:rPr>
          <w:bCs/>
          <w:iCs/>
          <w:spacing w:val="-5"/>
          <w:lang w:eastAsia="en-US"/>
        </w:rPr>
        <w:t>e maanda</w:t>
      </w:r>
      <w:r w:rsidR="005D38BE" w:rsidRPr="003331EF">
        <w:rPr>
          <w:bCs/>
          <w:iCs/>
          <w:spacing w:val="-5"/>
          <w:lang w:eastAsia="en-US"/>
        </w:rPr>
        <w:t>miseks piisavad</w:t>
      </w:r>
      <w:r w:rsidRPr="003331EF">
        <w:rPr>
          <w:bCs/>
          <w:iCs/>
          <w:spacing w:val="-5"/>
          <w:lang w:eastAsia="en-US"/>
        </w:rPr>
        <w:t xml:space="preserve">.   </w:t>
      </w:r>
    </w:p>
    <w:p w14:paraId="11147FBC" w14:textId="77777777" w:rsidR="00997EEC" w:rsidRPr="003331EF" w:rsidRDefault="00997EEC" w:rsidP="003331EF">
      <w:pPr>
        <w:spacing w:before="0"/>
      </w:pPr>
    </w:p>
    <w:p w14:paraId="7F2649EC" w14:textId="77777777" w:rsidR="00997EEC" w:rsidRPr="003331EF" w:rsidRDefault="00997EEC" w:rsidP="003331EF">
      <w:pPr>
        <w:spacing w:before="0"/>
        <w:rPr>
          <w:bCs/>
          <w:iCs/>
          <w:spacing w:val="-5"/>
          <w:lang w:eastAsia="en-US"/>
        </w:rPr>
      </w:pPr>
      <w:r w:rsidRPr="003331EF">
        <w:rPr>
          <w:bCs/>
          <w:iCs/>
          <w:spacing w:val="-5"/>
          <w:lang w:eastAsia="en-US"/>
        </w:rPr>
        <w:t xml:space="preserve">Finantsinspektsioon on välja toonud, et näiteks on tegevusloata väikefondi valitseja registreeringu taotlejad uutele registreerimist puudutavatele nõuetele reageerinud lihtsalt strateegia muutmisega – registreeringu taotlejate juhatuse liikmeteks on palgatud küll kohalikud isikud, kuid iga menetluse käigus ei ole võimalik Finantsinspektsioonil veenduda, et need isikud omavad fondivalitseja juhtimises reaalset rolli ega ole juhatusse nimetatud pelgalt </w:t>
      </w:r>
      <w:proofErr w:type="spellStart"/>
      <w:r w:rsidRPr="003331EF">
        <w:rPr>
          <w:bCs/>
          <w:iCs/>
          <w:spacing w:val="-5"/>
          <w:lang w:eastAsia="en-US"/>
        </w:rPr>
        <w:t>IFS-i</w:t>
      </w:r>
      <w:proofErr w:type="spellEnd"/>
      <w:r w:rsidRPr="003331EF">
        <w:rPr>
          <w:bCs/>
          <w:iCs/>
          <w:spacing w:val="-5"/>
          <w:lang w:eastAsia="en-US"/>
        </w:rPr>
        <w:t xml:space="preserve"> ja Finantsinspektsiooni soovitusliku juhendi nõuete formaalseks täitmiseks. Uue, potentsiaalselt ohtliku trendina on hoogustunud äriõiguse nõustajate poolt tegevusloata väikefondi valitsejate registreerimine edasimüügi eesmärgil. </w:t>
      </w:r>
      <w:r w:rsidRPr="003331EF">
        <w:rPr>
          <w:bCs/>
          <w:iCs/>
          <w:spacing w:val="-5"/>
          <w:lang w:eastAsia="en-US"/>
        </w:rPr>
        <w:lastRenderedPageBreak/>
        <w:t xml:space="preserve">Sellistel juhtumitel võivad seaduse nõuded olla formaalselt küll täidetud, kuid Finantsinspektsioonil puudub kehtivas raamistikus võimalus veenduda, et nõuete täitmine on tagatud ka peale registreeritud väikefondi valitseja müüki. </w:t>
      </w:r>
    </w:p>
    <w:p w14:paraId="57CFA264" w14:textId="77777777" w:rsidR="00997EEC" w:rsidRPr="003331EF" w:rsidRDefault="00997EEC" w:rsidP="003331EF">
      <w:pPr>
        <w:spacing w:before="0"/>
        <w:rPr>
          <w:bCs/>
          <w:iCs/>
          <w:spacing w:val="-5"/>
          <w:lang w:eastAsia="en-US"/>
        </w:rPr>
      </w:pPr>
    </w:p>
    <w:p w14:paraId="7AEEEA93" w14:textId="77777777" w:rsidR="00997EEC" w:rsidRPr="003331EF" w:rsidRDefault="00997EEC" w:rsidP="003331EF">
      <w:pPr>
        <w:spacing w:before="0"/>
        <w:rPr>
          <w:bCs/>
          <w:iCs/>
          <w:spacing w:val="-5"/>
          <w:lang w:eastAsia="en-US"/>
        </w:rPr>
      </w:pPr>
      <w:r w:rsidRPr="003331EF">
        <w:rPr>
          <w:bCs/>
          <w:iCs/>
          <w:spacing w:val="-5"/>
          <w:lang w:eastAsia="en-US"/>
        </w:rPr>
        <w:t xml:space="preserve">Finantsinspektsiooni hinnangul on praktikas ilmnenud kitsaskohad ka IFS-s sisalduvates registrist kustutamise sätetes. Seaduses selleks sätestatud alused ei võimalda tegevusloata väikefondi valitsejat õiguskindlalt ja efektiivselt registrist kustutada ning kehtiv regulatsioon ei sisalda ka kustutamiseks vajalikke menetlusnorme. Samal ajal on registrist kustutamine muutunud aktuaalseks halvenenud aruandluse distsipliini ja kvaliteedi taustal. </w:t>
      </w:r>
    </w:p>
    <w:p w14:paraId="405ED7E6" w14:textId="77777777" w:rsidR="005078BE" w:rsidRPr="003331EF" w:rsidRDefault="005078BE" w:rsidP="003331EF">
      <w:pPr>
        <w:spacing w:before="0"/>
        <w:rPr>
          <w:bCs/>
          <w:iCs/>
          <w:spacing w:val="-5"/>
          <w:lang w:eastAsia="en-US"/>
        </w:rPr>
      </w:pPr>
    </w:p>
    <w:p w14:paraId="3AAA15BE" w14:textId="77777777" w:rsidR="00997EEC" w:rsidRPr="003331EF" w:rsidRDefault="00997EEC" w:rsidP="003331EF">
      <w:pPr>
        <w:spacing w:before="0"/>
        <w:rPr>
          <w:bCs/>
          <w:iCs/>
          <w:spacing w:val="-5"/>
          <w:lang w:eastAsia="en-US"/>
        </w:rPr>
      </w:pPr>
      <w:r w:rsidRPr="003331EF">
        <w:rPr>
          <w:bCs/>
          <w:iCs/>
          <w:spacing w:val="-5"/>
          <w:lang w:eastAsia="en-US"/>
        </w:rPr>
        <w:t>Eelnõu viidatud kitsaskohti adresseeribki ja toob vajalikud täiendused tegevusloata väikefondi valitsejate registreerimise ja registrist kustutamise protsessidesse ning registreeritud väikefondi valitseja tegevuse nõuetesse.</w:t>
      </w:r>
    </w:p>
    <w:p w14:paraId="10A44E3A" w14:textId="77777777" w:rsidR="00BE3307" w:rsidRPr="003331EF" w:rsidRDefault="00BE3307" w:rsidP="003331EF">
      <w:pPr>
        <w:spacing w:before="0"/>
        <w:rPr>
          <w:bCs/>
          <w:iCs/>
          <w:spacing w:val="-5"/>
          <w:lang w:eastAsia="en-US"/>
        </w:rPr>
      </w:pPr>
    </w:p>
    <w:p w14:paraId="773623C4" w14:textId="1F9F508B" w:rsidR="00BE3307" w:rsidRPr="003331EF" w:rsidRDefault="00BE3307" w:rsidP="003331EF">
      <w:pPr>
        <w:spacing w:before="0"/>
        <w:rPr>
          <w:iCs/>
          <w:spacing w:val="-5"/>
          <w:lang w:eastAsia="en-US"/>
        </w:rPr>
      </w:pPr>
      <w:r w:rsidRPr="003331EF">
        <w:rPr>
          <w:iCs/>
          <w:spacing w:val="-5"/>
          <w:lang w:eastAsia="en-US"/>
        </w:rPr>
        <w:t>Arvestades, et praktikas on Finantsinspektsiooni koormus väikefondi valitsejate registreerimisel ja registrist kustutamisel ning IFS § 455 lõikes 8 sätestatud ulatuses järelevalve teostamisel oluliselt mahukamaks kujunenud, kui seda vastava regulatsiooni kujundamisel algselt ette nähti, tõstetakse eelnõuga väikefondi valitsejana tegevuse registreerimise taotluse menetlustasu 1000 eurolt 2000</w:t>
      </w:r>
      <w:r w:rsidR="00605ECB">
        <w:rPr>
          <w:iCs/>
          <w:spacing w:val="-5"/>
          <w:lang w:eastAsia="en-US"/>
        </w:rPr>
        <w:t> </w:t>
      </w:r>
      <w:r w:rsidRPr="003331EF">
        <w:rPr>
          <w:iCs/>
          <w:spacing w:val="-5"/>
          <w:lang w:eastAsia="en-US"/>
        </w:rPr>
        <w:t>eurole ja kehtestatakse väikefondi valitsejatele, kes on oma tegevuse Finantsinspektsioonis registreerinud, järelevalvetasu kapitaliosa, suuruses 1% kahekordsest kapitalinõudest ehk 500</w:t>
      </w:r>
      <w:r w:rsidR="00605ECB">
        <w:rPr>
          <w:iCs/>
          <w:spacing w:val="-5"/>
          <w:lang w:eastAsia="en-US"/>
        </w:rPr>
        <w:t> </w:t>
      </w:r>
      <w:r w:rsidRPr="003331EF">
        <w:rPr>
          <w:iCs/>
          <w:spacing w:val="-5"/>
          <w:lang w:eastAsia="en-US"/>
        </w:rPr>
        <w:t xml:space="preserve">eurot aastas. Finantsinspektsiooni kulud finantseeritakse järelevalvesubjektide poolt makstavate menetlus- ja järelevalvetasude arvelt. </w:t>
      </w:r>
      <w:commentRangeStart w:id="4"/>
      <w:r w:rsidRPr="003331EF">
        <w:rPr>
          <w:iCs/>
          <w:spacing w:val="-5"/>
          <w:lang w:eastAsia="en-US"/>
        </w:rPr>
        <w:t xml:space="preserve">Kõnealuseid väikefondi valitsejaid puudutavate toimingutega kaasnevate kulude finantseerimist teiste finantsjärelevalve subjektide poolt ei saa pidada õiglaseks ega põhjendatuks. </w:t>
      </w:r>
      <w:commentRangeEnd w:id="4"/>
      <w:r w:rsidR="0075560B">
        <w:rPr>
          <w:rStyle w:val="Kommentaariviide"/>
          <w:lang w:val="en-GB" w:eastAsia="en-US"/>
        </w:rPr>
        <w:commentReference w:id="4"/>
      </w:r>
    </w:p>
    <w:p w14:paraId="1CD1DC26" w14:textId="77777777" w:rsidR="00C0771D" w:rsidRPr="003331EF" w:rsidRDefault="00C0771D" w:rsidP="003331EF">
      <w:pPr>
        <w:spacing w:before="0"/>
      </w:pPr>
    </w:p>
    <w:p w14:paraId="345A1BFC" w14:textId="69691031" w:rsidR="005B2696" w:rsidRPr="003331EF" w:rsidRDefault="00B9578A" w:rsidP="003331EF">
      <w:pPr>
        <w:pStyle w:val="Pealkiri1"/>
        <w:numPr>
          <w:ilvl w:val="0"/>
          <w:numId w:val="9"/>
        </w:numPr>
        <w:rPr>
          <w:caps/>
          <w:color w:val="auto"/>
          <w:sz w:val="24"/>
          <w:lang w:val="et-EE"/>
        </w:rPr>
      </w:pPr>
      <w:r w:rsidRPr="003331EF">
        <w:rPr>
          <w:caps/>
          <w:color w:val="auto"/>
          <w:sz w:val="24"/>
          <w:lang w:val="et-EE"/>
        </w:rPr>
        <w:t>Eelnõu sisu ja võrdlev analüüs</w:t>
      </w:r>
    </w:p>
    <w:bookmarkEnd w:id="2"/>
    <w:p w14:paraId="7C3881F1" w14:textId="05DEDEC0" w:rsidR="00F81F42" w:rsidRPr="003331EF" w:rsidRDefault="000D082E" w:rsidP="003331EF">
      <w:pPr>
        <w:spacing w:before="0"/>
        <w:rPr>
          <w:b/>
        </w:rPr>
      </w:pPr>
      <w:r w:rsidRPr="003331EF">
        <w:rPr>
          <w:b/>
        </w:rPr>
        <w:t xml:space="preserve">3.1. </w:t>
      </w:r>
      <w:r w:rsidR="00F81F42" w:rsidRPr="003331EF">
        <w:rPr>
          <w:b/>
        </w:rPr>
        <w:t>Ülevaade eelnõu ülesehitusest</w:t>
      </w:r>
    </w:p>
    <w:p w14:paraId="5DFB87A4" w14:textId="77777777" w:rsidR="00903670" w:rsidRPr="003331EF" w:rsidRDefault="00903670" w:rsidP="003331EF">
      <w:pPr>
        <w:pStyle w:val="muutmisksk"/>
        <w:spacing w:before="0"/>
      </w:pPr>
    </w:p>
    <w:p w14:paraId="03CDA019" w14:textId="46E17BDE" w:rsidR="00903670" w:rsidRPr="003331EF" w:rsidRDefault="00903670" w:rsidP="003331EF">
      <w:pPr>
        <w:pStyle w:val="muutmisksk"/>
        <w:spacing w:before="0"/>
        <w:rPr>
          <w:b/>
          <w:bCs/>
        </w:rPr>
      </w:pPr>
      <w:r w:rsidRPr="003331EF">
        <w:rPr>
          <w:b/>
          <w:bCs/>
        </w:rPr>
        <w:t xml:space="preserve">1. peatükk. </w:t>
      </w:r>
      <w:bookmarkStart w:id="5" w:name="_Toc48637097"/>
      <w:bookmarkStart w:id="6" w:name="_Toc108170565"/>
      <w:r w:rsidRPr="003331EF">
        <w:rPr>
          <w:b/>
          <w:bCs/>
        </w:rPr>
        <w:t>Üldsätted</w:t>
      </w:r>
      <w:bookmarkEnd w:id="5"/>
      <w:bookmarkEnd w:id="6"/>
    </w:p>
    <w:p w14:paraId="6A101EFF" w14:textId="41202EB7" w:rsidR="003174D9" w:rsidRPr="003331EF" w:rsidRDefault="003F69BD" w:rsidP="003331EF">
      <w:pPr>
        <w:pStyle w:val="muutmisksk"/>
        <w:spacing w:before="0"/>
        <w:rPr>
          <w:bCs/>
          <w:iCs/>
          <w:spacing w:val="-5"/>
          <w:lang w:eastAsia="en-US"/>
        </w:rPr>
      </w:pPr>
      <w:r w:rsidRPr="003331EF">
        <w:rPr>
          <w:bCs/>
          <w:iCs/>
          <w:spacing w:val="-5"/>
          <w:lang w:eastAsia="en-US"/>
        </w:rPr>
        <w:t>§ 1. Seaduse reguleerimis</w:t>
      </w:r>
      <w:r w:rsidR="003174D9" w:rsidRPr="003331EF">
        <w:rPr>
          <w:bCs/>
          <w:iCs/>
          <w:spacing w:val="-5"/>
          <w:lang w:eastAsia="en-US"/>
        </w:rPr>
        <w:t>ala</w:t>
      </w:r>
    </w:p>
    <w:p w14:paraId="23EE4A42" w14:textId="7358AB2A" w:rsidR="003F69BD" w:rsidRPr="003331EF" w:rsidRDefault="003174D9" w:rsidP="003331EF">
      <w:pPr>
        <w:pStyle w:val="muutmisksk"/>
        <w:spacing w:before="0"/>
        <w:rPr>
          <w:bCs/>
          <w:iCs/>
          <w:spacing w:val="-5"/>
          <w:lang w:eastAsia="en-US"/>
        </w:rPr>
      </w:pPr>
      <w:r w:rsidRPr="003331EF">
        <w:rPr>
          <w:bCs/>
          <w:iCs/>
          <w:spacing w:val="-5"/>
          <w:lang w:eastAsia="en-US"/>
        </w:rPr>
        <w:t>§ 2. Seaduse</w:t>
      </w:r>
      <w:r w:rsidR="003F69BD" w:rsidRPr="003331EF">
        <w:rPr>
          <w:bCs/>
          <w:iCs/>
          <w:spacing w:val="-5"/>
          <w:lang w:eastAsia="en-US"/>
        </w:rPr>
        <w:t xml:space="preserve"> kohaldamisala</w:t>
      </w:r>
    </w:p>
    <w:p w14:paraId="7691E99B" w14:textId="2A18ABB3" w:rsidR="00903670" w:rsidRPr="003331EF" w:rsidRDefault="003174D9" w:rsidP="003331EF">
      <w:pPr>
        <w:pStyle w:val="muutmisksk"/>
        <w:spacing w:before="0"/>
        <w:rPr>
          <w:bCs/>
          <w:iCs/>
          <w:spacing w:val="-5"/>
          <w:lang w:eastAsia="en-US"/>
        </w:rPr>
      </w:pPr>
      <w:r w:rsidRPr="003331EF">
        <w:rPr>
          <w:bCs/>
          <w:iCs/>
          <w:spacing w:val="-5"/>
          <w:lang w:eastAsia="en-US"/>
        </w:rPr>
        <w:t xml:space="preserve">§ 3. </w:t>
      </w:r>
      <w:proofErr w:type="spellStart"/>
      <w:r w:rsidRPr="003331EF">
        <w:rPr>
          <w:bCs/>
          <w:iCs/>
          <w:spacing w:val="-5"/>
          <w:lang w:eastAsia="en-US"/>
        </w:rPr>
        <w:t>Krüptovaraturu</w:t>
      </w:r>
      <w:proofErr w:type="spellEnd"/>
      <w:r w:rsidRPr="003331EF">
        <w:rPr>
          <w:bCs/>
          <w:iCs/>
          <w:spacing w:val="-5"/>
          <w:lang w:eastAsia="en-US"/>
        </w:rPr>
        <w:t xml:space="preserve"> osaline</w:t>
      </w:r>
    </w:p>
    <w:p w14:paraId="46BF4135" w14:textId="2A1AFC78" w:rsidR="003174D9" w:rsidRPr="003331EF" w:rsidRDefault="003174D9" w:rsidP="003331EF">
      <w:pPr>
        <w:pStyle w:val="muutmisksk"/>
        <w:spacing w:before="0"/>
        <w:rPr>
          <w:bCs/>
          <w:iCs/>
          <w:spacing w:val="-5"/>
          <w:lang w:eastAsia="en-US"/>
        </w:rPr>
      </w:pPr>
      <w:r w:rsidRPr="003331EF">
        <w:rPr>
          <w:bCs/>
          <w:iCs/>
          <w:spacing w:val="-5"/>
          <w:lang w:eastAsia="en-US"/>
        </w:rPr>
        <w:t xml:space="preserve">§ 4. </w:t>
      </w:r>
      <w:r w:rsidR="00247A16" w:rsidRPr="003331EF">
        <w:rPr>
          <w:bCs/>
          <w:iCs/>
          <w:spacing w:val="-5"/>
          <w:lang w:eastAsia="en-US"/>
        </w:rPr>
        <w:t>T</w:t>
      </w:r>
      <w:r w:rsidRPr="003331EF">
        <w:rPr>
          <w:bCs/>
          <w:iCs/>
          <w:spacing w:val="-5"/>
          <w:lang w:eastAsia="en-US"/>
        </w:rPr>
        <w:t>erminid</w:t>
      </w:r>
    </w:p>
    <w:p w14:paraId="7A44D976" w14:textId="77777777" w:rsidR="003174D9" w:rsidRPr="003331EF" w:rsidRDefault="003174D9" w:rsidP="003331EF">
      <w:pPr>
        <w:pStyle w:val="muutmisksk"/>
        <w:spacing w:before="0"/>
      </w:pPr>
    </w:p>
    <w:p w14:paraId="08989248" w14:textId="358AABD2" w:rsidR="00903670" w:rsidRPr="003331EF" w:rsidRDefault="00903670" w:rsidP="003331EF">
      <w:pPr>
        <w:pStyle w:val="muutmisksk"/>
        <w:spacing w:before="0"/>
        <w:rPr>
          <w:b/>
          <w:bCs/>
          <w:i/>
          <w:iCs/>
        </w:rPr>
      </w:pPr>
      <w:r w:rsidRPr="003331EF">
        <w:rPr>
          <w:b/>
          <w:bCs/>
        </w:rPr>
        <w:t xml:space="preserve">2. peatükk. </w:t>
      </w:r>
      <w:bookmarkStart w:id="7" w:name="_Toc48637128"/>
      <w:bookmarkStart w:id="8" w:name="_Toc108170595"/>
      <w:r w:rsidRPr="003331EF">
        <w:rPr>
          <w:b/>
          <w:bCs/>
        </w:rPr>
        <w:t>Nõuded</w:t>
      </w:r>
      <w:bookmarkEnd w:id="7"/>
      <w:r w:rsidRPr="003331EF">
        <w:rPr>
          <w:b/>
          <w:bCs/>
        </w:rPr>
        <w:t xml:space="preserve"> </w:t>
      </w:r>
      <w:proofErr w:type="spellStart"/>
      <w:r w:rsidRPr="003331EF">
        <w:rPr>
          <w:b/>
          <w:bCs/>
        </w:rPr>
        <w:t>krüptovaraturu</w:t>
      </w:r>
      <w:proofErr w:type="spellEnd"/>
      <w:r w:rsidRPr="003331EF">
        <w:rPr>
          <w:b/>
          <w:bCs/>
        </w:rPr>
        <w:t xml:space="preserve"> osalisele ja tema tegevusele</w:t>
      </w:r>
      <w:bookmarkEnd w:id="8"/>
      <w:r w:rsidRPr="003331EF">
        <w:rPr>
          <w:b/>
          <w:bCs/>
        </w:rPr>
        <w:t xml:space="preserve"> </w:t>
      </w:r>
    </w:p>
    <w:p w14:paraId="0DD2BF0D" w14:textId="0661A590" w:rsidR="003F69BD" w:rsidRPr="003331EF" w:rsidRDefault="003F69BD" w:rsidP="003331EF">
      <w:pPr>
        <w:pStyle w:val="muutmisksk"/>
        <w:spacing w:before="0"/>
        <w:rPr>
          <w:bCs/>
          <w:iCs/>
          <w:spacing w:val="-5"/>
          <w:lang w:eastAsia="en-US"/>
        </w:rPr>
      </w:pPr>
      <w:bookmarkStart w:id="9" w:name="_Toc48637129"/>
      <w:bookmarkStart w:id="10" w:name="_Toc108170596"/>
      <w:r w:rsidRPr="003331EF">
        <w:rPr>
          <w:bCs/>
          <w:iCs/>
          <w:spacing w:val="-5"/>
          <w:lang w:eastAsia="en-US"/>
        </w:rPr>
        <w:t xml:space="preserve">§ </w:t>
      </w:r>
      <w:r w:rsidR="003174D9" w:rsidRPr="003331EF">
        <w:rPr>
          <w:bCs/>
          <w:iCs/>
          <w:spacing w:val="-5"/>
          <w:lang w:eastAsia="en-US"/>
        </w:rPr>
        <w:t>5</w:t>
      </w:r>
      <w:r w:rsidRPr="003331EF">
        <w:rPr>
          <w:bCs/>
          <w:iCs/>
          <w:spacing w:val="-5"/>
          <w:lang w:eastAsia="en-US"/>
        </w:rPr>
        <w:t xml:space="preserve">. </w:t>
      </w:r>
      <w:proofErr w:type="spellStart"/>
      <w:r w:rsidRPr="003331EF">
        <w:rPr>
          <w:bCs/>
          <w:iCs/>
          <w:spacing w:val="-5"/>
          <w:lang w:eastAsia="en-US"/>
        </w:rPr>
        <w:t>Krüptovaraturu</w:t>
      </w:r>
      <w:proofErr w:type="spellEnd"/>
      <w:r w:rsidRPr="003331EF">
        <w:rPr>
          <w:bCs/>
          <w:iCs/>
          <w:spacing w:val="-5"/>
          <w:lang w:eastAsia="en-US"/>
        </w:rPr>
        <w:t xml:space="preserve"> osalise</w:t>
      </w:r>
      <w:bookmarkEnd w:id="9"/>
      <w:bookmarkEnd w:id="10"/>
      <w:r w:rsidR="00247A16" w:rsidRPr="003331EF">
        <w:rPr>
          <w:bCs/>
          <w:iCs/>
          <w:spacing w:val="-5"/>
          <w:lang w:eastAsia="en-US"/>
        </w:rPr>
        <w:t xml:space="preserve"> tegevusluba</w:t>
      </w:r>
    </w:p>
    <w:p w14:paraId="10E121A1" w14:textId="1B0DA176" w:rsidR="00247A16" w:rsidRPr="003331EF" w:rsidRDefault="00247A16" w:rsidP="003331EF">
      <w:pPr>
        <w:pStyle w:val="muutmisksk"/>
        <w:spacing w:before="0"/>
        <w:rPr>
          <w:bCs/>
          <w:iCs/>
          <w:spacing w:val="-5"/>
          <w:lang w:eastAsia="en-US"/>
        </w:rPr>
      </w:pPr>
      <w:r w:rsidRPr="003331EF">
        <w:rPr>
          <w:bCs/>
          <w:iCs/>
          <w:spacing w:val="-5"/>
          <w:lang w:eastAsia="en-US"/>
        </w:rPr>
        <w:t xml:space="preserve">§ 6. </w:t>
      </w:r>
      <w:proofErr w:type="spellStart"/>
      <w:r w:rsidRPr="003331EF">
        <w:rPr>
          <w:bCs/>
          <w:iCs/>
          <w:spacing w:val="-5"/>
          <w:lang w:eastAsia="en-US"/>
        </w:rPr>
        <w:t>Krüptovaraturu</w:t>
      </w:r>
      <w:proofErr w:type="spellEnd"/>
      <w:r w:rsidRPr="003331EF">
        <w:rPr>
          <w:bCs/>
          <w:iCs/>
          <w:spacing w:val="-5"/>
          <w:lang w:eastAsia="en-US"/>
        </w:rPr>
        <w:t xml:space="preserve"> osalisena tegutsemise õigus</w:t>
      </w:r>
    </w:p>
    <w:p w14:paraId="6DA43AB5" w14:textId="6B193B69" w:rsidR="003F69BD" w:rsidRPr="003331EF" w:rsidRDefault="003F69BD" w:rsidP="003331EF">
      <w:pPr>
        <w:pStyle w:val="muutmisksk"/>
        <w:spacing w:before="0"/>
        <w:rPr>
          <w:bCs/>
          <w:iCs/>
          <w:spacing w:val="-5"/>
          <w:lang w:eastAsia="en-US"/>
        </w:rPr>
      </w:pPr>
      <w:r w:rsidRPr="003331EF">
        <w:rPr>
          <w:bCs/>
          <w:iCs/>
          <w:spacing w:val="-5"/>
          <w:lang w:eastAsia="en-US"/>
        </w:rPr>
        <w:t xml:space="preserve">§ </w:t>
      </w:r>
      <w:r w:rsidR="00247A16" w:rsidRPr="003331EF">
        <w:rPr>
          <w:bCs/>
          <w:iCs/>
          <w:spacing w:val="-5"/>
          <w:lang w:eastAsia="en-US"/>
        </w:rPr>
        <w:t>7</w:t>
      </w:r>
      <w:r w:rsidRPr="003331EF">
        <w:rPr>
          <w:bCs/>
          <w:iCs/>
          <w:spacing w:val="-5"/>
          <w:lang w:eastAsia="en-US"/>
        </w:rPr>
        <w:t xml:space="preserve">. Nõuded </w:t>
      </w:r>
      <w:proofErr w:type="spellStart"/>
      <w:r w:rsidRPr="003331EF">
        <w:rPr>
          <w:bCs/>
          <w:iCs/>
          <w:spacing w:val="-5"/>
          <w:lang w:eastAsia="en-US"/>
        </w:rPr>
        <w:t>krüptovaraturu</w:t>
      </w:r>
      <w:proofErr w:type="spellEnd"/>
      <w:r w:rsidRPr="003331EF">
        <w:rPr>
          <w:bCs/>
          <w:iCs/>
          <w:spacing w:val="-5"/>
          <w:lang w:eastAsia="en-US"/>
        </w:rPr>
        <w:t xml:space="preserve"> osalise tegevusele</w:t>
      </w:r>
    </w:p>
    <w:p w14:paraId="1D5EF43F" w14:textId="6FE5BFB9" w:rsidR="003F69BD" w:rsidRPr="003331EF" w:rsidRDefault="003F69BD" w:rsidP="003331EF">
      <w:pPr>
        <w:pStyle w:val="muutmisksk"/>
        <w:spacing w:before="0"/>
        <w:rPr>
          <w:bCs/>
          <w:iCs/>
          <w:spacing w:val="-5"/>
          <w:lang w:eastAsia="en-US"/>
        </w:rPr>
      </w:pPr>
      <w:r w:rsidRPr="003331EF">
        <w:rPr>
          <w:bCs/>
          <w:iCs/>
          <w:spacing w:val="-5"/>
          <w:lang w:eastAsia="en-US"/>
        </w:rPr>
        <w:t xml:space="preserve">§ </w:t>
      </w:r>
      <w:r w:rsidR="00247A16" w:rsidRPr="003331EF">
        <w:rPr>
          <w:bCs/>
          <w:iCs/>
          <w:spacing w:val="-5"/>
          <w:lang w:eastAsia="en-US"/>
        </w:rPr>
        <w:t>8</w:t>
      </w:r>
      <w:r w:rsidRPr="003331EF">
        <w:rPr>
          <w:bCs/>
          <w:iCs/>
          <w:spacing w:val="-5"/>
          <w:lang w:eastAsia="en-US"/>
        </w:rPr>
        <w:t xml:space="preserve">. Nõuded </w:t>
      </w:r>
      <w:proofErr w:type="spellStart"/>
      <w:r w:rsidR="00247A16" w:rsidRPr="003331EF">
        <w:rPr>
          <w:bCs/>
          <w:iCs/>
          <w:spacing w:val="-5"/>
          <w:lang w:eastAsia="en-US"/>
        </w:rPr>
        <w:t>krüptovara</w:t>
      </w:r>
      <w:proofErr w:type="spellEnd"/>
      <w:r w:rsidR="00247A16" w:rsidRPr="003331EF">
        <w:rPr>
          <w:bCs/>
          <w:iCs/>
          <w:spacing w:val="-5"/>
          <w:lang w:eastAsia="en-US"/>
        </w:rPr>
        <w:t xml:space="preserve"> kohta nõu andmisele</w:t>
      </w:r>
    </w:p>
    <w:p w14:paraId="5AB5A49B" w14:textId="5BF8FE83" w:rsidR="003F69BD" w:rsidRPr="003331EF" w:rsidRDefault="003F69BD" w:rsidP="003331EF">
      <w:pPr>
        <w:pStyle w:val="muutmisksk"/>
        <w:spacing w:before="0"/>
        <w:rPr>
          <w:bCs/>
          <w:iCs/>
          <w:spacing w:val="-5"/>
          <w:lang w:eastAsia="en-US"/>
        </w:rPr>
      </w:pPr>
      <w:r w:rsidRPr="003331EF">
        <w:rPr>
          <w:bCs/>
          <w:iCs/>
          <w:spacing w:val="-5"/>
          <w:lang w:eastAsia="en-US"/>
        </w:rPr>
        <w:t xml:space="preserve">§ </w:t>
      </w:r>
      <w:r w:rsidR="00247A16" w:rsidRPr="003331EF">
        <w:rPr>
          <w:bCs/>
          <w:iCs/>
          <w:spacing w:val="-5"/>
          <w:lang w:eastAsia="en-US"/>
        </w:rPr>
        <w:t>9</w:t>
      </w:r>
      <w:r w:rsidRPr="003331EF">
        <w:rPr>
          <w:bCs/>
          <w:iCs/>
          <w:spacing w:val="-5"/>
          <w:lang w:eastAsia="en-US"/>
        </w:rPr>
        <w:t>. Nõuded digitaalsele tegevuskerksusele</w:t>
      </w:r>
    </w:p>
    <w:p w14:paraId="53E8C51F" w14:textId="77777777" w:rsidR="003F69BD" w:rsidRPr="003331EF" w:rsidRDefault="003F69BD" w:rsidP="003331EF">
      <w:pPr>
        <w:pStyle w:val="muutmisksk"/>
        <w:spacing w:before="0"/>
      </w:pPr>
      <w:bookmarkStart w:id="11" w:name="_Toc108170582"/>
    </w:p>
    <w:p w14:paraId="15F6B7A6" w14:textId="2BCFF716" w:rsidR="003F69BD" w:rsidRPr="003331EF" w:rsidRDefault="003F69BD" w:rsidP="003331EF">
      <w:pPr>
        <w:pStyle w:val="muutmisksk"/>
        <w:spacing w:before="0"/>
      </w:pPr>
      <w:r w:rsidRPr="003331EF">
        <w:rPr>
          <w:b/>
          <w:bCs/>
        </w:rPr>
        <w:t>3. peatükk</w:t>
      </w:r>
      <w:bookmarkEnd w:id="11"/>
      <w:r w:rsidR="00903670" w:rsidRPr="003331EF">
        <w:rPr>
          <w:b/>
          <w:bCs/>
        </w:rPr>
        <w:t xml:space="preserve">. </w:t>
      </w:r>
      <w:bookmarkStart w:id="12" w:name="_Toc108170583"/>
      <w:bookmarkStart w:id="13" w:name="_Hlk131515669"/>
      <w:proofErr w:type="spellStart"/>
      <w:r w:rsidR="00247A16" w:rsidRPr="003331EF">
        <w:rPr>
          <w:b/>
          <w:bCs/>
        </w:rPr>
        <w:t>Krüptovaraturu</w:t>
      </w:r>
      <w:proofErr w:type="spellEnd"/>
      <w:r w:rsidR="00247A16" w:rsidRPr="003331EF">
        <w:rPr>
          <w:b/>
          <w:bCs/>
        </w:rPr>
        <w:t xml:space="preserve"> osalise t</w:t>
      </w:r>
      <w:r w:rsidRPr="003331EF">
        <w:rPr>
          <w:b/>
          <w:bCs/>
        </w:rPr>
        <w:t>egevus kolmandas riigis</w:t>
      </w:r>
      <w:bookmarkEnd w:id="12"/>
      <w:r w:rsidR="00247A16" w:rsidRPr="003331EF">
        <w:rPr>
          <w:b/>
          <w:bCs/>
        </w:rPr>
        <w:t xml:space="preserve"> ja lepinguriigi </w:t>
      </w:r>
      <w:proofErr w:type="spellStart"/>
      <w:r w:rsidR="00247A16" w:rsidRPr="003331EF">
        <w:rPr>
          <w:b/>
          <w:bCs/>
        </w:rPr>
        <w:t>krüptovaraturu</w:t>
      </w:r>
      <w:proofErr w:type="spellEnd"/>
      <w:r w:rsidR="00247A16" w:rsidRPr="003331EF">
        <w:rPr>
          <w:b/>
          <w:bCs/>
        </w:rPr>
        <w:t xml:space="preserve"> osalise tegevus Eestis</w:t>
      </w:r>
    </w:p>
    <w:bookmarkEnd w:id="13"/>
    <w:p w14:paraId="3E574291" w14:textId="6446DD15" w:rsidR="003F69BD" w:rsidRPr="003331EF" w:rsidRDefault="003F69BD" w:rsidP="003331EF">
      <w:pPr>
        <w:pStyle w:val="muutmisksk"/>
        <w:spacing w:before="0"/>
        <w:rPr>
          <w:bCs/>
          <w:iCs/>
          <w:spacing w:val="-5"/>
          <w:lang w:eastAsia="en-US"/>
        </w:rPr>
      </w:pPr>
      <w:r w:rsidRPr="003331EF">
        <w:rPr>
          <w:bCs/>
          <w:iCs/>
          <w:spacing w:val="-5"/>
          <w:lang w:eastAsia="en-US"/>
        </w:rPr>
        <w:t xml:space="preserve">§ </w:t>
      </w:r>
      <w:r w:rsidR="003174D9" w:rsidRPr="003331EF">
        <w:rPr>
          <w:bCs/>
          <w:iCs/>
          <w:spacing w:val="-5"/>
          <w:lang w:eastAsia="en-US"/>
        </w:rPr>
        <w:t>10</w:t>
      </w:r>
      <w:r w:rsidRPr="003331EF">
        <w:rPr>
          <w:bCs/>
          <w:iCs/>
          <w:spacing w:val="-5"/>
          <w:lang w:eastAsia="en-US"/>
        </w:rPr>
        <w:t xml:space="preserve">. </w:t>
      </w:r>
      <w:proofErr w:type="spellStart"/>
      <w:r w:rsidRPr="003331EF">
        <w:rPr>
          <w:bCs/>
          <w:iCs/>
          <w:spacing w:val="-5"/>
          <w:lang w:eastAsia="en-US"/>
        </w:rPr>
        <w:t>Krüptovaraturu</w:t>
      </w:r>
      <w:proofErr w:type="spellEnd"/>
      <w:r w:rsidRPr="003331EF">
        <w:rPr>
          <w:bCs/>
          <w:iCs/>
          <w:spacing w:val="-5"/>
          <w:lang w:eastAsia="en-US"/>
        </w:rPr>
        <w:t xml:space="preserve"> osalise kolmandas riigis</w:t>
      </w:r>
      <w:r w:rsidR="00247A16" w:rsidRPr="003331EF">
        <w:rPr>
          <w:bCs/>
          <w:iCs/>
          <w:spacing w:val="-5"/>
          <w:lang w:eastAsia="en-US"/>
        </w:rPr>
        <w:t xml:space="preserve"> tegutsemise nõuded</w:t>
      </w:r>
    </w:p>
    <w:p w14:paraId="0FEE0557" w14:textId="38C65FE1" w:rsidR="003174D9" w:rsidRPr="003331EF" w:rsidRDefault="003174D9" w:rsidP="003331EF">
      <w:pPr>
        <w:pStyle w:val="muutmisksk"/>
        <w:spacing w:before="0"/>
        <w:rPr>
          <w:bCs/>
          <w:iCs/>
          <w:spacing w:val="-5"/>
          <w:lang w:eastAsia="en-US"/>
        </w:rPr>
      </w:pPr>
      <w:r w:rsidRPr="003331EF">
        <w:rPr>
          <w:bCs/>
          <w:iCs/>
          <w:spacing w:val="-5"/>
          <w:lang w:eastAsia="en-US"/>
        </w:rPr>
        <w:t>§ 11. Kolmandas riigis tegutsemise loa kehtetuks tunnistamine</w:t>
      </w:r>
    </w:p>
    <w:p w14:paraId="63B59A84" w14:textId="7A4056DE" w:rsidR="00247A16" w:rsidRPr="003331EF" w:rsidRDefault="00247A16" w:rsidP="003331EF">
      <w:pPr>
        <w:pStyle w:val="muutmisksk"/>
        <w:spacing w:before="0"/>
        <w:rPr>
          <w:bCs/>
          <w:iCs/>
          <w:spacing w:val="-5"/>
          <w:lang w:eastAsia="en-US"/>
        </w:rPr>
      </w:pPr>
      <w:r w:rsidRPr="003331EF">
        <w:rPr>
          <w:bCs/>
          <w:iCs/>
          <w:spacing w:val="-5"/>
          <w:lang w:eastAsia="en-US"/>
        </w:rPr>
        <w:t xml:space="preserve">§ 12. Lepinguriigi </w:t>
      </w:r>
      <w:proofErr w:type="spellStart"/>
      <w:r w:rsidRPr="003331EF">
        <w:rPr>
          <w:bCs/>
          <w:iCs/>
          <w:spacing w:val="-5"/>
          <w:lang w:eastAsia="en-US"/>
        </w:rPr>
        <w:t>krüptovaraturu</w:t>
      </w:r>
      <w:proofErr w:type="spellEnd"/>
      <w:r w:rsidRPr="003331EF">
        <w:rPr>
          <w:bCs/>
          <w:iCs/>
          <w:spacing w:val="-5"/>
          <w:lang w:eastAsia="en-US"/>
        </w:rPr>
        <w:t xml:space="preserve"> osalise tegevus Eestis</w:t>
      </w:r>
    </w:p>
    <w:p w14:paraId="40309C70" w14:textId="77777777" w:rsidR="003F69BD" w:rsidRPr="003331EF" w:rsidRDefault="003F69BD" w:rsidP="003331EF">
      <w:pPr>
        <w:pStyle w:val="muutmisksk"/>
        <w:spacing w:before="0"/>
      </w:pPr>
    </w:p>
    <w:p w14:paraId="5E21C25F" w14:textId="7220A3A2" w:rsidR="003174D9" w:rsidRPr="003331EF" w:rsidRDefault="003174D9" w:rsidP="003331EF">
      <w:pPr>
        <w:pStyle w:val="muutmisksk"/>
        <w:spacing w:before="0"/>
        <w:rPr>
          <w:b/>
          <w:bCs/>
        </w:rPr>
      </w:pPr>
      <w:r w:rsidRPr="003331EF">
        <w:rPr>
          <w:b/>
          <w:bCs/>
        </w:rPr>
        <w:t>4. peatükk. Oluline osalus</w:t>
      </w:r>
    </w:p>
    <w:p w14:paraId="787A78E8" w14:textId="43A2A694" w:rsidR="003174D9" w:rsidRPr="003331EF" w:rsidRDefault="003174D9" w:rsidP="003331EF">
      <w:pPr>
        <w:pStyle w:val="muutmisksk"/>
        <w:spacing w:before="0"/>
      </w:pPr>
      <w:r w:rsidRPr="003331EF">
        <w:rPr>
          <w:bCs/>
          <w:iCs/>
          <w:spacing w:val="-5"/>
          <w:lang w:eastAsia="en-US"/>
        </w:rPr>
        <w:t>§ 1</w:t>
      </w:r>
      <w:r w:rsidR="00247A16" w:rsidRPr="003331EF">
        <w:rPr>
          <w:bCs/>
          <w:iCs/>
          <w:spacing w:val="-5"/>
          <w:lang w:eastAsia="en-US"/>
        </w:rPr>
        <w:t>3</w:t>
      </w:r>
      <w:r w:rsidRPr="003331EF">
        <w:rPr>
          <w:bCs/>
          <w:iCs/>
          <w:spacing w:val="-5"/>
          <w:lang w:eastAsia="en-US"/>
        </w:rPr>
        <w:t>. Olulise osaluse omandamise</w:t>
      </w:r>
      <w:r w:rsidR="00247A16" w:rsidRPr="003331EF">
        <w:rPr>
          <w:bCs/>
          <w:iCs/>
          <w:spacing w:val="-5"/>
          <w:lang w:eastAsia="en-US"/>
        </w:rPr>
        <w:t>, selle suurendamise ja kontrollitavaks äriühinguks muutmise</w:t>
      </w:r>
      <w:r w:rsidRPr="003331EF">
        <w:rPr>
          <w:bCs/>
          <w:iCs/>
          <w:spacing w:val="-5"/>
          <w:lang w:eastAsia="en-US"/>
        </w:rPr>
        <w:t xml:space="preserve"> keelamine </w:t>
      </w:r>
      <w:r w:rsidR="00247A16" w:rsidRPr="003331EF">
        <w:rPr>
          <w:bCs/>
          <w:iCs/>
          <w:spacing w:val="-5"/>
          <w:lang w:eastAsia="en-US"/>
        </w:rPr>
        <w:t xml:space="preserve">ning </w:t>
      </w:r>
      <w:r w:rsidRPr="003331EF">
        <w:rPr>
          <w:bCs/>
          <w:iCs/>
          <w:spacing w:val="-5"/>
          <w:lang w:eastAsia="en-US"/>
        </w:rPr>
        <w:t>osaluse ebaseadusliku omandamise tagajärjed</w:t>
      </w:r>
    </w:p>
    <w:p w14:paraId="58C3C10F" w14:textId="77777777" w:rsidR="003174D9" w:rsidRPr="003331EF" w:rsidRDefault="003174D9" w:rsidP="003331EF">
      <w:pPr>
        <w:pStyle w:val="muutmisksk"/>
        <w:spacing w:before="0"/>
        <w:rPr>
          <w:b/>
          <w:bCs/>
        </w:rPr>
      </w:pPr>
    </w:p>
    <w:p w14:paraId="0EED6EF0" w14:textId="72A3BB67" w:rsidR="003F69BD" w:rsidRPr="003331EF" w:rsidRDefault="003174D9" w:rsidP="003331EF">
      <w:pPr>
        <w:pStyle w:val="muutmisksk"/>
        <w:spacing w:before="0"/>
        <w:rPr>
          <w:b/>
          <w:bCs/>
        </w:rPr>
      </w:pPr>
      <w:bookmarkStart w:id="14" w:name="_Toc108170623"/>
      <w:bookmarkStart w:id="15" w:name="_Toc48637166"/>
      <w:r w:rsidRPr="003331EF">
        <w:rPr>
          <w:b/>
          <w:bCs/>
        </w:rPr>
        <w:t>5</w:t>
      </w:r>
      <w:r w:rsidR="003F69BD" w:rsidRPr="003331EF">
        <w:rPr>
          <w:b/>
          <w:bCs/>
        </w:rPr>
        <w:t>. peatükk</w:t>
      </w:r>
      <w:bookmarkEnd w:id="14"/>
      <w:r w:rsidR="00903670" w:rsidRPr="003331EF">
        <w:rPr>
          <w:b/>
          <w:bCs/>
        </w:rPr>
        <w:t xml:space="preserve">. </w:t>
      </w:r>
      <w:bookmarkStart w:id="16" w:name="_Toc48637167"/>
      <w:bookmarkStart w:id="17" w:name="_Toc108170624"/>
      <w:bookmarkEnd w:id="15"/>
      <w:r w:rsidR="003F69BD" w:rsidRPr="003331EF">
        <w:rPr>
          <w:b/>
          <w:bCs/>
        </w:rPr>
        <w:t xml:space="preserve">Raamatupidamine, aruandlus ja </w:t>
      </w:r>
      <w:bookmarkEnd w:id="16"/>
      <w:bookmarkEnd w:id="17"/>
      <w:r w:rsidR="003F69BD" w:rsidRPr="003331EF">
        <w:rPr>
          <w:b/>
          <w:bCs/>
        </w:rPr>
        <w:t>audiitorkontroll</w:t>
      </w:r>
    </w:p>
    <w:p w14:paraId="425D158E" w14:textId="51DD5D9F" w:rsidR="003F69BD" w:rsidRPr="003331EF" w:rsidRDefault="003F69BD" w:rsidP="003331EF">
      <w:pPr>
        <w:pStyle w:val="muutmisksk"/>
        <w:spacing w:before="0"/>
        <w:rPr>
          <w:bCs/>
          <w:iCs/>
          <w:spacing w:val="-5"/>
          <w:lang w:eastAsia="en-US"/>
        </w:rPr>
      </w:pPr>
      <w:bookmarkStart w:id="18" w:name="_Toc108170625"/>
      <w:r w:rsidRPr="003331EF">
        <w:rPr>
          <w:bCs/>
          <w:iCs/>
          <w:spacing w:val="-5"/>
          <w:lang w:eastAsia="en-US"/>
        </w:rPr>
        <w:lastRenderedPageBreak/>
        <w:t xml:space="preserve">§ </w:t>
      </w:r>
      <w:r w:rsidR="003174D9" w:rsidRPr="003331EF">
        <w:rPr>
          <w:bCs/>
          <w:iCs/>
          <w:spacing w:val="-5"/>
          <w:lang w:eastAsia="en-US"/>
        </w:rPr>
        <w:t>1</w:t>
      </w:r>
      <w:r w:rsidR="00247A16" w:rsidRPr="003331EF">
        <w:rPr>
          <w:bCs/>
          <w:iCs/>
          <w:spacing w:val="-5"/>
          <w:lang w:eastAsia="en-US"/>
        </w:rPr>
        <w:t>4</w:t>
      </w:r>
      <w:r w:rsidRPr="003331EF">
        <w:rPr>
          <w:bCs/>
          <w:iCs/>
          <w:spacing w:val="-5"/>
          <w:lang w:eastAsia="en-US"/>
        </w:rPr>
        <w:t>. Raamatupidamise korraldamine</w:t>
      </w:r>
      <w:bookmarkEnd w:id="18"/>
    </w:p>
    <w:p w14:paraId="77B2B38F" w14:textId="345D7F25" w:rsidR="003F69BD" w:rsidRPr="003331EF" w:rsidRDefault="003F69BD" w:rsidP="003331EF">
      <w:pPr>
        <w:pStyle w:val="muutmisksk"/>
        <w:spacing w:before="0"/>
        <w:rPr>
          <w:bCs/>
          <w:iCs/>
          <w:spacing w:val="-5"/>
          <w:lang w:eastAsia="en-US"/>
        </w:rPr>
      </w:pPr>
      <w:r w:rsidRPr="003331EF">
        <w:rPr>
          <w:bCs/>
          <w:iCs/>
          <w:spacing w:val="-5"/>
          <w:lang w:eastAsia="en-US"/>
        </w:rPr>
        <w:t xml:space="preserve">§ </w:t>
      </w:r>
      <w:r w:rsidR="003174D9" w:rsidRPr="003331EF">
        <w:rPr>
          <w:bCs/>
          <w:iCs/>
          <w:spacing w:val="-5"/>
          <w:lang w:eastAsia="en-US"/>
        </w:rPr>
        <w:t>1</w:t>
      </w:r>
      <w:r w:rsidR="00247A16" w:rsidRPr="003331EF">
        <w:rPr>
          <w:bCs/>
          <w:iCs/>
          <w:spacing w:val="-5"/>
          <w:lang w:eastAsia="en-US"/>
        </w:rPr>
        <w:t>5</w:t>
      </w:r>
      <w:r w:rsidRPr="003331EF">
        <w:rPr>
          <w:bCs/>
          <w:iCs/>
          <w:spacing w:val="-5"/>
          <w:lang w:eastAsia="en-US"/>
        </w:rPr>
        <w:t>. Aruannete esitamine Finantsinspektsioonile</w:t>
      </w:r>
    </w:p>
    <w:p w14:paraId="26277B6C" w14:textId="01E374E1" w:rsidR="003F69BD" w:rsidRPr="003331EF" w:rsidRDefault="003F69BD" w:rsidP="003331EF">
      <w:pPr>
        <w:pStyle w:val="muutmisksk"/>
        <w:spacing w:before="0"/>
        <w:rPr>
          <w:bCs/>
          <w:iCs/>
          <w:spacing w:val="-5"/>
          <w:lang w:eastAsia="en-US"/>
        </w:rPr>
      </w:pPr>
      <w:r w:rsidRPr="003331EF">
        <w:rPr>
          <w:bCs/>
          <w:iCs/>
          <w:spacing w:val="-5"/>
          <w:lang w:eastAsia="en-US"/>
        </w:rPr>
        <w:t>§ 1</w:t>
      </w:r>
      <w:r w:rsidR="00247A16" w:rsidRPr="003331EF">
        <w:rPr>
          <w:bCs/>
          <w:iCs/>
          <w:spacing w:val="-5"/>
          <w:lang w:eastAsia="en-US"/>
        </w:rPr>
        <w:t>6</w:t>
      </w:r>
      <w:r w:rsidRPr="003331EF">
        <w:rPr>
          <w:bCs/>
          <w:iCs/>
          <w:spacing w:val="-5"/>
          <w:lang w:eastAsia="en-US"/>
        </w:rPr>
        <w:t>. Finantsinspektsioonile esitatud aruannete kontroll ja puuduste kõrvaldamine</w:t>
      </w:r>
    </w:p>
    <w:p w14:paraId="6C116A5D" w14:textId="0E078554" w:rsidR="003F69BD" w:rsidRPr="003331EF" w:rsidRDefault="003F69BD" w:rsidP="003331EF">
      <w:pPr>
        <w:pStyle w:val="muutmisksk"/>
        <w:spacing w:before="0"/>
        <w:rPr>
          <w:bCs/>
          <w:iCs/>
          <w:spacing w:val="-5"/>
          <w:lang w:eastAsia="en-US"/>
        </w:rPr>
      </w:pPr>
      <w:r w:rsidRPr="003331EF">
        <w:rPr>
          <w:bCs/>
          <w:iCs/>
          <w:spacing w:val="-5"/>
          <w:lang w:eastAsia="en-US"/>
        </w:rPr>
        <w:t>§ 1</w:t>
      </w:r>
      <w:r w:rsidR="00247A16" w:rsidRPr="003331EF">
        <w:rPr>
          <w:bCs/>
          <w:iCs/>
          <w:spacing w:val="-5"/>
          <w:lang w:eastAsia="en-US"/>
        </w:rPr>
        <w:t>7</w:t>
      </w:r>
      <w:r w:rsidRPr="003331EF">
        <w:rPr>
          <w:bCs/>
          <w:iCs/>
          <w:spacing w:val="-5"/>
          <w:lang w:eastAsia="en-US"/>
        </w:rPr>
        <w:t>. Audiitorkontroll</w:t>
      </w:r>
    </w:p>
    <w:p w14:paraId="4B8B5ADD" w14:textId="519293BA" w:rsidR="003F69BD" w:rsidRPr="003331EF" w:rsidRDefault="003F69BD" w:rsidP="003331EF">
      <w:pPr>
        <w:pStyle w:val="muutmisksk"/>
        <w:spacing w:before="0"/>
        <w:rPr>
          <w:bCs/>
          <w:iCs/>
          <w:spacing w:val="-5"/>
          <w:lang w:eastAsia="en-US"/>
        </w:rPr>
      </w:pPr>
      <w:r w:rsidRPr="003331EF">
        <w:rPr>
          <w:bCs/>
          <w:iCs/>
          <w:spacing w:val="-5"/>
          <w:lang w:eastAsia="en-US"/>
        </w:rPr>
        <w:t>§ 1</w:t>
      </w:r>
      <w:r w:rsidR="00247A16" w:rsidRPr="003331EF">
        <w:rPr>
          <w:bCs/>
          <w:iCs/>
          <w:spacing w:val="-5"/>
          <w:lang w:eastAsia="en-US"/>
        </w:rPr>
        <w:t>8</w:t>
      </w:r>
      <w:r w:rsidRPr="003331EF">
        <w:rPr>
          <w:bCs/>
          <w:iCs/>
          <w:spacing w:val="-5"/>
          <w:lang w:eastAsia="en-US"/>
        </w:rPr>
        <w:t>. Audiitorettevõtja informeerimiskohustus</w:t>
      </w:r>
    </w:p>
    <w:p w14:paraId="16D53550" w14:textId="77777777" w:rsidR="003F69BD" w:rsidRPr="003331EF" w:rsidRDefault="003F69BD" w:rsidP="003331EF">
      <w:pPr>
        <w:pStyle w:val="muutmisksk"/>
        <w:spacing w:before="0"/>
      </w:pPr>
      <w:bookmarkStart w:id="19" w:name="_Toc48637182"/>
      <w:bookmarkStart w:id="20" w:name="_Toc108170632"/>
    </w:p>
    <w:p w14:paraId="56467358" w14:textId="381D55EC" w:rsidR="003F69BD" w:rsidRPr="003331EF" w:rsidRDefault="003174D9" w:rsidP="003331EF">
      <w:pPr>
        <w:pStyle w:val="muutmisksk"/>
        <w:spacing w:before="0"/>
        <w:rPr>
          <w:caps/>
        </w:rPr>
      </w:pPr>
      <w:r w:rsidRPr="003331EF">
        <w:rPr>
          <w:b/>
          <w:bCs/>
        </w:rPr>
        <w:t>6</w:t>
      </w:r>
      <w:r w:rsidR="003F69BD" w:rsidRPr="003331EF">
        <w:rPr>
          <w:b/>
          <w:bCs/>
        </w:rPr>
        <w:t>.</w:t>
      </w:r>
      <w:r w:rsidR="00451BF0">
        <w:rPr>
          <w:b/>
          <w:bCs/>
        </w:rPr>
        <w:t> </w:t>
      </w:r>
      <w:r w:rsidR="003F69BD" w:rsidRPr="003331EF">
        <w:rPr>
          <w:b/>
          <w:bCs/>
        </w:rPr>
        <w:t>peatükk</w:t>
      </w:r>
      <w:bookmarkEnd w:id="19"/>
      <w:bookmarkEnd w:id="20"/>
      <w:r w:rsidR="00903670" w:rsidRPr="003331EF">
        <w:rPr>
          <w:b/>
          <w:bCs/>
        </w:rPr>
        <w:t xml:space="preserve">. </w:t>
      </w:r>
      <w:bookmarkStart w:id="21" w:name="_Toc48637183"/>
      <w:bookmarkStart w:id="22" w:name="_Toc108170633"/>
      <w:proofErr w:type="spellStart"/>
      <w:r w:rsidR="003F69BD" w:rsidRPr="003331EF">
        <w:rPr>
          <w:b/>
          <w:bCs/>
        </w:rPr>
        <w:t>Krüptovarateenuse</w:t>
      </w:r>
      <w:proofErr w:type="spellEnd"/>
      <w:r w:rsidR="003F69BD" w:rsidRPr="003331EF">
        <w:rPr>
          <w:b/>
          <w:bCs/>
        </w:rPr>
        <w:t xml:space="preserve"> osutaja </w:t>
      </w:r>
      <w:r w:rsidRPr="003331EF">
        <w:rPr>
          <w:b/>
          <w:bCs/>
        </w:rPr>
        <w:t xml:space="preserve">ja varapõhise </w:t>
      </w:r>
      <w:proofErr w:type="spellStart"/>
      <w:r w:rsidRPr="003331EF">
        <w:rPr>
          <w:b/>
          <w:bCs/>
        </w:rPr>
        <w:t>tokeni</w:t>
      </w:r>
      <w:proofErr w:type="spellEnd"/>
      <w:r w:rsidRPr="003331EF">
        <w:rPr>
          <w:b/>
          <w:bCs/>
        </w:rPr>
        <w:t xml:space="preserve"> emitendi </w:t>
      </w:r>
      <w:r w:rsidR="003F69BD" w:rsidRPr="003331EF">
        <w:rPr>
          <w:b/>
          <w:bCs/>
        </w:rPr>
        <w:t>ümberkujundamine, ühinemine</w:t>
      </w:r>
      <w:r w:rsidR="003F69BD" w:rsidRPr="003331EF">
        <w:rPr>
          <w:b/>
          <w:bCs/>
          <w:caps/>
        </w:rPr>
        <w:t>,</w:t>
      </w:r>
      <w:r w:rsidR="003F69BD" w:rsidRPr="003331EF">
        <w:rPr>
          <w:b/>
          <w:bCs/>
        </w:rPr>
        <w:t xml:space="preserve"> lõpetamine</w:t>
      </w:r>
      <w:bookmarkEnd w:id="21"/>
      <w:r w:rsidR="003F69BD" w:rsidRPr="003331EF">
        <w:rPr>
          <w:b/>
          <w:bCs/>
        </w:rPr>
        <w:t xml:space="preserve"> ja pankrot</w:t>
      </w:r>
      <w:bookmarkEnd w:id="22"/>
    </w:p>
    <w:p w14:paraId="7CAD3038" w14:textId="29F2F572" w:rsidR="003F69BD" w:rsidRPr="003331EF" w:rsidRDefault="003F69BD" w:rsidP="003331EF">
      <w:pPr>
        <w:pStyle w:val="muutmisksk"/>
        <w:spacing w:before="0"/>
        <w:rPr>
          <w:bCs/>
          <w:iCs/>
          <w:spacing w:val="-5"/>
          <w:lang w:eastAsia="en-US"/>
        </w:rPr>
      </w:pPr>
      <w:bookmarkStart w:id="23" w:name="_Toc48637184"/>
      <w:bookmarkStart w:id="24" w:name="_Toc108170634"/>
      <w:r w:rsidRPr="003331EF">
        <w:rPr>
          <w:iCs/>
          <w:spacing w:val="-5"/>
          <w:lang w:eastAsia="en-US"/>
        </w:rPr>
        <w:t>§ 1</w:t>
      </w:r>
      <w:r w:rsidR="00247A16" w:rsidRPr="003331EF">
        <w:rPr>
          <w:iCs/>
          <w:spacing w:val="-5"/>
          <w:lang w:eastAsia="en-US"/>
        </w:rPr>
        <w:t>9</w:t>
      </w:r>
      <w:r w:rsidRPr="003331EF">
        <w:rPr>
          <w:iCs/>
          <w:spacing w:val="-5"/>
          <w:lang w:eastAsia="en-US"/>
        </w:rPr>
        <w:t>.</w:t>
      </w:r>
      <w:bookmarkStart w:id="25" w:name="para61"/>
      <w:r w:rsidRPr="003331EF">
        <w:rPr>
          <w:bCs/>
          <w:iCs/>
          <w:spacing w:val="-5"/>
          <w:lang w:eastAsia="en-US"/>
        </w:rPr>
        <w:t> </w:t>
      </w:r>
      <w:bookmarkEnd w:id="25"/>
      <w:proofErr w:type="spellStart"/>
      <w:r w:rsidRPr="003331EF">
        <w:rPr>
          <w:bCs/>
          <w:iCs/>
          <w:spacing w:val="-5"/>
          <w:lang w:eastAsia="en-US"/>
        </w:rPr>
        <w:t>Krüptovarateenuse</w:t>
      </w:r>
      <w:proofErr w:type="spellEnd"/>
      <w:r w:rsidRPr="003331EF">
        <w:rPr>
          <w:bCs/>
          <w:iCs/>
          <w:spacing w:val="-5"/>
          <w:lang w:eastAsia="en-US"/>
        </w:rPr>
        <w:t xml:space="preserve"> osutaja </w:t>
      </w:r>
      <w:r w:rsidR="003174D9" w:rsidRPr="003331EF">
        <w:rPr>
          <w:bCs/>
          <w:iCs/>
          <w:spacing w:val="-5"/>
          <w:lang w:eastAsia="en-US"/>
        </w:rPr>
        <w:t xml:space="preserve">ja varapõhise </w:t>
      </w:r>
      <w:proofErr w:type="spellStart"/>
      <w:r w:rsidR="003174D9" w:rsidRPr="003331EF">
        <w:rPr>
          <w:bCs/>
          <w:iCs/>
          <w:spacing w:val="-5"/>
          <w:lang w:eastAsia="en-US"/>
        </w:rPr>
        <w:t>tokeni</w:t>
      </w:r>
      <w:proofErr w:type="spellEnd"/>
      <w:r w:rsidR="003174D9" w:rsidRPr="003331EF">
        <w:rPr>
          <w:bCs/>
          <w:iCs/>
          <w:spacing w:val="-5"/>
          <w:lang w:eastAsia="en-US"/>
        </w:rPr>
        <w:t xml:space="preserve"> emitendi </w:t>
      </w:r>
      <w:r w:rsidRPr="003331EF">
        <w:rPr>
          <w:bCs/>
          <w:iCs/>
          <w:spacing w:val="-5"/>
          <w:lang w:eastAsia="en-US"/>
        </w:rPr>
        <w:t>ümberkujundamine</w:t>
      </w:r>
      <w:bookmarkEnd w:id="23"/>
      <w:bookmarkEnd w:id="24"/>
    </w:p>
    <w:p w14:paraId="0CE1D4C1" w14:textId="7FF9E072" w:rsidR="003F69BD" w:rsidRPr="003331EF" w:rsidRDefault="003F69BD" w:rsidP="003331EF">
      <w:pPr>
        <w:pStyle w:val="muutmisksk"/>
        <w:spacing w:before="0"/>
        <w:rPr>
          <w:bCs/>
          <w:iCs/>
          <w:spacing w:val="-5"/>
          <w:lang w:eastAsia="en-US"/>
        </w:rPr>
      </w:pPr>
      <w:bookmarkStart w:id="26" w:name="_Toc48637185"/>
      <w:bookmarkStart w:id="27" w:name="_Toc108170635"/>
      <w:r w:rsidRPr="003331EF">
        <w:rPr>
          <w:iCs/>
          <w:spacing w:val="-5"/>
          <w:lang w:eastAsia="en-US"/>
        </w:rPr>
        <w:t xml:space="preserve">§ </w:t>
      </w:r>
      <w:r w:rsidR="00247A16" w:rsidRPr="003331EF">
        <w:rPr>
          <w:iCs/>
          <w:spacing w:val="-5"/>
          <w:lang w:eastAsia="en-US"/>
        </w:rPr>
        <w:t>20</w:t>
      </w:r>
      <w:r w:rsidRPr="003331EF">
        <w:rPr>
          <w:iCs/>
          <w:spacing w:val="-5"/>
          <w:lang w:eastAsia="en-US"/>
        </w:rPr>
        <w:t>.</w:t>
      </w:r>
      <w:bookmarkStart w:id="28" w:name="para62"/>
      <w:r w:rsidRPr="003331EF">
        <w:rPr>
          <w:bCs/>
          <w:iCs/>
          <w:spacing w:val="-5"/>
          <w:lang w:eastAsia="en-US"/>
        </w:rPr>
        <w:t> </w:t>
      </w:r>
      <w:bookmarkEnd w:id="28"/>
      <w:proofErr w:type="spellStart"/>
      <w:r w:rsidRPr="003331EF">
        <w:rPr>
          <w:bCs/>
          <w:iCs/>
          <w:spacing w:val="-5"/>
          <w:lang w:eastAsia="en-US"/>
        </w:rPr>
        <w:t>Krüptovarateenuse</w:t>
      </w:r>
      <w:proofErr w:type="spellEnd"/>
      <w:r w:rsidRPr="003331EF">
        <w:rPr>
          <w:bCs/>
          <w:iCs/>
          <w:spacing w:val="-5"/>
          <w:lang w:eastAsia="en-US"/>
        </w:rPr>
        <w:t xml:space="preserve"> osutaja </w:t>
      </w:r>
      <w:r w:rsidR="003174D9" w:rsidRPr="003331EF">
        <w:rPr>
          <w:bCs/>
          <w:iCs/>
          <w:spacing w:val="-5"/>
          <w:lang w:eastAsia="en-US"/>
        </w:rPr>
        <w:t xml:space="preserve">ja varapõhise </w:t>
      </w:r>
      <w:proofErr w:type="spellStart"/>
      <w:r w:rsidR="003174D9" w:rsidRPr="003331EF">
        <w:rPr>
          <w:bCs/>
          <w:iCs/>
          <w:spacing w:val="-5"/>
          <w:lang w:eastAsia="en-US"/>
        </w:rPr>
        <w:t>tokeni</w:t>
      </w:r>
      <w:proofErr w:type="spellEnd"/>
      <w:r w:rsidR="003174D9" w:rsidRPr="003331EF">
        <w:rPr>
          <w:bCs/>
          <w:iCs/>
          <w:spacing w:val="-5"/>
          <w:lang w:eastAsia="en-US"/>
        </w:rPr>
        <w:t xml:space="preserve"> emitendi </w:t>
      </w:r>
      <w:r w:rsidRPr="003331EF">
        <w:rPr>
          <w:bCs/>
          <w:iCs/>
          <w:spacing w:val="-5"/>
          <w:lang w:eastAsia="en-US"/>
        </w:rPr>
        <w:t>ühinemine</w:t>
      </w:r>
      <w:bookmarkEnd w:id="26"/>
      <w:bookmarkEnd w:id="27"/>
    </w:p>
    <w:p w14:paraId="7E0A5755" w14:textId="1DA1E99A" w:rsidR="00247A16" w:rsidRPr="003331EF" w:rsidRDefault="00247A16" w:rsidP="003331EF">
      <w:pPr>
        <w:pStyle w:val="muutmisksk"/>
        <w:spacing w:before="0"/>
        <w:rPr>
          <w:bCs/>
          <w:iCs/>
          <w:spacing w:val="-5"/>
          <w:lang w:eastAsia="en-US"/>
        </w:rPr>
      </w:pPr>
      <w:r w:rsidRPr="003331EF">
        <w:rPr>
          <w:bCs/>
          <w:iCs/>
          <w:spacing w:val="-5"/>
          <w:lang w:eastAsia="en-US"/>
        </w:rPr>
        <w:t>§ 21. Ühinemisluba</w:t>
      </w:r>
    </w:p>
    <w:p w14:paraId="29057D6A" w14:textId="302473E5" w:rsidR="003F69BD" w:rsidRPr="003331EF" w:rsidRDefault="003F69BD" w:rsidP="003331EF">
      <w:pPr>
        <w:pStyle w:val="muutmisksk"/>
        <w:spacing w:before="0"/>
        <w:rPr>
          <w:bCs/>
          <w:iCs/>
          <w:spacing w:val="-5"/>
          <w:lang w:eastAsia="en-US"/>
        </w:rPr>
      </w:pPr>
      <w:bookmarkStart w:id="29" w:name="_Toc108170636"/>
      <w:r w:rsidRPr="003331EF">
        <w:rPr>
          <w:iCs/>
          <w:spacing w:val="-5"/>
          <w:lang w:eastAsia="en-US"/>
        </w:rPr>
        <w:t xml:space="preserve">§ </w:t>
      </w:r>
      <w:r w:rsidR="003174D9" w:rsidRPr="003331EF">
        <w:rPr>
          <w:iCs/>
          <w:spacing w:val="-5"/>
          <w:lang w:eastAsia="en-US"/>
        </w:rPr>
        <w:t>2</w:t>
      </w:r>
      <w:r w:rsidR="00247A16" w:rsidRPr="003331EF">
        <w:rPr>
          <w:iCs/>
          <w:spacing w:val="-5"/>
          <w:lang w:eastAsia="en-US"/>
        </w:rPr>
        <w:t>2</w:t>
      </w:r>
      <w:r w:rsidRPr="003331EF">
        <w:rPr>
          <w:iCs/>
          <w:spacing w:val="-5"/>
          <w:lang w:eastAsia="en-US"/>
        </w:rPr>
        <w:t>.</w:t>
      </w:r>
      <w:bookmarkStart w:id="30" w:name="para63"/>
      <w:r w:rsidRPr="003331EF">
        <w:rPr>
          <w:bCs/>
          <w:iCs/>
          <w:spacing w:val="-5"/>
          <w:lang w:eastAsia="en-US"/>
        </w:rPr>
        <w:t> </w:t>
      </w:r>
      <w:bookmarkEnd w:id="30"/>
      <w:proofErr w:type="spellStart"/>
      <w:r w:rsidRPr="003331EF">
        <w:rPr>
          <w:bCs/>
          <w:iCs/>
          <w:spacing w:val="-5"/>
          <w:lang w:eastAsia="en-US"/>
        </w:rPr>
        <w:t>Krüptovarateenuse</w:t>
      </w:r>
      <w:proofErr w:type="spellEnd"/>
      <w:r w:rsidRPr="003331EF">
        <w:rPr>
          <w:bCs/>
          <w:iCs/>
          <w:spacing w:val="-5"/>
          <w:lang w:eastAsia="en-US"/>
        </w:rPr>
        <w:t xml:space="preserve"> osutaja </w:t>
      </w:r>
      <w:r w:rsidR="003174D9" w:rsidRPr="003331EF">
        <w:rPr>
          <w:bCs/>
          <w:iCs/>
          <w:spacing w:val="-5"/>
          <w:lang w:eastAsia="en-US"/>
        </w:rPr>
        <w:t xml:space="preserve">ja varapõhise </w:t>
      </w:r>
      <w:proofErr w:type="spellStart"/>
      <w:r w:rsidR="003174D9" w:rsidRPr="003331EF">
        <w:rPr>
          <w:bCs/>
          <w:iCs/>
          <w:spacing w:val="-5"/>
          <w:lang w:eastAsia="en-US"/>
        </w:rPr>
        <w:t>tokeni</w:t>
      </w:r>
      <w:proofErr w:type="spellEnd"/>
      <w:r w:rsidR="003174D9" w:rsidRPr="003331EF">
        <w:rPr>
          <w:bCs/>
          <w:iCs/>
          <w:spacing w:val="-5"/>
          <w:lang w:eastAsia="en-US"/>
        </w:rPr>
        <w:t xml:space="preserve"> emitendi </w:t>
      </w:r>
      <w:r w:rsidRPr="003331EF">
        <w:rPr>
          <w:bCs/>
          <w:iCs/>
          <w:spacing w:val="-5"/>
          <w:lang w:eastAsia="en-US"/>
        </w:rPr>
        <w:t>jagunemine</w:t>
      </w:r>
      <w:bookmarkEnd w:id="29"/>
    </w:p>
    <w:p w14:paraId="2B4AB223" w14:textId="017EE30D" w:rsidR="003F69BD" w:rsidRPr="003331EF" w:rsidRDefault="003F69BD" w:rsidP="003331EF">
      <w:pPr>
        <w:pStyle w:val="muutmisksk"/>
        <w:spacing w:before="0"/>
        <w:rPr>
          <w:bCs/>
          <w:iCs/>
          <w:spacing w:val="-5"/>
          <w:lang w:eastAsia="en-US"/>
        </w:rPr>
      </w:pPr>
      <w:bookmarkStart w:id="31" w:name="_Toc48637189"/>
      <w:bookmarkStart w:id="32" w:name="_Toc108170638"/>
      <w:r w:rsidRPr="003331EF">
        <w:rPr>
          <w:bCs/>
          <w:iCs/>
          <w:spacing w:val="-5"/>
          <w:lang w:eastAsia="en-US"/>
        </w:rPr>
        <w:t xml:space="preserve">§ </w:t>
      </w:r>
      <w:r w:rsidR="003174D9" w:rsidRPr="003331EF">
        <w:rPr>
          <w:bCs/>
          <w:iCs/>
          <w:spacing w:val="-5"/>
          <w:lang w:eastAsia="en-US"/>
        </w:rPr>
        <w:t>2</w:t>
      </w:r>
      <w:r w:rsidR="00247A16" w:rsidRPr="003331EF">
        <w:rPr>
          <w:bCs/>
          <w:iCs/>
          <w:spacing w:val="-5"/>
          <w:lang w:eastAsia="en-US"/>
        </w:rPr>
        <w:t>3</w:t>
      </w:r>
      <w:r w:rsidRPr="003331EF">
        <w:rPr>
          <w:bCs/>
          <w:iCs/>
          <w:spacing w:val="-5"/>
          <w:lang w:eastAsia="en-US"/>
        </w:rPr>
        <w:t xml:space="preserve">. </w:t>
      </w:r>
      <w:proofErr w:type="spellStart"/>
      <w:r w:rsidRPr="003331EF">
        <w:rPr>
          <w:bCs/>
          <w:iCs/>
          <w:spacing w:val="-5"/>
          <w:lang w:eastAsia="en-US"/>
        </w:rPr>
        <w:t>Krüptovarateenuse</w:t>
      </w:r>
      <w:proofErr w:type="spellEnd"/>
      <w:r w:rsidRPr="003331EF">
        <w:rPr>
          <w:bCs/>
          <w:iCs/>
          <w:spacing w:val="-5"/>
          <w:lang w:eastAsia="en-US"/>
        </w:rPr>
        <w:t xml:space="preserve"> osutaja </w:t>
      </w:r>
      <w:r w:rsidR="003174D9" w:rsidRPr="003331EF">
        <w:rPr>
          <w:bCs/>
          <w:iCs/>
          <w:spacing w:val="-5"/>
          <w:lang w:eastAsia="en-US"/>
        </w:rPr>
        <w:t xml:space="preserve">ja varapõhise </w:t>
      </w:r>
      <w:proofErr w:type="spellStart"/>
      <w:r w:rsidR="003174D9" w:rsidRPr="003331EF">
        <w:rPr>
          <w:bCs/>
          <w:iCs/>
          <w:spacing w:val="-5"/>
          <w:lang w:eastAsia="en-US"/>
        </w:rPr>
        <w:t>tokeni</w:t>
      </w:r>
      <w:proofErr w:type="spellEnd"/>
      <w:r w:rsidR="003174D9" w:rsidRPr="003331EF">
        <w:rPr>
          <w:bCs/>
          <w:iCs/>
          <w:spacing w:val="-5"/>
          <w:lang w:eastAsia="en-US"/>
        </w:rPr>
        <w:t xml:space="preserve"> emitendi </w:t>
      </w:r>
      <w:r w:rsidRPr="003331EF">
        <w:rPr>
          <w:bCs/>
          <w:iCs/>
          <w:spacing w:val="-5"/>
          <w:lang w:eastAsia="en-US"/>
        </w:rPr>
        <w:t>lõpetamine</w:t>
      </w:r>
      <w:bookmarkEnd w:id="31"/>
      <w:bookmarkEnd w:id="32"/>
    </w:p>
    <w:p w14:paraId="003C3B90" w14:textId="7BD90871" w:rsidR="003F69BD" w:rsidRPr="003331EF" w:rsidRDefault="003F69BD" w:rsidP="003331EF">
      <w:pPr>
        <w:pStyle w:val="muutmisksk"/>
        <w:spacing w:before="0"/>
        <w:rPr>
          <w:bCs/>
          <w:iCs/>
          <w:spacing w:val="-5"/>
          <w:lang w:eastAsia="en-US"/>
        </w:rPr>
      </w:pPr>
      <w:bookmarkStart w:id="33" w:name="_Toc48637190"/>
      <w:bookmarkStart w:id="34" w:name="_Toc108170639"/>
      <w:r w:rsidRPr="003331EF">
        <w:rPr>
          <w:bCs/>
          <w:iCs/>
          <w:spacing w:val="-5"/>
          <w:lang w:eastAsia="en-US"/>
        </w:rPr>
        <w:t xml:space="preserve">§ </w:t>
      </w:r>
      <w:r w:rsidR="003174D9" w:rsidRPr="003331EF">
        <w:rPr>
          <w:bCs/>
          <w:iCs/>
          <w:spacing w:val="-5"/>
          <w:lang w:eastAsia="en-US"/>
        </w:rPr>
        <w:t>2</w:t>
      </w:r>
      <w:r w:rsidR="00247A16" w:rsidRPr="003331EF">
        <w:rPr>
          <w:bCs/>
          <w:iCs/>
          <w:spacing w:val="-5"/>
          <w:lang w:eastAsia="en-US"/>
        </w:rPr>
        <w:t>4</w:t>
      </w:r>
      <w:r w:rsidRPr="003331EF">
        <w:rPr>
          <w:bCs/>
          <w:iCs/>
          <w:spacing w:val="-5"/>
          <w:lang w:eastAsia="en-US"/>
        </w:rPr>
        <w:t>. </w:t>
      </w:r>
      <w:proofErr w:type="spellStart"/>
      <w:r w:rsidR="003174D9" w:rsidRPr="003331EF">
        <w:rPr>
          <w:bCs/>
          <w:iCs/>
          <w:spacing w:val="-5"/>
          <w:lang w:eastAsia="en-US"/>
        </w:rPr>
        <w:t>Krüptovarateenuse</w:t>
      </w:r>
      <w:proofErr w:type="spellEnd"/>
      <w:r w:rsidR="003174D9" w:rsidRPr="003331EF">
        <w:rPr>
          <w:bCs/>
          <w:iCs/>
          <w:spacing w:val="-5"/>
          <w:lang w:eastAsia="en-US"/>
        </w:rPr>
        <w:t xml:space="preserve"> osutaja ja varapõhise </w:t>
      </w:r>
      <w:proofErr w:type="spellStart"/>
      <w:r w:rsidR="003174D9" w:rsidRPr="003331EF">
        <w:rPr>
          <w:bCs/>
          <w:iCs/>
          <w:spacing w:val="-5"/>
          <w:lang w:eastAsia="en-US"/>
        </w:rPr>
        <w:t>tokeni</w:t>
      </w:r>
      <w:proofErr w:type="spellEnd"/>
      <w:r w:rsidR="003174D9" w:rsidRPr="003331EF">
        <w:rPr>
          <w:bCs/>
          <w:iCs/>
          <w:spacing w:val="-5"/>
          <w:lang w:eastAsia="en-US"/>
        </w:rPr>
        <w:t xml:space="preserve"> emitendi p</w:t>
      </w:r>
      <w:r w:rsidRPr="003331EF">
        <w:rPr>
          <w:bCs/>
          <w:iCs/>
          <w:spacing w:val="-5"/>
          <w:lang w:eastAsia="en-US"/>
        </w:rPr>
        <w:t>ankrot</w:t>
      </w:r>
      <w:bookmarkEnd w:id="33"/>
      <w:bookmarkEnd w:id="34"/>
    </w:p>
    <w:p w14:paraId="00817150" w14:textId="77777777" w:rsidR="00903670" w:rsidRPr="003331EF" w:rsidRDefault="00903670" w:rsidP="003331EF">
      <w:pPr>
        <w:pStyle w:val="muutmisksk"/>
        <w:spacing w:before="0"/>
      </w:pPr>
      <w:bookmarkStart w:id="35" w:name="_Toc48637191"/>
      <w:bookmarkStart w:id="36" w:name="_Toc108170640"/>
    </w:p>
    <w:p w14:paraId="139D8869" w14:textId="5D5DA414" w:rsidR="003F69BD" w:rsidRPr="003331EF" w:rsidRDefault="003174D9" w:rsidP="003331EF">
      <w:pPr>
        <w:pStyle w:val="muutmisksk"/>
        <w:spacing w:before="0"/>
        <w:rPr>
          <w:b/>
          <w:bCs/>
        </w:rPr>
      </w:pPr>
      <w:r w:rsidRPr="003331EF">
        <w:rPr>
          <w:b/>
          <w:bCs/>
        </w:rPr>
        <w:t>7</w:t>
      </w:r>
      <w:r w:rsidR="003F69BD" w:rsidRPr="003331EF">
        <w:rPr>
          <w:b/>
          <w:bCs/>
        </w:rPr>
        <w:t>. peatükk</w:t>
      </w:r>
      <w:bookmarkEnd w:id="35"/>
      <w:bookmarkEnd w:id="36"/>
      <w:r w:rsidR="00903670" w:rsidRPr="003331EF">
        <w:rPr>
          <w:b/>
          <w:bCs/>
        </w:rPr>
        <w:t xml:space="preserve">. </w:t>
      </w:r>
      <w:bookmarkStart w:id="37" w:name="_Toc48637192"/>
      <w:bookmarkStart w:id="38" w:name="_Toc108170641"/>
      <w:r w:rsidR="003F69BD" w:rsidRPr="003331EF">
        <w:rPr>
          <w:b/>
          <w:bCs/>
        </w:rPr>
        <w:t>Järelevalve</w:t>
      </w:r>
      <w:bookmarkEnd w:id="37"/>
      <w:bookmarkEnd w:id="38"/>
    </w:p>
    <w:p w14:paraId="6394848C" w14:textId="5025C306" w:rsidR="003F69BD" w:rsidRPr="003331EF" w:rsidRDefault="003F69BD" w:rsidP="003331EF">
      <w:pPr>
        <w:pStyle w:val="muutmisksk"/>
        <w:spacing w:before="0"/>
        <w:rPr>
          <w:iCs/>
          <w:spacing w:val="-5"/>
          <w:lang w:eastAsia="en-US"/>
        </w:rPr>
      </w:pPr>
      <w:r w:rsidRPr="003331EF">
        <w:rPr>
          <w:iCs/>
          <w:spacing w:val="-5"/>
          <w:lang w:eastAsia="en-US"/>
        </w:rPr>
        <w:t xml:space="preserve">§ </w:t>
      </w:r>
      <w:r w:rsidR="003174D9" w:rsidRPr="003331EF">
        <w:rPr>
          <w:iCs/>
          <w:spacing w:val="-5"/>
          <w:lang w:eastAsia="en-US"/>
        </w:rPr>
        <w:t>2</w:t>
      </w:r>
      <w:r w:rsidR="00247A16" w:rsidRPr="003331EF">
        <w:rPr>
          <w:iCs/>
          <w:spacing w:val="-5"/>
          <w:lang w:eastAsia="en-US"/>
        </w:rPr>
        <w:t>5</w:t>
      </w:r>
      <w:r w:rsidRPr="003331EF">
        <w:rPr>
          <w:iCs/>
          <w:spacing w:val="-5"/>
          <w:lang w:eastAsia="en-US"/>
        </w:rPr>
        <w:t>. Järelevalve eesmärk</w:t>
      </w:r>
    </w:p>
    <w:p w14:paraId="15F04DFB" w14:textId="53B798D1" w:rsidR="003F69BD" w:rsidRPr="003331EF" w:rsidRDefault="003F69BD" w:rsidP="003331EF">
      <w:pPr>
        <w:pStyle w:val="muutmisksk"/>
        <w:spacing w:before="0"/>
        <w:rPr>
          <w:iCs/>
          <w:spacing w:val="-5"/>
          <w:lang w:eastAsia="en-US"/>
        </w:rPr>
      </w:pPr>
      <w:r w:rsidRPr="003331EF">
        <w:rPr>
          <w:iCs/>
          <w:spacing w:val="-5"/>
          <w:lang w:eastAsia="en-US"/>
        </w:rPr>
        <w:t>§ 2</w:t>
      </w:r>
      <w:r w:rsidR="00247A16" w:rsidRPr="003331EF">
        <w:rPr>
          <w:iCs/>
          <w:spacing w:val="-5"/>
          <w:lang w:eastAsia="en-US"/>
        </w:rPr>
        <w:t>6</w:t>
      </w:r>
      <w:r w:rsidRPr="003331EF">
        <w:rPr>
          <w:iCs/>
          <w:spacing w:val="-5"/>
          <w:lang w:eastAsia="en-US"/>
        </w:rPr>
        <w:t>. Järelevalve alused ja ulatus</w:t>
      </w:r>
    </w:p>
    <w:p w14:paraId="32D887D1" w14:textId="456E6962" w:rsidR="003F69BD" w:rsidRPr="003331EF" w:rsidRDefault="003F69BD" w:rsidP="003331EF">
      <w:pPr>
        <w:pStyle w:val="muutmisksk"/>
        <w:spacing w:before="0"/>
        <w:rPr>
          <w:iCs/>
          <w:spacing w:val="-5"/>
          <w:lang w:eastAsia="en-US"/>
        </w:rPr>
      </w:pPr>
      <w:r w:rsidRPr="003331EF">
        <w:rPr>
          <w:iCs/>
          <w:spacing w:val="-5"/>
          <w:lang w:eastAsia="en-US"/>
        </w:rPr>
        <w:t xml:space="preserve">§ </w:t>
      </w:r>
      <w:r w:rsidR="003174D9" w:rsidRPr="003331EF">
        <w:rPr>
          <w:iCs/>
          <w:spacing w:val="-5"/>
          <w:lang w:eastAsia="en-US"/>
        </w:rPr>
        <w:t>2</w:t>
      </w:r>
      <w:r w:rsidR="00247A16" w:rsidRPr="003331EF">
        <w:rPr>
          <w:iCs/>
          <w:spacing w:val="-5"/>
          <w:lang w:eastAsia="en-US"/>
        </w:rPr>
        <w:t>7</w:t>
      </w:r>
      <w:r w:rsidRPr="003331EF">
        <w:rPr>
          <w:iCs/>
          <w:spacing w:val="-5"/>
          <w:lang w:eastAsia="en-US"/>
        </w:rPr>
        <w:t xml:space="preserve">. Finantsinspektsiooni õigused info saamisel </w:t>
      </w:r>
    </w:p>
    <w:p w14:paraId="16E50C2D" w14:textId="37CDBE2D" w:rsidR="003F69BD" w:rsidRPr="003331EF" w:rsidRDefault="003F69BD" w:rsidP="003331EF">
      <w:pPr>
        <w:pStyle w:val="muutmisksk"/>
        <w:spacing w:before="0"/>
        <w:rPr>
          <w:iCs/>
          <w:spacing w:val="-5"/>
          <w:lang w:eastAsia="en-US"/>
        </w:rPr>
      </w:pPr>
      <w:r w:rsidRPr="003331EF">
        <w:rPr>
          <w:iCs/>
          <w:spacing w:val="-5"/>
          <w:lang w:eastAsia="en-US"/>
        </w:rPr>
        <w:t xml:space="preserve">§ </w:t>
      </w:r>
      <w:r w:rsidR="003174D9" w:rsidRPr="003331EF">
        <w:rPr>
          <w:iCs/>
          <w:spacing w:val="-5"/>
          <w:lang w:eastAsia="en-US"/>
        </w:rPr>
        <w:t>2</w:t>
      </w:r>
      <w:r w:rsidR="00247A16" w:rsidRPr="003331EF">
        <w:rPr>
          <w:iCs/>
          <w:spacing w:val="-5"/>
          <w:lang w:eastAsia="en-US"/>
        </w:rPr>
        <w:t>8</w:t>
      </w:r>
      <w:r w:rsidRPr="003331EF">
        <w:rPr>
          <w:iCs/>
          <w:spacing w:val="-5"/>
          <w:lang w:eastAsia="en-US"/>
        </w:rPr>
        <w:t xml:space="preserve">. Järelevalve kolmandas riigis </w:t>
      </w:r>
      <w:proofErr w:type="spellStart"/>
      <w:r w:rsidRPr="003331EF">
        <w:rPr>
          <w:iCs/>
          <w:spacing w:val="-5"/>
          <w:lang w:eastAsia="en-US"/>
        </w:rPr>
        <w:t>krüptovarateenuse</w:t>
      </w:r>
      <w:proofErr w:type="spellEnd"/>
      <w:r w:rsidRPr="003331EF">
        <w:rPr>
          <w:iCs/>
          <w:spacing w:val="-5"/>
          <w:lang w:eastAsia="en-US"/>
        </w:rPr>
        <w:t xml:space="preserve"> osutamise ja </w:t>
      </w:r>
      <w:proofErr w:type="spellStart"/>
      <w:r w:rsidRPr="003331EF">
        <w:rPr>
          <w:iCs/>
          <w:spacing w:val="-5"/>
          <w:lang w:eastAsia="en-US"/>
        </w:rPr>
        <w:t>krüptovara</w:t>
      </w:r>
      <w:proofErr w:type="spellEnd"/>
      <w:r w:rsidRPr="003331EF">
        <w:rPr>
          <w:iCs/>
          <w:spacing w:val="-5"/>
          <w:lang w:eastAsia="en-US"/>
        </w:rPr>
        <w:t xml:space="preserve"> pakkumise või kauplemisele võtmise taotlemise üle</w:t>
      </w:r>
    </w:p>
    <w:p w14:paraId="78251718" w14:textId="6B059B90" w:rsidR="003F69BD" w:rsidRPr="003331EF" w:rsidRDefault="003F69BD" w:rsidP="003331EF">
      <w:pPr>
        <w:pStyle w:val="muutmisksk"/>
        <w:spacing w:before="0"/>
        <w:rPr>
          <w:iCs/>
          <w:spacing w:val="-5"/>
          <w:lang w:eastAsia="en-US"/>
        </w:rPr>
      </w:pPr>
      <w:r w:rsidRPr="003331EF">
        <w:rPr>
          <w:iCs/>
          <w:spacing w:val="-5"/>
          <w:lang w:eastAsia="en-US"/>
        </w:rPr>
        <w:t xml:space="preserve">§ </w:t>
      </w:r>
      <w:r w:rsidR="003174D9" w:rsidRPr="003331EF">
        <w:rPr>
          <w:iCs/>
          <w:spacing w:val="-5"/>
          <w:lang w:eastAsia="en-US"/>
        </w:rPr>
        <w:t>2</w:t>
      </w:r>
      <w:r w:rsidR="00247A16" w:rsidRPr="003331EF">
        <w:rPr>
          <w:iCs/>
          <w:spacing w:val="-5"/>
          <w:lang w:eastAsia="en-US"/>
        </w:rPr>
        <w:t>9</w:t>
      </w:r>
      <w:r w:rsidRPr="003331EF">
        <w:rPr>
          <w:iCs/>
          <w:spacing w:val="-5"/>
          <w:lang w:eastAsia="en-US"/>
        </w:rPr>
        <w:t>. Menetlusosalise õigused ja kohustused järelevalvemenetluses</w:t>
      </w:r>
    </w:p>
    <w:p w14:paraId="65253B73" w14:textId="512DCDA3" w:rsidR="003F69BD" w:rsidRPr="003331EF" w:rsidRDefault="003F69BD" w:rsidP="003331EF">
      <w:pPr>
        <w:pStyle w:val="muutmisksk"/>
        <w:spacing w:before="0"/>
        <w:rPr>
          <w:iCs/>
          <w:spacing w:val="-5"/>
          <w:lang w:eastAsia="en-US"/>
        </w:rPr>
      </w:pPr>
      <w:r w:rsidRPr="003331EF">
        <w:rPr>
          <w:iCs/>
          <w:spacing w:val="-5"/>
          <w:lang w:eastAsia="en-US"/>
        </w:rPr>
        <w:t xml:space="preserve">§ </w:t>
      </w:r>
      <w:r w:rsidR="00247A16" w:rsidRPr="003331EF">
        <w:rPr>
          <w:iCs/>
          <w:spacing w:val="-5"/>
          <w:lang w:eastAsia="en-US"/>
        </w:rPr>
        <w:t>30</w:t>
      </w:r>
      <w:r w:rsidRPr="003331EF">
        <w:rPr>
          <w:iCs/>
          <w:spacing w:val="-5"/>
          <w:lang w:eastAsia="en-US"/>
        </w:rPr>
        <w:t>. Selgituste andmisest keeldumise alused</w:t>
      </w:r>
    </w:p>
    <w:p w14:paraId="21A4394C" w14:textId="6536B676" w:rsidR="003F69BD" w:rsidRPr="003331EF" w:rsidRDefault="003F69BD" w:rsidP="003331EF">
      <w:pPr>
        <w:pStyle w:val="muutmisksk"/>
        <w:spacing w:before="0"/>
        <w:rPr>
          <w:iCs/>
          <w:spacing w:val="-5"/>
          <w:lang w:eastAsia="en-US"/>
        </w:rPr>
      </w:pPr>
      <w:r w:rsidRPr="003331EF">
        <w:rPr>
          <w:iCs/>
          <w:spacing w:val="-5"/>
          <w:lang w:eastAsia="en-US"/>
        </w:rPr>
        <w:t xml:space="preserve">§ </w:t>
      </w:r>
      <w:r w:rsidR="00247A16" w:rsidRPr="003331EF">
        <w:rPr>
          <w:iCs/>
          <w:spacing w:val="-5"/>
          <w:lang w:eastAsia="en-US"/>
        </w:rPr>
        <w:t>31</w:t>
      </w:r>
      <w:r w:rsidRPr="003331EF">
        <w:rPr>
          <w:iCs/>
          <w:spacing w:val="-5"/>
          <w:lang w:eastAsia="en-US"/>
        </w:rPr>
        <w:t>. Kohapealse kontrolli tegemine</w:t>
      </w:r>
    </w:p>
    <w:p w14:paraId="18572961" w14:textId="7F02BB4F" w:rsidR="003F69BD" w:rsidRPr="003331EF" w:rsidRDefault="003F69BD" w:rsidP="003331EF">
      <w:pPr>
        <w:pStyle w:val="muutmisksk"/>
        <w:spacing w:before="0"/>
        <w:rPr>
          <w:iCs/>
          <w:spacing w:val="-5"/>
          <w:lang w:eastAsia="en-US"/>
        </w:rPr>
      </w:pPr>
      <w:r w:rsidRPr="003331EF">
        <w:rPr>
          <w:iCs/>
          <w:spacing w:val="-5"/>
          <w:lang w:eastAsia="en-US"/>
        </w:rPr>
        <w:t xml:space="preserve">§ </w:t>
      </w:r>
      <w:r w:rsidR="003174D9" w:rsidRPr="003331EF">
        <w:rPr>
          <w:iCs/>
          <w:spacing w:val="-5"/>
          <w:lang w:eastAsia="en-US"/>
        </w:rPr>
        <w:t>3</w:t>
      </w:r>
      <w:r w:rsidR="00247A16" w:rsidRPr="003331EF">
        <w:rPr>
          <w:iCs/>
          <w:spacing w:val="-5"/>
          <w:lang w:eastAsia="en-US"/>
        </w:rPr>
        <w:t>2</w:t>
      </w:r>
      <w:r w:rsidRPr="003331EF">
        <w:rPr>
          <w:iCs/>
          <w:spacing w:val="-5"/>
          <w:lang w:eastAsia="en-US"/>
        </w:rPr>
        <w:t>. Ekspertiis ja erakorraline audiitorkontroll</w:t>
      </w:r>
    </w:p>
    <w:p w14:paraId="6A43C26B" w14:textId="26D8BBDD" w:rsidR="003F69BD" w:rsidRPr="003331EF" w:rsidRDefault="003F69BD" w:rsidP="003331EF">
      <w:pPr>
        <w:pStyle w:val="muutmisksk"/>
        <w:spacing w:before="0"/>
        <w:rPr>
          <w:iCs/>
          <w:spacing w:val="-5"/>
          <w:lang w:eastAsia="en-US"/>
        </w:rPr>
      </w:pPr>
      <w:bookmarkStart w:id="39" w:name="_Hlk103938925"/>
      <w:r w:rsidRPr="003331EF">
        <w:rPr>
          <w:iCs/>
          <w:spacing w:val="-5"/>
          <w:lang w:eastAsia="en-US"/>
        </w:rPr>
        <w:t xml:space="preserve">§ </w:t>
      </w:r>
      <w:r w:rsidR="003174D9" w:rsidRPr="003331EF">
        <w:rPr>
          <w:iCs/>
          <w:spacing w:val="-5"/>
          <w:lang w:eastAsia="en-US"/>
        </w:rPr>
        <w:t>3</w:t>
      </w:r>
      <w:r w:rsidR="00247A16" w:rsidRPr="003331EF">
        <w:rPr>
          <w:iCs/>
          <w:spacing w:val="-5"/>
          <w:lang w:eastAsia="en-US"/>
        </w:rPr>
        <w:t>3</w:t>
      </w:r>
      <w:r w:rsidRPr="003331EF">
        <w:rPr>
          <w:iCs/>
          <w:spacing w:val="-5"/>
          <w:lang w:eastAsia="en-US"/>
        </w:rPr>
        <w:t>. Ettekirjutus</w:t>
      </w:r>
    </w:p>
    <w:bookmarkEnd w:id="39"/>
    <w:p w14:paraId="565F031F" w14:textId="6842CEEB" w:rsidR="003F69BD" w:rsidRPr="003331EF" w:rsidRDefault="003F69BD" w:rsidP="003331EF">
      <w:pPr>
        <w:pStyle w:val="muutmisksk"/>
        <w:spacing w:before="0"/>
        <w:rPr>
          <w:iCs/>
          <w:spacing w:val="-5"/>
          <w:lang w:eastAsia="en-US"/>
        </w:rPr>
      </w:pPr>
      <w:r w:rsidRPr="003331EF">
        <w:rPr>
          <w:iCs/>
          <w:spacing w:val="-5"/>
          <w:lang w:eastAsia="en-US"/>
        </w:rPr>
        <w:t xml:space="preserve">§ </w:t>
      </w:r>
      <w:r w:rsidR="003174D9" w:rsidRPr="003331EF">
        <w:rPr>
          <w:iCs/>
          <w:spacing w:val="-5"/>
          <w:lang w:eastAsia="en-US"/>
        </w:rPr>
        <w:t>3</w:t>
      </w:r>
      <w:r w:rsidR="00247A16" w:rsidRPr="003331EF">
        <w:rPr>
          <w:iCs/>
          <w:spacing w:val="-5"/>
          <w:lang w:eastAsia="en-US"/>
        </w:rPr>
        <w:t>4</w:t>
      </w:r>
      <w:r w:rsidRPr="003331EF">
        <w:rPr>
          <w:iCs/>
          <w:spacing w:val="-5"/>
          <w:lang w:eastAsia="en-US"/>
        </w:rPr>
        <w:t>. Finantsinspektsiooni õigused ja kohustused ettekirjutuse tegemisel</w:t>
      </w:r>
    </w:p>
    <w:p w14:paraId="793C4E38" w14:textId="0058603F" w:rsidR="003F69BD" w:rsidRPr="003331EF" w:rsidRDefault="003F69BD" w:rsidP="003331EF">
      <w:pPr>
        <w:pStyle w:val="muutmisksk"/>
        <w:spacing w:before="0"/>
        <w:rPr>
          <w:iCs/>
          <w:spacing w:val="-5"/>
          <w:lang w:eastAsia="en-US"/>
        </w:rPr>
      </w:pPr>
      <w:r w:rsidRPr="003331EF">
        <w:rPr>
          <w:iCs/>
          <w:spacing w:val="-5"/>
          <w:lang w:eastAsia="en-US"/>
        </w:rPr>
        <w:t>§</w:t>
      </w:r>
      <w:r w:rsidR="005A072E" w:rsidRPr="003331EF">
        <w:rPr>
          <w:iCs/>
          <w:spacing w:val="-5"/>
          <w:lang w:eastAsia="en-US"/>
        </w:rPr>
        <w:t xml:space="preserve"> </w:t>
      </w:r>
      <w:r w:rsidR="003174D9" w:rsidRPr="003331EF">
        <w:rPr>
          <w:iCs/>
          <w:spacing w:val="-5"/>
          <w:lang w:eastAsia="en-US"/>
        </w:rPr>
        <w:t>3</w:t>
      </w:r>
      <w:r w:rsidR="00247A16" w:rsidRPr="003331EF">
        <w:rPr>
          <w:iCs/>
          <w:spacing w:val="-5"/>
          <w:lang w:eastAsia="en-US"/>
        </w:rPr>
        <w:t>5</w:t>
      </w:r>
      <w:r w:rsidRPr="003331EF">
        <w:rPr>
          <w:iCs/>
          <w:spacing w:val="-5"/>
          <w:lang w:eastAsia="en-US"/>
        </w:rPr>
        <w:t xml:space="preserve">. Juhtorganite </w:t>
      </w:r>
      <w:r w:rsidR="00247A16" w:rsidRPr="003331EF">
        <w:rPr>
          <w:iCs/>
          <w:spacing w:val="-5"/>
          <w:lang w:eastAsia="en-US"/>
        </w:rPr>
        <w:t xml:space="preserve">kokkukutsumisest teavitamine, Finantsinspektsiooni osalemine koosolekul </w:t>
      </w:r>
      <w:r w:rsidRPr="003331EF">
        <w:rPr>
          <w:iCs/>
          <w:spacing w:val="-5"/>
          <w:lang w:eastAsia="en-US"/>
        </w:rPr>
        <w:t>ja juhtorgani otsuse kehtetuks tunnistamine Finantsinspektsiooni taotlusel</w:t>
      </w:r>
    </w:p>
    <w:p w14:paraId="7C0ADE13" w14:textId="59711153" w:rsidR="003F69BD" w:rsidRPr="003331EF" w:rsidRDefault="003F69BD" w:rsidP="003331EF">
      <w:pPr>
        <w:pStyle w:val="muutmisksk"/>
        <w:spacing w:before="0"/>
        <w:rPr>
          <w:iCs/>
          <w:spacing w:val="-5"/>
          <w:lang w:eastAsia="en-US"/>
        </w:rPr>
      </w:pPr>
      <w:r w:rsidRPr="003331EF">
        <w:rPr>
          <w:iCs/>
          <w:spacing w:val="-5"/>
          <w:lang w:eastAsia="en-US"/>
        </w:rPr>
        <w:t>§ 3</w:t>
      </w:r>
      <w:r w:rsidR="00247A16" w:rsidRPr="003331EF">
        <w:rPr>
          <w:iCs/>
          <w:spacing w:val="-5"/>
          <w:lang w:eastAsia="en-US"/>
        </w:rPr>
        <w:t>6</w:t>
      </w:r>
      <w:r w:rsidRPr="003331EF">
        <w:rPr>
          <w:iCs/>
          <w:spacing w:val="-5"/>
          <w:lang w:eastAsia="en-US"/>
        </w:rPr>
        <w:t>. Sunniraha</w:t>
      </w:r>
    </w:p>
    <w:p w14:paraId="62668782" w14:textId="77777777" w:rsidR="00903670" w:rsidRPr="003331EF" w:rsidRDefault="00903670" w:rsidP="003331EF">
      <w:pPr>
        <w:pStyle w:val="muutmisksk"/>
        <w:spacing w:before="0"/>
      </w:pPr>
    </w:p>
    <w:p w14:paraId="7D1645E6" w14:textId="51F0F596" w:rsidR="003F69BD" w:rsidRPr="003331EF" w:rsidRDefault="003174D9" w:rsidP="003331EF">
      <w:pPr>
        <w:pStyle w:val="muutmisksk"/>
        <w:spacing w:before="0"/>
        <w:rPr>
          <w:b/>
          <w:bCs/>
        </w:rPr>
      </w:pPr>
      <w:r w:rsidRPr="003331EF">
        <w:rPr>
          <w:b/>
          <w:bCs/>
        </w:rPr>
        <w:t>8</w:t>
      </w:r>
      <w:r w:rsidR="003F69BD" w:rsidRPr="003331EF">
        <w:rPr>
          <w:b/>
          <w:bCs/>
        </w:rPr>
        <w:t>. peatükk</w:t>
      </w:r>
      <w:r w:rsidR="00903670" w:rsidRPr="003331EF">
        <w:rPr>
          <w:b/>
          <w:bCs/>
        </w:rPr>
        <w:t xml:space="preserve">. </w:t>
      </w:r>
      <w:bookmarkStart w:id="40" w:name="_Toc108170644"/>
      <w:r w:rsidR="003F69BD" w:rsidRPr="003331EF">
        <w:rPr>
          <w:b/>
          <w:bCs/>
        </w:rPr>
        <w:t>Vastutus</w:t>
      </w:r>
      <w:bookmarkEnd w:id="40"/>
    </w:p>
    <w:p w14:paraId="54297794" w14:textId="61B27F15" w:rsidR="003F69BD" w:rsidRPr="003331EF" w:rsidRDefault="003F69BD" w:rsidP="003331EF">
      <w:pPr>
        <w:pStyle w:val="muutmisksk"/>
        <w:spacing w:before="0"/>
        <w:rPr>
          <w:iCs/>
          <w:spacing w:val="-5"/>
          <w:lang w:eastAsia="en-US"/>
        </w:rPr>
      </w:pPr>
      <w:r w:rsidRPr="003331EF">
        <w:rPr>
          <w:iCs/>
          <w:spacing w:val="-5"/>
          <w:lang w:eastAsia="en-US"/>
        </w:rPr>
        <w:t>§ 3</w:t>
      </w:r>
      <w:r w:rsidR="00247A16" w:rsidRPr="003331EF">
        <w:rPr>
          <w:iCs/>
          <w:spacing w:val="-5"/>
          <w:lang w:eastAsia="en-US"/>
        </w:rPr>
        <w:t>7</w:t>
      </w:r>
      <w:r w:rsidRPr="003331EF">
        <w:rPr>
          <w:iCs/>
          <w:spacing w:val="-5"/>
          <w:lang w:eastAsia="en-US"/>
        </w:rPr>
        <w:t xml:space="preserve">. </w:t>
      </w:r>
      <w:proofErr w:type="spellStart"/>
      <w:r w:rsidRPr="003331EF">
        <w:rPr>
          <w:iCs/>
          <w:spacing w:val="-5"/>
          <w:lang w:eastAsia="en-US"/>
        </w:rPr>
        <w:t>Krüptovarateenuse</w:t>
      </w:r>
      <w:proofErr w:type="spellEnd"/>
      <w:r w:rsidRPr="003331EF">
        <w:rPr>
          <w:iCs/>
          <w:spacing w:val="-5"/>
          <w:lang w:eastAsia="en-US"/>
        </w:rPr>
        <w:t xml:space="preserve"> osutamisega seotud nõuete rikkumine</w:t>
      </w:r>
    </w:p>
    <w:p w14:paraId="518B33F0" w14:textId="17C2405E" w:rsidR="003F69BD" w:rsidRPr="003331EF" w:rsidRDefault="003F69BD" w:rsidP="003331EF">
      <w:pPr>
        <w:pStyle w:val="muutmisksk"/>
        <w:spacing w:before="0"/>
        <w:rPr>
          <w:iCs/>
          <w:spacing w:val="-5"/>
          <w:lang w:eastAsia="en-US"/>
        </w:rPr>
      </w:pPr>
      <w:r w:rsidRPr="003331EF">
        <w:rPr>
          <w:iCs/>
          <w:spacing w:val="-5"/>
          <w:lang w:eastAsia="en-US"/>
        </w:rPr>
        <w:t xml:space="preserve">§ </w:t>
      </w:r>
      <w:r w:rsidR="003174D9" w:rsidRPr="003331EF">
        <w:rPr>
          <w:iCs/>
          <w:spacing w:val="-5"/>
          <w:lang w:eastAsia="en-US"/>
        </w:rPr>
        <w:t>3</w:t>
      </w:r>
      <w:r w:rsidR="00247A16" w:rsidRPr="003331EF">
        <w:rPr>
          <w:iCs/>
          <w:spacing w:val="-5"/>
          <w:lang w:eastAsia="en-US"/>
        </w:rPr>
        <w:t>8</w:t>
      </w:r>
      <w:r w:rsidRPr="003331EF">
        <w:rPr>
          <w:iCs/>
          <w:spacing w:val="-5"/>
          <w:lang w:eastAsia="en-US"/>
        </w:rPr>
        <w:t xml:space="preserve">. Varapõhise </w:t>
      </w:r>
      <w:proofErr w:type="spellStart"/>
      <w:r w:rsidRPr="003331EF">
        <w:rPr>
          <w:iCs/>
          <w:spacing w:val="-5"/>
          <w:lang w:eastAsia="en-US"/>
        </w:rPr>
        <w:t>tokeni</w:t>
      </w:r>
      <w:proofErr w:type="spellEnd"/>
      <w:r w:rsidRPr="003331EF">
        <w:rPr>
          <w:iCs/>
          <w:spacing w:val="-5"/>
          <w:lang w:eastAsia="en-US"/>
        </w:rPr>
        <w:t xml:space="preserve"> emitendi nõuete rikkumine</w:t>
      </w:r>
    </w:p>
    <w:p w14:paraId="59E26D9D" w14:textId="122C13AB" w:rsidR="003F69BD" w:rsidRPr="003331EF" w:rsidRDefault="003F69BD" w:rsidP="003331EF">
      <w:pPr>
        <w:pStyle w:val="muutmisksk"/>
        <w:spacing w:before="0"/>
        <w:rPr>
          <w:iCs/>
          <w:spacing w:val="-5"/>
          <w:lang w:eastAsia="en-US"/>
        </w:rPr>
      </w:pPr>
      <w:r w:rsidRPr="003331EF">
        <w:rPr>
          <w:iCs/>
          <w:spacing w:val="-5"/>
          <w:lang w:eastAsia="en-US"/>
        </w:rPr>
        <w:t xml:space="preserve">§ </w:t>
      </w:r>
      <w:r w:rsidR="003174D9" w:rsidRPr="003331EF">
        <w:rPr>
          <w:iCs/>
          <w:spacing w:val="-5"/>
          <w:lang w:eastAsia="en-US"/>
        </w:rPr>
        <w:t>3</w:t>
      </w:r>
      <w:r w:rsidR="00247A16" w:rsidRPr="003331EF">
        <w:rPr>
          <w:iCs/>
          <w:spacing w:val="-5"/>
          <w:lang w:eastAsia="en-US"/>
        </w:rPr>
        <w:t>9</w:t>
      </w:r>
      <w:r w:rsidRPr="003331EF">
        <w:rPr>
          <w:iCs/>
          <w:spacing w:val="-5"/>
          <w:lang w:eastAsia="en-US"/>
        </w:rPr>
        <w:t xml:space="preserve">. E-raha </w:t>
      </w:r>
      <w:proofErr w:type="spellStart"/>
      <w:r w:rsidRPr="003331EF">
        <w:rPr>
          <w:iCs/>
          <w:spacing w:val="-5"/>
          <w:lang w:eastAsia="en-US"/>
        </w:rPr>
        <w:t>tokeni</w:t>
      </w:r>
      <w:proofErr w:type="spellEnd"/>
      <w:r w:rsidRPr="003331EF">
        <w:rPr>
          <w:iCs/>
          <w:spacing w:val="-5"/>
          <w:lang w:eastAsia="en-US"/>
        </w:rPr>
        <w:t xml:space="preserve"> emitendi nõuete rikkumine</w:t>
      </w:r>
    </w:p>
    <w:p w14:paraId="609B89C2" w14:textId="3FFB3F78" w:rsidR="003F69BD" w:rsidRPr="003331EF" w:rsidRDefault="003F69BD" w:rsidP="003331EF">
      <w:pPr>
        <w:pStyle w:val="muutmisksk"/>
        <w:spacing w:before="0"/>
        <w:rPr>
          <w:iCs/>
          <w:spacing w:val="-5"/>
          <w:lang w:eastAsia="en-US"/>
        </w:rPr>
      </w:pPr>
      <w:r w:rsidRPr="003331EF">
        <w:rPr>
          <w:iCs/>
          <w:spacing w:val="-5"/>
          <w:lang w:eastAsia="en-US"/>
        </w:rPr>
        <w:t xml:space="preserve">§ </w:t>
      </w:r>
      <w:r w:rsidR="00247A16" w:rsidRPr="003331EF">
        <w:rPr>
          <w:iCs/>
          <w:spacing w:val="-5"/>
          <w:lang w:eastAsia="en-US"/>
        </w:rPr>
        <w:t>40</w:t>
      </w:r>
      <w:r w:rsidRPr="003331EF">
        <w:rPr>
          <w:iCs/>
          <w:spacing w:val="-5"/>
          <w:lang w:eastAsia="en-US"/>
        </w:rPr>
        <w:t xml:space="preserve">. Muu </w:t>
      </w:r>
      <w:proofErr w:type="spellStart"/>
      <w:r w:rsidRPr="003331EF">
        <w:rPr>
          <w:iCs/>
          <w:spacing w:val="-5"/>
          <w:lang w:eastAsia="en-US"/>
        </w:rPr>
        <w:t>krüptovara</w:t>
      </w:r>
      <w:proofErr w:type="spellEnd"/>
      <w:r w:rsidRPr="003331EF">
        <w:rPr>
          <w:iCs/>
          <w:spacing w:val="-5"/>
          <w:lang w:eastAsia="en-US"/>
        </w:rPr>
        <w:t xml:space="preserve"> pakkumise ja kauplemisele võtmise nõuete rikkumine</w:t>
      </w:r>
    </w:p>
    <w:p w14:paraId="599FA890" w14:textId="24BEA8DA" w:rsidR="003F69BD" w:rsidRPr="003331EF" w:rsidRDefault="003F69BD" w:rsidP="003331EF">
      <w:pPr>
        <w:pStyle w:val="muutmisksk"/>
        <w:spacing w:before="0"/>
        <w:rPr>
          <w:iCs/>
          <w:spacing w:val="-5"/>
          <w:lang w:eastAsia="en-US"/>
        </w:rPr>
      </w:pPr>
      <w:r w:rsidRPr="003331EF">
        <w:rPr>
          <w:iCs/>
          <w:spacing w:val="-5"/>
          <w:lang w:eastAsia="en-US"/>
        </w:rPr>
        <w:t xml:space="preserve">§ </w:t>
      </w:r>
      <w:r w:rsidR="00247A16" w:rsidRPr="003331EF">
        <w:rPr>
          <w:iCs/>
          <w:spacing w:val="-5"/>
          <w:lang w:eastAsia="en-US"/>
        </w:rPr>
        <w:t>41</w:t>
      </w:r>
      <w:r w:rsidRPr="003331EF">
        <w:rPr>
          <w:iCs/>
          <w:spacing w:val="-5"/>
          <w:lang w:eastAsia="en-US"/>
        </w:rPr>
        <w:t>. Siseteabe avalikustamise nõuete rikkumine</w:t>
      </w:r>
    </w:p>
    <w:p w14:paraId="249AF34A" w14:textId="0CA7B357" w:rsidR="003F69BD" w:rsidRPr="003331EF" w:rsidRDefault="003F69BD" w:rsidP="003331EF">
      <w:pPr>
        <w:pStyle w:val="muutmisksk"/>
        <w:spacing w:before="0"/>
        <w:rPr>
          <w:iCs/>
          <w:spacing w:val="-5"/>
          <w:lang w:eastAsia="en-US"/>
        </w:rPr>
      </w:pPr>
      <w:r w:rsidRPr="003331EF">
        <w:rPr>
          <w:iCs/>
          <w:spacing w:val="-5"/>
          <w:lang w:eastAsia="en-US"/>
        </w:rPr>
        <w:t xml:space="preserve">§ </w:t>
      </w:r>
      <w:r w:rsidR="003174D9" w:rsidRPr="003331EF">
        <w:rPr>
          <w:iCs/>
          <w:spacing w:val="-5"/>
          <w:lang w:eastAsia="en-US"/>
        </w:rPr>
        <w:t>4</w:t>
      </w:r>
      <w:r w:rsidR="00247A16" w:rsidRPr="003331EF">
        <w:rPr>
          <w:iCs/>
          <w:spacing w:val="-5"/>
          <w:lang w:eastAsia="en-US"/>
        </w:rPr>
        <w:t>2</w:t>
      </w:r>
      <w:r w:rsidRPr="003331EF">
        <w:rPr>
          <w:iCs/>
          <w:spacing w:val="-5"/>
          <w:lang w:eastAsia="en-US"/>
        </w:rPr>
        <w:t>. Turukuritarvituse ennetamise ja avastamise nõuete rikkumine</w:t>
      </w:r>
    </w:p>
    <w:p w14:paraId="4FF5F27D" w14:textId="1897D4CB" w:rsidR="003F69BD" w:rsidRPr="003331EF" w:rsidRDefault="003F69BD" w:rsidP="003331EF">
      <w:pPr>
        <w:pStyle w:val="muutmisksk"/>
        <w:spacing w:before="0"/>
        <w:rPr>
          <w:iCs/>
          <w:spacing w:val="-5"/>
          <w:lang w:eastAsia="en-US"/>
        </w:rPr>
      </w:pPr>
      <w:r w:rsidRPr="003331EF">
        <w:rPr>
          <w:iCs/>
          <w:spacing w:val="-5"/>
          <w:lang w:eastAsia="en-US"/>
        </w:rPr>
        <w:t xml:space="preserve">§ </w:t>
      </w:r>
      <w:r w:rsidR="003174D9" w:rsidRPr="003331EF">
        <w:rPr>
          <w:iCs/>
          <w:spacing w:val="-5"/>
          <w:lang w:eastAsia="en-US"/>
        </w:rPr>
        <w:t>4</w:t>
      </w:r>
      <w:r w:rsidR="00247A16" w:rsidRPr="003331EF">
        <w:rPr>
          <w:iCs/>
          <w:spacing w:val="-5"/>
          <w:lang w:eastAsia="en-US"/>
        </w:rPr>
        <w:t>3</w:t>
      </w:r>
      <w:r w:rsidRPr="003331EF">
        <w:rPr>
          <w:iCs/>
          <w:spacing w:val="-5"/>
          <w:lang w:eastAsia="en-US"/>
        </w:rPr>
        <w:t xml:space="preserve">. </w:t>
      </w:r>
      <w:r w:rsidR="003174D9" w:rsidRPr="003331EF">
        <w:rPr>
          <w:iCs/>
          <w:spacing w:val="-5"/>
          <w:lang w:eastAsia="en-US"/>
        </w:rPr>
        <w:t>Teabe esitamise või avalikustamise kohustuse rikkumine</w:t>
      </w:r>
    </w:p>
    <w:p w14:paraId="0F1FE22C" w14:textId="13CB2E77" w:rsidR="003F69BD" w:rsidRPr="003331EF" w:rsidRDefault="003F69BD" w:rsidP="003331EF">
      <w:pPr>
        <w:pStyle w:val="muutmisksk"/>
        <w:spacing w:before="0"/>
        <w:rPr>
          <w:iCs/>
          <w:spacing w:val="-5"/>
          <w:lang w:eastAsia="en-US"/>
        </w:rPr>
      </w:pPr>
      <w:r w:rsidRPr="003331EF">
        <w:rPr>
          <w:iCs/>
          <w:spacing w:val="-5"/>
          <w:lang w:eastAsia="en-US"/>
        </w:rPr>
        <w:t xml:space="preserve">§ </w:t>
      </w:r>
      <w:r w:rsidR="003174D9" w:rsidRPr="003331EF">
        <w:rPr>
          <w:iCs/>
          <w:spacing w:val="-5"/>
          <w:lang w:eastAsia="en-US"/>
        </w:rPr>
        <w:t>4</w:t>
      </w:r>
      <w:r w:rsidR="00247A16" w:rsidRPr="003331EF">
        <w:rPr>
          <w:iCs/>
          <w:spacing w:val="-5"/>
          <w:lang w:eastAsia="en-US"/>
        </w:rPr>
        <w:t>4</w:t>
      </w:r>
      <w:r w:rsidRPr="003331EF">
        <w:rPr>
          <w:iCs/>
          <w:spacing w:val="-5"/>
          <w:lang w:eastAsia="en-US"/>
        </w:rPr>
        <w:t>. Digitaalse tegevuskerksuse nõuete rikkumine</w:t>
      </w:r>
    </w:p>
    <w:p w14:paraId="25962C41" w14:textId="74C23FFA" w:rsidR="003F69BD" w:rsidRPr="003331EF" w:rsidRDefault="003F69BD" w:rsidP="003331EF">
      <w:pPr>
        <w:pStyle w:val="muutmisksk"/>
        <w:spacing w:before="0"/>
        <w:rPr>
          <w:iCs/>
          <w:spacing w:val="-5"/>
          <w:lang w:eastAsia="en-US"/>
        </w:rPr>
      </w:pPr>
      <w:r w:rsidRPr="003331EF">
        <w:rPr>
          <w:iCs/>
          <w:spacing w:val="-5"/>
          <w:lang w:eastAsia="en-US"/>
        </w:rPr>
        <w:t>§ 4</w:t>
      </w:r>
      <w:r w:rsidR="00247A16" w:rsidRPr="003331EF">
        <w:rPr>
          <w:iCs/>
          <w:spacing w:val="-5"/>
          <w:lang w:eastAsia="en-US"/>
        </w:rPr>
        <w:t>5</w:t>
      </w:r>
      <w:r w:rsidRPr="003331EF">
        <w:rPr>
          <w:iCs/>
          <w:spacing w:val="-5"/>
          <w:lang w:eastAsia="en-US"/>
        </w:rPr>
        <w:t xml:space="preserve">. </w:t>
      </w:r>
      <w:proofErr w:type="spellStart"/>
      <w:r w:rsidRPr="003331EF">
        <w:rPr>
          <w:iCs/>
          <w:spacing w:val="-5"/>
          <w:lang w:eastAsia="en-US"/>
        </w:rPr>
        <w:t>Krüptovarateenuse</w:t>
      </w:r>
      <w:proofErr w:type="spellEnd"/>
      <w:r w:rsidRPr="003331EF">
        <w:rPr>
          <w:iCs/>
          <w:spacing w:val="-5"/>
          <w:lang w:eastAsia="en-US"/>
        </w:rPr>
        <w:t xml:space="preserve"> osutaja jagunemise, ümberkujundamise, ühinemise või lõpetamisega seotud nõuete rikkumine</w:t>
      </w:r>
    </w:p>
    <w:p w14:paraId="0340F380" w14:textId="5B1D553A" w:rsidR="003F69BD" w:rsidRPr="003331EF" w:rsidRDefault="003F69BD" w:rsidP="003331EF">
      <w:pPr>
        <w:pStyle w:val="muutmisksk"/>
        <w:spacing w:before="0"/>
        <w:rPr>
          <w:iCs/>
          <w:spacing w:val="-5"/>
          <w:lang w:eastAsia="en-US"/>
        </w:rPr>
      </w:pPr>
      <w:r w:rsidRPr="003331EF">
        <w:rPr>
          <w:iCs/>
          <w:spacing w:val="-5"/>
          <w:lang w:eastAsia="en-US"/>
        </w:rPr>
        <w:t>§ 4</w:t>
      </w:r>
      <w:r w:rsidR="00247A16" w:rsidRPr="003331EF">
        <w:rPr>
          <w:iCs/>
          <w:spacing w:val="-5"/>
          <w:lang w:eastAsia="en-US"/>
        </w:rPr>
        <w:t>6</w:t>
      </w:r>
      <w:r w:rsidRPr="003331EF">
        <w:rPr>
          <w:iCs/>
          <w:spacing w:val="-5"/>
          <w:lang w:eastAsia="en-US"/>
        </w:rPr>
        <w:t xml:space="preserve">. </w:t>
      </w:r>
      <w:bookmarkStart w:id="41" w:name="_Hlk131675044"/>
      <w:r w:rsidRPr="003331EF">
        <w:rPr>
          <w:iCs/>
          <w:spacing w:val="-5"/>
          <w:lang w:eastAsia="en-US"/>
        </w:rPr>
        <w:t>Juriidilise isiku ja konsolideerimisgrupi käive</w:t>
      </w:r>
    </w:p>
    <w:p w14:paraId="79F51177" w14:textId="0159B030" w:rsidR="003F69BD" w:rsidRPr="003331EF" w:rsidRDefault="003F69BD" w:rsidP="003331EF">
      <w:pPr>
        <w:pStyle w:val="muutmisksk"/>
        <w:spacing w:before="0"/>
        <w:rPr>
          <w:iCs/>
          <w:spacing w:val="-5"/>
          <w:lang w:eastAsia="en-US"/>
        </w:rPr>
      </w:pPr>
      <w:bookmarkStart w:id="42" w:name="_Toc48637205"/>
      <w:bookmarkStart w:id="43" w:name="_Toc108170651"/>
      <w:bookmarkEnd w:id="41"/>
      <w:r w:rsidRPr="003331EF">
        <w:rPr>
          <w:iCs/>
          <w:spacing w:val="-5"/>
          <w:lang w:eastAsia="en-US"/>
        </w:rPr>
        <w:t xml:space="preserve">§ </w:t>
      </w:r>
      <w:r w:rsidR="003174D9" w:rsidRPr="003331EF">
        <w:rPr>
          <w:iCs/>
          <w:spacing w:val="-5"/>
          <w:lang w:eastAsia="en-US"/>
        </w:rPr>
        <w:t>4</w:t>
      </w:r>
      <w:r w:rsidR="00247A16" w:rsidRPr="003331EF">
        <w:rPr>
          <w:iCs/>
          <w:spacing w:val="-5"/>
          <w:lang w:eastAsia="en-US"/>
        </w:rPr>
        <w:t>7</w:t>
      </w:r>
      <w:r w:rsidRPr="003331EF">
        <w:rPr>
          <w:iCs/>
          <w:spacing w:val="-5"/>
          <w:lang w:eastAsia="en-US"/>
        </w:rPr>
        <w:t>. Menetlus</w:t>
      </w:r>
      <w:bookmarkEnd w:id="42"/>
      <w:bookmarkEnd w:id="43"/>
    </w:p>
    <w:p w14:paraId="2E726DC3" w14:textId="77777777" w:rsidR="00903670" w:rsidRPr="003331EF" w:rsidRDefault="00903670" w:rsidP="003331EF">
      <w:pPr>
        <w:pStyle w:val="muutmisksk"/>
        <w:spacing w:before="0"/>
        <w:rPr>
          <w:b/>
          <w:bCs/>
        </w:rPr>
      </w:pPr>
    </w:p>
    <w:p w14:paraId="51B4342C" w14:textId="2A86973D" w:rsidR="003F69BD" w:rsidRPr="003331EF" w:rsidRDefault="003174D9" w:rsidP="003331EF">
      <w:pPr>
        <w:pStyle w:val="muutmisksk"/>
        <w:spacing w:before="0"/>
      </w:pPr>
      <w:r w:rsidRPr="003331EF">
        <w:rPr>
          <w:b/>
          <w:bCs/>
        </w:rPr>
        <w:t>9</w:t>
      </w:r>
      <w:r w:rsidR="003F69BD" w:rsidRPr="003331EF">
        <w:rPr>
          <w:b/>
          <w:bCs/>
        </w:rPr>
        <w:t>. peatükk</w:t>
      </w:r>
      <w:r w:rsidR="00903670" w:rsidRPr="003331EF">
        <w:rPr>
          <w:b/>
          <w:bCs/>
        </w:rPr>
        <w:t xml:space="preserve">. </w:t>
      </w:r>
      <w:bookmarkStart w:id="44" w:name="_Toc48637207"/>
      <w:r w:rsidR="003F69BD" w:rsidRPr="003331EF">
        <w:rPr>
          <w:b/>
          <w:bCs/>
        </w:rPr>
        <w:t>Rakendussätted</w:t>
      </w:r>
      <w:bookmarkEnd w:id="44"/>
    </w:p>
    <w:p w14:paraId="0E95109F" w14:textId="1249FA71" w:rsidR="003F69BD" w:rsidRPr="003331EF" w:rsidRDefault="003F69BD" w:rsidP="003331EF">
      <w:pPr>
        <w:pStyle w:val="muutmisksk"/>
        <w:spacing w:before="0"/>
        <w:rPr>
          <w:b/>
          <w:bCs/>
        </w:rPr>
      </w:pPr>
      <w:r w:rsidRPr="003331EF">
        <w:rPr>
          <w:b/>
          <w:bCs/>
        </w:rPr>
        <w:t>1. jagu</w:t>
      </w:r>
      <w:r w:rsidR="00903670" w:rsidRPr="003331EF">
        <w:rPr>
          <w:b/>
          <w:bCs/>
        </w:rPr>
        <w:t xml:space="preserve">. </w:t>
      </w:r>
      <w:bookmarkStart w:id="45" w:name="jg1"/>
      <w:bookmarkEnd w:id="45"/>
      <w:r w:rsidR="003174D9" w:rsidRPr="003331EF">
        <w:rPr>
          <w:b/>
          <w:bCs/>
        </w:rPr>
        <w:t>Üleminekusätted</w:t>
      </w:r>
      <w:r w:rsidR="005A072E" w:rsidRPr="003331EF">
        <w:rPr>
          <w:b/>
          <w:bCs/>
        </w:rPr>
        <w:t xml:space="preserve"> ja rakendussätte</w:t>
      </w:r>
      <w:r w:rsidR="00247A16" w:rsidRPr="003331EF">
        <w:rPr>
          <w:b/>
          <w:bCs/>
        </w:rPr>
        <w:t>d</w:t>
      </w:r>
    </w:p>
    <w:p w14:paraId="0F7BEC15" w14:textId="68C8D1EA" w:rsidR="003F69BD" w:rsidRPr="003331EF" w:rsidRDefault="003F69BD" w:rsidP="003331EF">
      <w:pPr>
        <w:pStyle w:val="muutmisksk"/>
        <w:spacing w:before="0"/>
        <w:rPr>
          <w:iCs/>
          <w:spacing w:val="-5"/>
          <w:lang w:eastAsia="en-US"/>
        </w:rPr>
      </w:pPr>
      <w:bookmarkStart w:id="46" w:name="_Toc48637210"/>
      <w:r w:rsidRPr="003331EF">
        <w:rPr>
          <w:iCs/>
          <w:spacing w:val="-5"/>
          <w:lang w:eastAsia="en-US"/>
        </w:rPr>
        <w:t xml:space="preserve">§ </w:t>
      </w:r>
      <w:r w:rsidR="003174D9" w:rsidRPr="003331EF">
        <w:rPr>
          <w:iCs/>
          <w:spacing w:val="-5"/>
          <w:lang w:eastAsia="en-US"/>
        </w:rPr>
        <w:t>4</w:t>
      </w:r>
      <w:r w:rsidR="00247A16" w:rsidRPr="003331EF">
        <w:rPr>
          <w:iCs/>
          <w:spacing w:val="-5"/>
          <w:lang w:eastAsia="en-US"/>
        </w:rPr>
        <w:t>8</w:t>
      </w:r>
      <w:r w:rsidRPr="003331EF">
        <w:rPr>
          <w:iCs/>
          <w:spacing w:val="-5"/>
          <w:lang w:eastAsia="en-US"/>
        </w:rPr>
        <w:t>. Käesoleva seaduse rakendamine ja tegevuse kooskõlla viimine käesoleva seaduse nõuetega</w:t>
      </w:r>
      <w:bookmarkEnd w:id="46"/>
    </w:p>
    <w:p w14:paraId="33B18918" w14:textId="77777777" w:rsidR="00903670" w:rsidRPr="003331EF" w:rsidRDefault="00903670" w:rsidP="003331EF">
      <w:pPr>
        <w:pStyle w:val="muutmisksk"/>
        <w:spacing w:before="0"/>
      </w:pPr>
    </w:p>
    <w:p w14:paraId="20FEACE0" w14:textId="49CFB5D7" w:rsidR="00903670" w:rsidRPr="003331EF" w:rsidRDefault="00903670" w:rsidP="003331EF">
      <w:pPr>
        <w:pStyle w:val="muutmisksk"/>
        <w:spacing w:before="0"/>
        <w:rPr>
          <w:b/>
          <w:bCs/>
        </w:rPr>
      </w:pPr>
      <w:r w:rsidRPr="003331EF">
        <w:rPr>
          <w:b/>
          <w:bCs/>
        </w:rPr>
        <w:t>2. jagu</w:t>
      </w:r>
      <w:bookmarkStart w:id="47" w:name="_Toc48637212"/>
      <w:r w:rsidRPr="003331EF">
        <w:rPr>
          <w:b/>
          <w:bCs/>
        </w:rPr>
        <w:t>. Muudatused kehtivates seadustes</w:t>
      </w:r>
      <w:bookmarkStart w:id="48" w:name="jg2"/>
      <w:bookmarkEnd w:id="47"/>
      <w:bookmarkEnd w:id="48"/>
    </w:p>
    <w:p w14:paraId="3D247822" w14:textId="7B29EBDA" w:rsidR="00903670" w:rsidRPr="003331EF" w:rsidRDefault="00903670" w:rsidP="003331EF">
      <w:pPr>
        <w:pStyle w:val="muutmisksk"/>
        <w:spacing w:before="0"/>
        <w:rPr>
          <w:iCs/>
          <w:spacing w:val="-5"/>
          <w:lang w:eastAsia="en-US"/>
        </w:rPr>
      </w:pPr>
      <w:bookmarkStart w:id="49" w:name="_Toc48637213"/>
      <w:r w:rsidRPr="003331EF">
        <w:rPr>
          <w:iCs/>
          <w:spacing w:val="-5"/>
          <w:lang w:eastAsia="en-US"/>
        </w:rPr>
        <w:t>§ 4</w:t>
      </w:r>
      <w:r w:rsidR="00247A16" w:rsidRPr="003331EF">
        <w:rPr>
          <w:iCs/>
          <w:spacing w:val="-5"/>
          <w:lang w:eastAsia="en-US"/>
        </w:rPr>
        <w:t>9</w:t>
      </w:r>
      <w:r w:rsidRPr="003331EF">
        <w:rPr>
          <w:iCs/>
          <w:spacing w:val="-5"/>
          <w:lang w:eastAsia="en-US"/>
        </w:rPr>
        <w:t>. Finantsinspektsiooni seaduse muutmine</w:t>
      </w:r>
      <w:bookmarkEnd w:id="49"/>
    </w:p>
    <w:p w14:paraId="1655F0CE" w14:textId="5B2DA9FD" w:rsidR="00903670" w:rsidRPr="003331EF" w:rsidRDefault="00903670" w:rsidP="003331EF">
      <w:pPr>
        <w:pStyle w:val="muutmisksk"/>
        <w:spacing w:before="0"/>
        <w:rPr>
          <w:iCs/>
          <w:spacing w:val="-5"/>
          <w:lang w:eastAsia="en-US"/>
        </w:rPr>
      </w:pPr>
      <w:bookmarkStart w:id="50" w:name="_Hlk131167052"/>
      <w:r w:rsidRPr="003331EF">
        <w:rPr>
          <w:iCs/>
          <w:spacing w:val="-5"/>
          <w:lang w:eastAsia="en-US"/>
        </w:rPr>
        <w:t xml:space="preserve">§ </w:t>
      </w:r>
      <w:r w:rsidR="00247A16" w:rsidRPr="003331EF">
        <w:rPr>
          <w:iCs/>
          <w:spacing w:val="-5"/>
          <w:lang w:eastAsia="en-US"/>
        </w:rPr>
        <w:t>50</w:t>
      </w:r>
      <w:r w:rsidRPr="003331EF">
        <w:rPr>
          <w:iCs/>
          <w:spacing w:val="-5"/>
          <w:lang w:eastAsia="en-US"/>
        </w:rPr>
        <w:t>. Investeerimisfondide seaduse muutmine</w:t>
      </w:r>
    </w:p>
    <w:bookmarkEnd w:id="50"/>
    <w:p w14:paraId="374B6055" w14:textId="6BA2E6F4" w:rsidR="00903670" w:rsidRPr="003331EF" w:rsidRDefault="00903670" w:rsidP="003331EF">
      <w:pPr>
        <w:pStyle w:val="muutmisksk"/>
        <w:spacing w:before="0"/>
        <w:rPr>
          <w:iCs/>
          <w:spacing w:val="-5"/>
          <w:lang w:eastAsia="en-US"/>
        </w:rPr>
      </w:pPr>
      <w:r w:rsidRPr="003331EF">
        <w:rPr>
          <w:iCs/>
          <w:spacing w:val="-5"/>
          <w:lang w:eastAsia="en-US"/>
        </w:rPr>
        <w:lastRenderedPageBreak/>
        <w:t xml:space="preserve">§ </w:t>
      </w:r>
      <w:r w:rsidR="00247A16" w:rsidRPr="003331EF">
        <w:rPr>
          <w:iCs/>
          <w:spacing w:val="-5"/>
          <w:lang w:eastAsia="en-US"/>
        </w:rPr>
        <w:t>5</w:t>
      </w:r>
      <w:r w:rsidR="001C0190" w:rsidRPr="003331EF">
        <w:rPr>
          <w:iCs/>
          <w:spacing w:val="-5"/>
          <w:lang w:eastAsia="en-US"/>
        </w:rPr>
        <w:t>1</w:t>
      </w:r>
      <w:r w:rsidRPr="003331EF">
        <w:rPr>
          <w:iCs/>
          <w:spacing w:val="-5"/>
          <w:lang w:eastAsia="en-US"/>
        </w:rPr>
        <w:t>. Kindlustustegevuse seaduse muutmine</w:t>
      </w:r>
    </w:p>
    <w:p w14:paraId="6D76E6EB" w14:textId="6382FED9" w:rsidR="00903670" w:rsidRPr="003331EF" w:rsidRDefault="00903670" w:rsidP="003331EF">
      <w:pPr>
        <w:pStyle w:val="muutmisksk"/>
        <w:spacing w:before="0"/>
        <w:rPr>
          <w:iCs/>
          <w:spacing w:val="-5"/>
          <w:lang w:eastAsia="en-US"/>
        </w:rPr>
      </w:pPr>
      <w:r w:rsidRPr="003331EF">
        <w:rPr>
          <w:iCs/>
          <w:spacing w:val="-5"/>
          <w:lang w:eastAsia="en-US"/>
        </w:rPr>
        <w:t xml:space="preserve">§ </w:t>
      </w:r>
      <w:r w:rsidR="00247A16" w:rsidRPr="003331EF">
        <w:rPr>
          <w:iCs/>
          <w:spacing w:val="-5"/>
          <w:lang w:eastAsia="en-US"/>
        </w:rPr>
        <w:t>5</w:t>
      </w:r>
      <w:r w:rsidR="001C0190" w:rsidRPr="003331EF">
        <w:rPr>
          <w:iCs/>
          <w:spacing w:val="-5"/>
          <w:lang w:eastAsia="en-US"/>
        </w:rPr>
        <w:t>2</w:t>
      </w:r>
      <w:r w:rsidRPr="003331EF">
        <w:rPr>
          <w:iCs/>
          <w:spacing w:val="-5"/>
          <w:lang w:eastAsia="en-US"/>
        </w:rPr>
        <w:t>. Krediidiasutuste seaduse muutmine</w:t>
      </w:r>
    </w:p>
    <w:p w14:paraId="5C0B084D" w14:textId="3377AD5D" w:rsidR="00903670" w:rsidRPr="003331EF" w:rsidRDefault="00903670" w:rsidP="003331EF">
      <w:pPr>
        <w:pStyle w:val="muutmisksk"/>
        <w:spacing w:before="0"/>
        <w:rPr>
          <w:iCs/>
          <w:spacing w:val="-5"/>
          <w:lang w:eastAsia="en-US"/>
        </w:rPr>
      </w:pPr>
      <w:bookmarkStart w:id="51" w:name="_Toc48637215"/>
      <w:r w:rsidRPr="003331EF">
        <w:rPr>
          <w:iCs/>
          <w:spacing w:val="-5"/>
          <w:lang w:eastAsia="en-US"/>
        </w:rPr>
        <w:t xml:space="preserve">§ </w:t>
      </w:r>
      <w:r w:rsidR="00247A16" w:rsidRPr="003331EF">
        <w:rPr>
          <w:iCs/>
          <w:spacing w:val="-5"/>
          <w:lang w:eastAsia="en-US"/>
        </w:rPr>
        <w:t>5</w:t>
      </w:r>
      <w:r w:rsidR="001C0190" w:rsidRPr="003331EF">
        <w:rPr>
          <w:iCs/>
          <w:spacing w:val="-5"/>
          <w:lang w:eastAsia="en-US"/>
        </w:rPr>
        <w:t>3</w:t>
      </w:r>
      <w:r w:rsidRPr="003331EF">
        <w:rPr>
          <w:iCs/>
          <w:spacing w:val="-5"/>
          <w:lang w:eastAsia="en-US"/>
        </w:rPr>
        <w:t>. Majandustegevuse seadustiku üldosa seadus</w:t>
      </w:r>
      <w:bookmarkEnd w:id="51"/>
      <w:r w:rsidRPr="003331EF">
        <w:rPr>
          <w:iCs/>
          <w:spacing w:val="-5"/>
          <w:lang w:eastAsia="en-US"/>
        </w:rPr>
        <w:t>e muutmine</w:t>
      </w:r>
    </w:p>
    <w:p w14:paraId="6AB216C3" w14:textId="4B10EEF6" w:rsidR="00903670" w:rsidRPr="003331EF" w:rsidRDefault="00903670" w:rsidP="003331EF">
      <w:pPr>
        <w:pStyle w:val="muutmisksk"/>
        <w:spacing w:before="0"/>
        <w:rPr>
          <w:iCs/>
          <w:spacing w:val="-5"/>
          <w:lang w:eastAsia="en-US"/>
        </w:rPr>
      </w:pPr>
      <w:r w:rsidRPr="003331EF">
        <w:rPr>
          <w:iCs/>
          <w:spacing w:val="-5"/>
          <w:lang w:eastAsia="en-US"/>
        </w:rPr>
        <w:t xml:space="preserve">§ </w:t>
      </w:r>
      <w:r w:rsidR="00247A16" w:rsidRPr="003331EF">
        <w:rPr>
          <w:iCs/>
          <w:spacing w:val="-5"/>
          <w:lang w:eastAsia="en-US"/>
        </w:rPr>
        <w:t>5</w:t>
      </w:r>
      <w:r w:rsidR="001C0190" w:rsidRPr="003331EF">
        <w:rPr>
          <w:iCs/>
          <w:spacing w:val="-5"/>
          <w:lang w:eastAsia="en-US"/>
        </w:rPr>
        <w:t>4</w:t>
      </w:r>
      <w:r w:rsidRPr="003331EF">
        <w:rPr>
          <w:iCs/>
          <w:spacing w:val="-5"/>
          <w:lang w:eastAsia="en-US"/>
        </w:rPr>
        <w:t>. Makseasutuste ja e-raha asutuste seaduse muutmine</w:t>
      </w:r>
    </w:p>
    <w:p w14:paraId="026BEFDA" w14:textId="63AC1E98" w:rsidR="003F69BD" w:rsidRPr="003331EF" w:rsidRDefault="00903670" w:rsidP="003331EF">
      <w:pPr>
        <w:pStyle w:val="muutmisksk"/>
        <w:spacing w:before="0"/>
        <w:rPr>
          <w:iCs/>
          <w:spacing w:val="-5"/>
          <w:lang w:eastAsia="en-US"/>
        </w:rPr>
      </w:pPr>
      <w:bookmarkStart w:id="52" w:name="_Toc48637216"/>
      <w:r w:rsidRPr="003331EF">
        <w:rPr>
          <w:iCs/>
          <w:spacing w:val="-5"/>
          <w:lang w:eastAsia="en-US"/>
        </w:rPr>
        <w:t xml:space="preserve">§ </w:t>
      </w:r>
      <w:r w:rsidR="00247A16" w:rsidRPr="003331EF">
        <w:rPr>
          <w:iCs/>
          <w:spacing w:val="-5"/>
          <w:lang w:eastAsia="en-US"/>
        </w:rPr>
        <w:t>5</w:t>
      </w:r>
      <w:r w:rsidR="001C0190" w:rsidRPr="003331EF">
        <w:rPr>
          <w:iCs/>
          <w:spacing w:val="-5"/>
          <w:lang w:eastAsia="en-US"/>
        </w:rPr>
        <w:t>5</w:t>
      </w:r>
      <w:r w:rsidRPr="003331EF">
        <w:rPr>
          <w:iCs/>
          <w:spacing w:val="-5"/>
          <w:lang w:eastAsia="en-US"/>
        </w:rPr>
        <w:t>. Rahapesu ja terrorismi rahastamise tõkestamise seadus</w:t>
      </w:r>
      <w:bookmarkEnd w:id="52"/>
      <w:r w:rsidRPr="003331EF">
        <w:rPr>
          <w:iCs/>
          <w:spacing w:val="-5"/>
          <w:lang w:eastAsia="en-US"/>
        </w:rPr>
        <w:t>e muutmine</w:t>
      </w:r>
    </w:p>
    <w:p w14:paraId="64AC9ECE" w14:textId="72B17D16" w:rsidR="00903670" w:rsidRPr="003331EF" w:rsidRDefault="00903670" w:rsidP="003331EF">
      <w:pPr>
        <w:pStyle w:val="muutmisksk"/>
        <w:spacing w:before="0"/>
        <w:rPr>
          <w:iCs/>
          <w:spacing w:val="-5"/>
          <w:lang w:eastAsia="en-US"/>
        </w:rPr>
      </w:pPr>
      <w:r w:rsidRPr="003331EF">
        <w:rPr>
          <w:iCs/>
          <w:spacing w:val="-5"/>
          <w:lang w:eastAsia="en-US"/>
        </w:rPr>
        <w:t xml:space="preserve">§ </w:t>
      </w:r>
      <w:r w:rsidR="00247A16" w:rsidRPr="003331EF">
        <w:rPr>
          <w:iCs/>
          <w:spacing w:val="-5"/>
          <w:lang w:eastAsia="en-US"/>
        </w:rPr>
        <w:t>5</w:t>
      </w:r>
      <w:r w:rsidR="001C0190" w:rsidRPr="003331EF">
        <w:rPr>
          <w:iCs/>
          <w:spacing w:val="-5"/>
          <w:lang w:eastAsia="en-US"/>
        </w:rPr>
        <w:t>6</w:t>
      </w:r>
      <w:r w:rsidRPr="003331EF">
        <w:rPr>
          <w:iCs/>
          <w:spacing w:val="-5"/>
          <w:lang w:eastAsia="en-US"/>
        </w:rPr>
        <w:t>. Rahvusvahelise sanktsiooni seaduse muutmine</w:t>
      </w:r>
    </w:p>
    <w:p w14:paraId="1F56F32F" w14:textId="1E18A430" w:rsidR="003F69BD" w:rsidRPr="003331EF" w:rsidRDefault="00903670" w:rsidP="003331EF">
      <w:pPr>
        <w:pStyle w:val="muutmisksk"/>
        <w:spacing w:before="0"/>
        <w:rPr>
          <w:iCs/>
          <w:spacing w:val="-5"/>
          <w:lang w:eastAsia="en-US"/>
        </w:rPr>
      </w:pPr>
      <w:r w:rsidRPr="003331EF">
        <w:rPr>
          <w:iCs/>
          <w:spacing w:val="-5"/>
          <w:lang w:eastAsia="en-US"/>
        </w:rPr>
        <w:t xml:space="preserve">§ </w:t>
      </w:r>
      <w:r w:rsidR="00247A16" w:rsidRPr="003331EF">
        <w:rPr>
          <w:iCs/>
          <w:spacing w:val="-5"/>
          <w:lang w:eastAsia="en-US"/>
        </w:rPr>
        <w:t>5</w:t>
      </w:r>
      <w:r w:rsidR="001C0190" w:rsidRPr="003331EF">
        <w:rPr>
          <w:iCs/>
          <w:spacing w:val="-5"/>
          <w:lang w:eastAsia="en-US"/>
        </w:rPr>
        <w:t>7</w:t>
      </w:r>
      <w:r w:rsidRPr="003331EF">
        <w:rPr>
          <w:iCs/>
          <w:spacing w:val="-5"/>
          <w:lang w:eastAsia="en-US"/>
        </w:rPr>
        <w:t>. Riigilõivuseaduse muutmine</w:t>
      </w:r>
    </w:p>
    <w:p w14:paraId="1C1F874C" w14:textId="325F8E32" w:rsidR="00903670" w:rsidRPr="003331EF" w:rsidRDefault="00903670" w:rsidP="003331EF">
      <w:pPr>
        <w:pStyle w:val="muutmisksk"/>
        <w:spacing w:before="0"/>
        <w:rPr>
          <w:iCs/>
          <w:spacing w:val="-5"/>
          <w:lang w:eastAsia="en-US"/>
        </w:rPr>
      </w:pPr>
      <w:bookmarkStart w:id="53" w:name="_Toc48637217"/>
      <w:r w:rsidRPr="003331EF">
        <w:rPr>
          <w:iCs/>
          <w:spacing w:val="-5"/>
          <w:lang w:eastAsia="en-US"/>
        </w:rPr>
        <w:t xml:space="preserve">§ </w:t>
      </w:r>
      <w:r w:rsidR="00247A16" w:rsidRPr="003331EF">
        <w:rPr>
          <w:iCs/>
          <w:spacing w:val="-5"/>
          <w:lang w:eastAsia="en-US"/>
        </w:rPr>
        <w:t>5</w:t>
      </w:r>
      <w:r w:rsidR="001C0190" w:rsidRPr="003331EF">
        <w:rPr>
          <w:iCs/>
          <w:spacing w:val="-5"/>
          <w:lang w:eastAsia="en-US"/>
        </w:rPr>
        <w:t>8</w:t>
      </w:r>
      <w:r w:rsidRPr="003331EF">
        <w:rPr>
          <w:iCs/>
          <w:spacing w:val="-5"/>
          <w:lang w:eastAsia="en-US"/>
        </w:rPr>
        <w:t>. Väärtpaberite registri pidamise seaduse muutmine</w:t>
      </w:r>
      <w:bookmarkEnd w:id="53"/>
    </w:p>
    <w:p w14:paraId="793AA864" w14:textId="069B1889" w:rsidR="00903670" w:rsidRPr="003331EF" w:rsidRDefault="00903670" w:rsidP="003331EF">
      <w:pPr>
        <w:pStyle w:val="muutmisksk"/>
        <w:spacing w:before="0"/>
        <w:rPr>
          <w:iCs/>
          <w:spacing w:val="-5"/>
          <w:lang w:eastAsia="en-US"/>
        </w:rPr>
      </w:pPr>
      <w:bookmarkStart w:id="54" w:name="_Toc48637218"/>
      <w:r w:rsidRPr="003331EF">
        <w:rPr>
          <w:iCs/>
          <w:spacing w:val="-5"/>
          <w:lang w:eastAsia="en-US"/>
        </w:rPr>
        <w:t xml:space="preserve">§ </w:t>
      </w:r>
      <w:r w:rsidR="001C0190" w:rsidRPr="003331EF">
        <w:rPr>
          <w:iCs/>
          <w:spacing w:val="-5"/>
          <w:lang w:eastAsia="en-US"/>
        </w:rPr>
        <w:t>59</w:t>
      </w:r>
      <w:r w:rsidRPr="003331EF">
        <w:rPr>
          <w:iCs/>
          <w:spacing w:val="-5"/>
          <w:lang w:eastAsia="en-US"/>
        </w:rPr>
        <w:t>. Väärtpaberituru seaduse muutmine</w:t>
      </w:r>
      <w:bookmarkEnd w:id="54"/>
    </w:p>
    <w:p w14:paraId="481F0F35" w14:textId="77777777" w:rsidR="00903670" w:rsidRPr="003331EF" w:rsidRDefault="00903670" w:rsidP="003331EF">
      <w:pPr>
        <w:pStyle w:val="muutmisksk"/>
        <w:spacing w:before="0"/>
        <w:rPr>
          <w:b/>
          <w:bCs/>
        </w:rPr>
      </w:pPr>
    </w:p>
    <w:p w14:paraId="25DAFFDD" w14:textId="719DA710" w:rsidR="00903670" w:rsidRPr="003331EF" w:rsidRDefault="00903670" w:rsidP="003331EF">
      <w:pPr>
        <w:pStyle w:val="muutmisksk"/>
        <w:spacing w:before="0"/>
      </w:pPr>
      <w:r w:rsidRPr="003331EF">
        <w:rPr>
          <w:b/>
          <w:bCs/>
        </w:rPr>
        <w:t xml:space="preserve">3. </w:t>
      </w:r>
      <w:bookmarkStart w:id="55" w:name="_Toc48637219"/>
      <w:r w:rsidRPr="003331EF">
        <w:rPr>
          <w:b/>
          <w:bCs/>
        </w:rPr>
        <w:t>jagu</w:t>
      </w:r>
      <w:bookmarkStart w:id="56" w:name="_Toc48637220"/>
      <w:bookmarkEnd w:id="55"/>
      <w:r w:rsidRPr="003331EF">
        <w:rPr>
          <w:b/>
          <w:bCs/>
        </w:rPr>
        <w:t>. Seaduse jõustumine</w:t>
      </w:r>
      <w:bookmarkStart w:id="57" w:name="jg3"/>
      <w:bookmarkEnd w:id="56"/>
      <w:bookmarkEnd w:id="57"/>
    </w:p>
    <w:p w14:paraId="582DB573" w14:textId="60174225" w:rsidR="00903670" w:rsidRPr="003331EF" w:rsidRDefault="00903670" w:rsidP="003331EF">
      <w:pPr>
        <w:pStyle w:val="muutmisksk"/>
        <w:spacing w:before="0"/>
        <w:rPr>
          <w:iCs/>
          <w:spacing w:val="-5"/>
          <w:lang w:eastAsia="en-US"/>
        </w:rPr>
      </w:pPr>
      <w:r w:rsidRPr="003331EF">
        <w:rPr>
          <w:iCs/>
          <w:spacing w:val="-5"/>
          <w:lang w:eastAsia="en-US"/>
        </w:rPr>
        <w:t xml:space="preserve">§ </w:t>
      </w:r>
      <w:r w:rsidR="003B0945" w:rsidRPr="003331EF">
        <w:rPr>
          <w:iCs/>
          <w:spacing w:val="-5"/>
          <w:lang w:eastAsia="en-US"/>
        </w:rPr>
        <w:t>60</w:t>
      </w:r>
      <w:r w:rsidRPr="003331EF">
        <w:rPr>
          <w:iCs/>
          <w:spacing w:val="-5"/>
          <w:lang w:eastAsia="en-US"/>
        </w:rPr>
        <w:t>. Seaduse jõustumine</w:t>
      </w:r>
    </w:p>
    <w:p w14:paraId="1BBA767F" w14:textId="77777777" w:rsidR="00903670" w:rsidRPr="003331EF" w:rsidRDefault="00903670" w:rsidP="003331EF">
      <w:pPr>
        <w:spacing w:before="0"/>
        <w:rPr>
          <w:b/>
        </w:rPr>
      </w:pPr>
    </w:p>
    <w:p w14:paraId="1C1CF6A5" w14:textId="1234BE7C" w:rsidR="009D3E49" w:rsidRPr="003331EF" w:rsidRDefault="00051B39" w:rsidP="003331EF">
      <w:pPr>
        <w:tabs>
          <w:tab w:val="left" w:pos="142"/>
        </w:tabs>
        <w:spacing w:before="0"/>
      </w:pPr>
      <w:bookmarkStart w:id="58" w:name="_Hlk106635686"/>
      <w:bookmarkStart w:id="59" w:name="_Hlk133488163"/>
      <w:r w:rsidRPr="003331EF">
        <w:rPr>
          <w:b/>
        </w:rPr>
        <w:t xml:space="preserve">3.2. </w:t>
      </w:r>
      <w:r w:rsidR="00620411" w:rsidRPr="003331EF">
        <w:rPr>
          <w:b/>
        </w:rPr>
        <w:t>Eelnõu sisu ja võrdlev analüüs</w:t>
      </w:r>
    </w:p>
    <w:p w14:paraId="36DFCE56" w14:textId="77777777" w:rsidR="00B91631" w:rsidRPr="003331EF" w:rsidRDefault="00B91631" w:rsidP="003331EF">
      <w:pPr>
        <w:pStyle w:val="Loendilik"/>
        <w:tabs>
          <w:tab w:val="left" w:pos="142"/>
        </w:tabs>
        <w:ind w:left="765"/>
      </w:pPr>
    </w:p>
    <w:p w14:paraId="2A2FCD8B" w14:textId="3875025D" w:rsidR="003B0945" w:rsidRPr="003331EF" w:rsidRDefault="001A4507" w:rsidP="003331EF">
      <w:pPr>
        <w:spacing w:before="0"/>
      </w:pPr>
      <w:r w:rsidRPr="003331EF">
        <w:rPr>
          <w:b/>
        </w:rPr>
        <w:t xml:space="preserve">Paragrahv 1 </w:t>
      </w:r>
      <w:r w:rsidRPr="003331EF">
        <w:t>määratleb</w:t>
      </w:r>
      <w:r w:rsidRPr="003331EF">
        <w:rPr>
          <w:b/>
        </w:rPr>
        <w:t xml:space="preserve"> seaduse reguleerimisala</w:t>
      </w:r>
      <w:r w:rsidRPr="003331EF">
        <w:t xml:space="preserve">. </w:t>
      </w:r>
    </w:p>
    <w:p w14:paraId="0B8B6DDE" w14:textId="77777777" w:rsidR="003B0945" w:rsidRPr="003331EF" w:rsidRDefault="003B0945" w:rsidP="003331EF">
      <w:pPr>
        <w:spacing w:before="0"/>
      </w:pPr>
    </w:p>
    <w:p w14:paraId="13A7E912" w14:textId="6C46A1A0" w:rsidR="001A4507" w:rsidRPr="003331EF" w:rsidRDefault="00EB308E" w:rsidP="003331EF">
      <w:pPr>
        <w:pStyle w:val="muutmisksk"/>
        <w:spacing w:before="0"/>
        <w:rPr>
          <w:iCs/>
          <w:spacing w:val="-5"/>
          <w:lang w:eastAsia="en-US"/>
        </w:rPr>
      </w:pPr>
      <w:r w:rsidRPr="003331EF">
        <w:rPr>
          <w:iCs/>
          <w:spacing w:val="-5"/>
          <w:lang w:eastAsia="en-US"/>
        </w:rPr>
        <w:t xml:space="preserve">Seadus reguleerib </w:t>
      </w:r>
      <w:proofErr w:type="spellStart"/>
      <w:r w:rsidRPr="003331EF">
        <w:rPr>
          <w:iCs/>
          <w:spacing w:val="-5"/>
          <w:lang w:eastAsia="en-US"/>
        </w:rPr>
        <w:t>krüptovaraturu</w:t>
      </w:r>
      <w:proofErr w:type="spellEnd"/>
      <w:r w:rsidRPr="003331EF">
        <w:rPr>
          <w:iCs/>
          <w:spacing w:val="-5"/>
          <w:lang w:eastAsia="en-US"/>
        </w:rPr>
        <w:t xml:space="preserve"> osalise tegevust, lõpetamist, järelevalvet </w:t>
      </w:r>
      <w:r w:rsidR="001C0190" w:rsidRPr="003331EF">
        <w:rPr>
          <w:iCs/>
          <w:spacing w:val="-5"/>
          <w:lang w:eastAsia="en-US"/>
        </w:rPr>
        <w:t xml:space="preserve">ja vastutust </w:t>
      </w:r>
      <w:proofErr w:type="spellStart"/>
      <w:r w:rsidRPr="003331EF">
        <w:rPr>
          <w:iCs/>
          <w:spacing w:val="-5"/>
          <w:lang w:eastAsia="en-US"/>
        </w:rPr>
        <w:t>krüptovaraturu</w:t>
      </w:r>
      <w:proofErr w:type="spellEnd"/>
      <w:r w:rsidRPr="003331EF">
        <w:rPr>
          <w:iCs/>
          <w:spacing w:val="-5"/>
          <w:lang w:eastAsia="en-US"/>
        </w:rPr>
        <w:t xml:space="preserve"> osalise üle niivõrd, kuivõrd see täpsustab ja täiendab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ja DORA määrus</w:t>
      </w:r>
      <w:r w:rsidR="005078BE" w:rsidRPr="003331EF">
        <w:rPr>
          <w:iCs/>
          <w:spacing w:val="-5"/>
          <w:lang w:eastAsia="en-US"/>
        </w:rPr>
        <w:t>i</w:t>
      </w:r>
      <w:r w:rsidR="00633CB3" w:rsidRPr="003331EF">
        <w:rPr>
          <w:iCs/>
          <w:spacing w:val="-5"/>
          <w:lang w:eastAsia="en-US"/>
        </w:rPr>
        <w:t xml:space="preserve">. </w:t>
      </w:r>
      <w:r w:rsidRPr="003331EF">
        <w:rPr>
          <w:iCs/>
          <w:spacing w:val="-5"/>
          <w:lang w:eastAsia="en-US"/>
        </w:rPr>
        <w:t>Paragrahvis</w:t>
      </w:r>
      <w:r w:rsidR="001A4507" w:rsidRPr="003331EF">
        <w:rPr>
          <w:iCs/>
          <w:spacing w:val="-5"/>
          <w:lang w:eastAsia="en-US"/>
        </w:rPr>
        <w:t xml:space="preserve"> nimetatud </w:t>
      </w:r>
      <w:r w:rsidR="005078BE" w:rsidRPr="003331EF">
        <w:rPr>
          <w:iCs/>
          <w:spacing w:val="-5"/>
          <w:lang w:eastAsia="en-US"/>
        </w:rPr>
        <w:t>termin</w:t>
      </w:r>
      <w:r w:rsidR="001A4507" w:rsidRPr="003331EF">
        <w:rPr>
          <w:iCs/>
          <w:spacing w:val="-5"/>
          <w:lang w:eastAsia="en-US"/>
        </w:rPr>
        <w:t xml:space="preserve"> </w:t>
      </w:r>
      <w:proofErr w:type="spellStart"/>
      <w:r w:rsidR="001A4507" w:rsidRPr="003331EF">
        <w:rPr>
          <w:iCs/>
          <w:spacing w:val="-5"/>
          <w:lang w:eastAsia="en-US"/>
        </w:rPr>
        <w:t>krüptovaraturu</w:t>
      </w:r>
      <w:proofErr w:type="spellEnd"/>
      <w:r w:rsidR="001A4507" w:rsidRPr="003331EF">
        <w:rPr>
          <w:iCs/>
          <w:spacing w:val="-5"/>
          <w:lang w:eastAsia="en-US"/>
        </w:rPr>
        <w:t xml:space="preserve"> osaline on defineeritud eelnõu paragrahvis </w:t>
      </w:r>
      <w:r w:rsidRPr="003331EF">
        <w:rPr>
          <w:iCs/>
          <w:spacing w:val="-5"/>
          <w:lang w:eastAsia="en-US"/>
        </w:rPr>
        <w:t>3</w:t>
      </w:r>
      <w:r w:rsidR="001A4507" w:rsidRPr="003331EF">
        <w:rPr>
          <w:iCs/>
          <w:spacing w:val="-5"/>
          <w:lang w:eastAsia="en-US"/>
        </w:rPr>
        <w:t>.</w:t>
      </w:r>
    </w:p>
    <w:p w14:paraId="2BA50B64" w14:textId="77777777" w:rsidR="001A4507" w:rsidRPr="003331EF" w:rsidRDefault="001A4507" w:rsidP="003331EF">
      <w:pPr>
        <w:spacing w:before="0"/>
      </w:pPr>
    </w:p>
    <w:p w14:paraId="07D6C6DD" w14:textId="01D27823" w:rsidR="003B0945" w:rsidRPr="003331EF" w:rsidRDefault="003B0945" w:rsidP="003331EF">
      <w:pPr>
        <w:spacing w:before="0"/>
      </w:pPr>
      <w:r w:rsidRPr="003331EF">
        <w:rPr>
          <w:b/>
          <w:bCs/>
        </w:rPr>
        <w:t xml:space="preserve">Paragrahv 2. Seaduse kohaldamisala </w:t>
      </w:r>
    </w:p>
    <w:p w14:paraId="417E3887" w14:textId="77777777" w:rsidR="00633CB3" w:rsidRPr="003331EF" w:rsidRDefault="00633CB3" w:rsidP="003331EF">
      <w:pPr>
        <w:spacing w:before="0"/>
        <w:rPr>
          <w:b/>
          <w:bCs/>
        </w:rPr>
      </w:pPr>
    </w:p>
    <w:p w14:paraId="5E3AAD67" w14:textId="3BB9460E" w:rsidR="003B0945" w:rsidRPr="003331EF" w:rsidRDefault="001A4507" w:rsidP="003331EF">
      <w:pPr>
        <w:spacing w:before="0"/>
      </w:pPr>
      <w:r w:rsidRPr="003331EF">
        <w:rPr>
          <w:b/>
          <w:bCs/>
        </w:rPr>
        <w:t xml:space="preserve">Lõike </w:t>
      </w:r>
      <w:r w:rsidR="003B0945" w:rsidRPr="003331EF">
        <w:rPr>
          <w:b/>
          <w:bCs/>
        </w:rPr>
        <w:t>1</w:t>
      </w:r>
      <w:r w:rsidR="003B0945" w:rsidRPr="003331EF">
        <w:t xml:space="preserve"> </w:t>
      </w:r>
      <w:r w:rsidRPr="003331EF">
        <w:rPr>
          <w:iCs/>
          <w:spacing w:val="-5"/>
          <w:lang w:eastAsia="en-US"/>
        </w:rPr>
        <w:t xml:space="preserve">kohaselt kuuluvad seaduse kohaldamisalasse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 artikli 2 lõike 1 kohaselt juriidilised ja füüsilised isikud ning muud ettevõtjad, kes tegelevad </w:t>
      </w:r>
      <w:bookmarkStart w:id="60" w:name="_Hlk132183102"/>
      <w:r w:rsidRPr="003331EF">
        <w:rPr>
          <w:iCs/>
          <w:spacing w:val="-5"/>
          <w:lang w:eastAsia="en-US"/>
        </w:rPr>
        <w:t xml:space="preserve">EL-is </w:t>
      </w:r>
      <w:proofErr w:type="spellStart"/>
      <w:r w:rsidRPr="003331EF">
        <w:rPr>
          <w:iCs/>
          <w:spacing w:val="-5"/>
          <w:lang w:eastAsia="en-US"/>
        </w:rPr>
        <w:t>krüptovara</w:t>
      </w:r>
      <w:proofErr w:type="spellEnd"/>
      <w:r w:rsidRPr="003331EF">
        <w:rPr>
          <w:iCs/>
          <w:spacing w:val="-5"/>
          <w:lang w:eastAsia="en-US"/>
        </w:rPr>
        <w:t xml:space="preserve"> emiteerimise, avaliku pakkumise ja kauplemisele võtmisega või kes osutavad </w:t>
      </w:r>
      <w:proofErr w:type="spellStart"/>
      <w:r w:rsidRPr="003331EF">
        <w:rPr>
          <w:iCs/>
          <w:spacing w:val="-5"/>
          <w:lang w:eastAsia="en-US"/>
        </w:rPr>
        <w:t>krüptovaraga</w:t>
      </w:r>
      <w:proofErr w:type="spellEnd"/>
      <w:r w:rsidRPr="003331EF">
        <w:rPr>
          <w:iCs/>
          <w:spacing w:val="-5"/>
          <w:lang w:eastAsia="en-US"/>
        </w:rPr>
        <w:t xml:space="preserve"> seotud teenuseid</w:t>
      </w:r>
      <w:bookmarkEnd w:id="60"/>
      <w:r w:rsidRPr="003331EF">
        <w:rPr>
          <w:iCs/>
          <w:spacing w:val="-5"/>
          <w:lang w:eastAsia="en-US"/>
        </w:rPr>
        <w:t xml:space="preserve">. </w:t>
      </w:r>
      <w:r w:rsidR="00147EE1" w:rsidRPr="003331EF">
        <w:rPr>
          <w:iCs/>
          <w:spacing w:val="-5"/>
          <w:lang w:eastAsia="en-US"/>
        </w:rPr>
        <w:t xml:space="preserve">Seadust kohaldatakse vaid </w:t>
      </w:r>
      <w:r w:rsidR="005078BE" w:rsidRPr="003331EF">
        <w:rPr>
          <w:iCs/>
          <w:spacing w:val="-5"/>
          <w:lang w:eastAsia="en-US"/>
        </w:rPr>
        <w:t xml:space="preserve">selliste isikute </w:t>
      </w:r>
      <w:r w:rsidR="00147EE1" w:rsidRPr="003331EF">
        <w:rPr>
          <w:iCs/>
          <w:spacing w:val="-5"/>
          <w:lang w:eastAsia="en-US"/>
        </w:rPr>
        <w:t>suhtes, ke</w:t>
      </w:r>
      <w:r w:rsidR="00633CB3" w:rsidRPr="003331EF">
        <w:rPr>
          <w:iCs/>
          <w:spacing w:val="-5"/>
          <w:lang w:eastAsia="en-US"/>
        </w:rPr>
        <w:t>s kuuluvad ka</w:t>
      </w:r>
      <w:r w:rsidR="00147EE1" w:rsidRPr="003331EF">
        <w:rPr>
          <w:iCs/>
          <w:spacing w:val="-5"/>
          <w:lang w:eastAsia="en-US"/>
        </w:rPr>
        <w:t xml:space="preserve"> MICA määrus</w:t>
      </w:r>
      <w:r w:rsidR="00633CB3" w:rsidRPr="003331EF">
        <w:rPr>
          <w:iCs/>
          <w:spacing w:val="-5"/>
          <w:lang w:eastAsia="en-US"/>
        </w:rPr>
        <w:t>e kohaldamisalasse</w:t>
      </w:r>
      <w:r w:rsidR="00147EE1" w:rsidRPr="003331EF">
        <w:rPr>
          <w:iCs/>
          <w:spacing w:val="-5"/>
          <w:lang w:eastAsia="en-US"/>
        </w:rPr>
        <w:t>.</w:t>
      </w:r>
    </w:p>
    <w:p w14:paraId="33E6399B" w14:textId="77777777" w:rsidR="003B0945" w:rsidRPr="003331EF" w:rsidRDefault="003B0945" w:rsidP="003331EF">
      <w:pPr>
        <w:spacing w:before="0"/>
      </w:pPr>
    </w:p>
    <w:p w14:paraId="75CB23D7" w14:textId="5876107B" w:rsidR="001A4507" w:rsidRPr="003331EF" w:rsidRDefault="009E7DD4" w:rsidP="003331EF">
      <w:pPr>
        <w:spacing w:before="0"/>
      </w:pPr>
      <w:r w:rsidRPr="003331EF">
        <w:rPr>
          <w:iCs/>
          <w:spacing w:val="-5"/>
          <w:lang w:eastAsia="en-US"/>
        </w:rPr>
        <w:t xml:space="preserve">Olgu siinjuures välja toodud, et näiteks </w:t>
      </w:r>
      <w:r w:rsidR="001A4507" w:rsidRPr="003331EF">
        <w:rPr>
          <w:iCs/>
          <w:spacing w:val="-5"/>
          <w:lang w:eastAsia="en-US"/>
        </w:rPr>
        <w:t>ei kohaldata</w:t>
      </w:r>
      <w:r w:rsidRPr="003331EF">
        <w:rPr>
          <w:iCs/>
          <w:spacing w:val="-5"/>
          <w:lang w:eastAsia="en-US"/>
        </w:rPr>
        <w:t xml:space="preserve">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määrust ja käesolevat seadust</w:t>
      </w:r>
      <w:r w:rsidR="001A4507" w:rsidRPr="003331EF">
        <w:rPr>
          <w:iCs/>
          <w:spacing w:val="-5"/>
          <w:lang w:eastAsia="en-US"/>
        </w:rPr>
        <w:t xml:space="preserve"> isikute suhtes, kes osutavad </w:t>
      </w:r>
      <w:proofErr w:type="spellStart"/>
      <w:r w:rsidR="001A4507" w:rsidRPr="003331EF">
        <w:rPr>
          <w:iCs/>
          <w:spacing w:val="-5"/>
          <w:lang w:eastAsia="en-US"/>
        </w:rPr>
        <w:t>krüptovarateenuseid</w:t>
      </w:r>
      <w:proofErr w:type="spellEnd"/>
      <w:r w:rsidR="001A4507" w:rsidRPr="003331EF">
        <w:rPr>
          <w:iCs/>
          <w:spacing w:val="-5"/>
          <w:lang w:eastAsia="en-US"/>
        </w:rPr>
        <w:t xml:space="preserve"> üksnes oma emaettevõtjale, oma tütarettevõtjale või oma emaettevõtja teistele tütarettevõtjatele. Lisaks ei kohaldata määrust likvideerijale või haldurile, Euroopa Keskpangale ja liikmesriikide keskpankadele, muudele riigiasutustele, Euroopa Investeerimispangale ja selle tütarettevõtjatele, Euroopa Finantsstabiilsuse Fondile ja Euroopa stabiilsusmehhanismile ning avalik-õiguslike rahvusvaheliste organisatsioonide suhtes.</w:t>
      </w:r>
      <w:r w:rsidR="00973912" w:rsidRPr="003331EF">
        <w:t xml:space="preserve"> </w:t>
      </w:r>
      <w:r w:rsidR="001A4507" w:rsidRPr="003331EF">
        <w:t xml:space="preserve">  </w:t>
      </w:r>
    </w:p>
    <w:p w14:paraId="2DA1C099" w14:textId="77777777" w:rsidR="003B0945" w:rsidRPr="003331EF" w:rsidRDefault="003B0945" w:rsidP="003331EF">
      <w:pPr>
        <w:spacing w:before="0"/>
      </w:pPr>
    </w:p>
    <w:p w14:paraId="4ADB15B5" w14:textId="5A659FAD" w:rsidR="003B0945" w:rsidRPr="003331EF" w:rsidRDefault="009E7DD4" w:rsidP="003331EF">
      <w:pPr>
        <w:spacing w:before="0"/>
        <w:rPr>
          <w:iCs/>
          <w:spacing w:val="-5"/>
          <w:lang w:eastAsia="en-US"/>
        </w:rPr>
      </w:pP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määrust</w:t>
      </w:r>
      <w:r w:rsidR="0067306C" w:rsidRPr="003331EF">
        <w:rPr>
          <w:iCs/>
          <w:spacing w:val="-5"/>
          <w:lang w:eastAsia="en-US"/>
        </w:rPr>
        <w:t xml:space="preserve"> ei kohaldata ka </w:t>
      </w:r>
      <w:r w:rsidR="00147EE1" w:rsidRPr="003331EF">
        <w:rPr>
          <w:iCs/>
          <w:spacing w:val="-5"/>
          <w:lang w:eastAsia="en-US"/>
        </w:rPr>
        <w:t xml:space="preserve">juhul, kui </w:t>
      </w:r>
      <w:proofErr w:type="spellStart"/>
      <w:r w:rsidR="0067306C" w:rsidRPr="003331EF">
        <w:rPr>
          <w:iCs/>
          <w:spacing w:val="-5"/>
          <w:lang w:eastAsia="en-US"/>
        </w:rPr>
        <w:t>krüptovara</w:t>
      </w:r>
      <w:proofErr w:type="spellEnd"/>
      <w:r w:rsidR="0067306C" w:rsidRPr="003331EF">
        <w:rPr>
          <w:iCs/>
          <w:spacing w:val="-5"/>
          <w:lang w:eastAsia="en-US"/>
        </w:rPr>
        <w:t xml:space="preserve"> on ainulaadne ega ole asendatav muu </w:t>
      </w:r>
      <w:proofErr w:type="spellStart"/>
      <w:r w:rsidR="0067306C" w:rsidRPr="003331EF">
        <w:rPr>
          <w:iCs/>
          <w:spacing w:val="-5"/>
          <w:lang w:eastAsia="en-US"/>
        </w:rPr>
        <w:t>krüptovaraga</w:t>
      </w:r>
      <w:proofErr w:type="spellEnd"/>
      <w:r w:rsidR="0067306C" w:rsidRPr="003331EF">
        <w:rPr>
          <w:iCs/>
          <w:spacing w:val="-5"/>
          <w:lang w:eastAsia="en-US"/>
        </w:rPr>
        <w:t xml:space="preserve">. Samuti ei kohaldata seadust, kui </w:t>
      </w:r>
      <w:proofErr w:type="spellStart"/>
      <w:r w:rsidR="0067306C" w:rsidRPr="003331EF">
        <w:rPr>
          <w:iCs/>
          <w:spacing w:val="-5"/>
          <w:lang w:eastAsia="en-US"/>
        </w:rPr>
        <w:t>krüptovara</w:t>
      </w:r>
      <w:proofErr w:type="spellEnd"/>
      <w:r w:rsidR="0067306C" w:rsidRPr="003331EF">
        <w:rPr>
          <w:iCs/>
          <w:spacing w:val="-5"/>
          <w:lang w:eastAsia="en-US"/>
        </w:rPr>
        <w:t xml:space="preserve"> kvalifitseerub finantsinstrumendiks, hoiuseks, rahaks (v.a e-raha </w:t>
      </w:r>
      <w:proofErr w:type="spellStart"/>
      <w:r w:rsidR="0067306C" w:rsidRPr="003331EF">
        <w:rPr>
          <w:iCs/>
          <w:spacing w:val="-5"/>
          <w:lang w:eastAsia="en-US"/>
        </w:rPr>
        <w:t>token</w:t>
      </w:r>
      <w:proofErr w:type="spellEnd"/>
      <w:r w:rsidR="0067306C" w:rsidRPr="003331EF">
        <w:rPr>
          <w:iCs/>
          <w:spacing w:val="-5"/>
          <w:lang w:eastAsia="en-US"/>
        </w:rPr>
        <w:t xml:space="preserve">), </w:t>
      </w:r>
      <w:proofErr w:type="spellStart"/>
      <w:r w:rsidR="0067306C" w:rsidRPr="003331EF">
        <w:rPr>
          <w:iCs/>
          <w:spacing w:val="-5"/>
          <w:lang w:eastAsia="en-US"/>
        </w:rPr>
        <w:t>väärtpaberistamise</w:t>
      </w:r>
      <w:proofErr w:type="spellEnd"/>
      <w:r w:rsidR="0067306C" w:rsidRPr="003331EF">
        <w:rPr>
          <w:iCs/>
          <w:spacing w:val="-5"/>
          <w:lang w:eastAsia="en-US"/>
        </w:rPr>
        <w:t xml:space="preserve"> positsiooniks, kindlustustooteks, pensionitooteks, tööandja pensioniskeemiks, erapensionitooteks, </w:t>
      </w:r>
      <w:proofErr w:type="spellStart"/>
      <w:r w:rsidR="0067306C" w:rsidRPr="003331EF">
        <w:rPr>
          <w:iCs/>
          <w:spacing w:val="-5"/>
          <w:lang w:eastAsia="en-US"/>
        </w:rPr>
        <w:t>üleeuroopaliseks</w:t>
      </w:r>
      <w:proofErr w:type="spellEnd"/>
      <w:r w:rsidR="0067306C" w:rsidRPr="003331EF">
        <w:rPr>
          <w:iCs/>
          <w:spacing w:val="-5"/>
          <w:lang w:eastAsia="en-US"/>
        </w:rPr>
        <w:t xml:space="preserve"> personaalseks pensionitooteks ja sotsiaalkindlustussüsteemiks</w:t>
      </w:r>
      <w:r w:rsidRPr="003331EF">
        <w:rPr>
          <w:iCs/>
          <w:spacing w:val="-5"/>
          <w:lang w:eastAsia="en-US"/>
        </w:rPr>
        <w:t>.</w:t>
      </w:r>
    </w:p>
    <w:p w14:paraId="3DBC7AA3" w14:textId="77777777" w:rsidR="00033A0C" w:rsidRPr="003331EF" w:rsidRDefault="00033A0C" w:rsidP="003331EF">
      <w:pPr>
        <w:spacing w:before="0"/>
        <w:rPr>
          <w:iCs/>
          <w:spacing w:val="-5"/>
          <w:lang w:eastAsia="en-US"/>
        </w:rPr>
      </w:pPr>
    </w:p>
    <w:p w14:paraId="1F7A4E0E" w14:textId="5AC27720" w:rsidR="00973912" w:rsidRPr="003331EF" w:rsidRDefault="009E7DD4" w:rsidP="003331EF">
      <w:pPr>
        <w:spacing w:before="0"/>
        <w:rPr>
          <w:iCs/>
          <w:spacing w:val="-5"/>
          <w:lang w:eastAsia="en-US"/>
        </w:rPr>
      </w:pP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määrust ei kohaldata ka kui isikud</w:t>
      </w:r>
      <w:r w:rsidR="00FB3C0F" w:rsidRPr="003331EF">
        <w:rPr>
          <w:iCs/>
          <w:spacing w:val="-5"/>
          <w:lang w:eastAsia="en-US"/>
        </w:rPr>
        <w:t xml:space="preserve"> pakuvad </w:t>
      </w:r>
      <w:proofErr w:type="spellStart"/>
      <w:r w:rsidR="00FB3C0F" w:rsidRPr="003331EF">
        <w:rPr>
          <w:iCs/>
          <w:spacing w:val="-5"/>
          <w:lang w:eastAsia="en-US"/>
        </w:rPr>
        <w:t>krüptovara</w:t>
      </w:r>
      <w:proofErr w:type="spellEnd"/>
      <w:r w:rsidR="00FB3C0F" w:rsidRPr="003331EF">
        <w:rPr>
          <w:iCs/>
          <w:spacing w:val="-5"/>
          <w:lang w:eastAsia="en-US"/>
        </w:rPr>
        <w:t xml:space="preserve"> tasuta või </w:t>
      </w:r>
      <w:proofErr w:type="spellStart"/>
      <w:r w:rsidR="00FB3C0F" w:rsidRPr="003331EF">
        <w:rPr>
          <w:iCs/>
          <w:spacing w:val="-5"/>
          <w:lang w:eastAsia="en-US"/>
        </w:rPr>
        <w:t>krüptovara</w:t>
      </w:r>
      <w:proofErr w:type="spellEnd"/>
      <w:r w:rsidR="00FB3C0F" w:rsidRPr="003331EF">
        <w:rPr>
          <w:iCs/>
          <w:spacing w:val="-5"/>
          <w:lang w:eastAsia="en-US"/>
        </w:rPr>
        <w:t xml:space="preserve"> luuakse automaatselt tasuna hajusraamatu haldamise või tehingute valideerimise eest või pakkumine on seotud </w:t>
      </w:r>
      <w:proofErr w:type="spellStart"/>
      <w:r w:rsidR="00FB3C0F" w:rsidRPr="003331EF">
        <w:rPr>
          <w:iCs/>
          <w:spacing w:val="-5"/>
          <w:lang w:eastAsia="en-US"/>
        </w:rPr>
        <w:t>kasutustokeniga</w:t>
      </w:r>
      <w:proofErr w:type="spellEnd"/>
      <w:r w:rsidR="00FB3C0F" w:rsidRPr="003331EF">
        <w:rPr>
          <w:iCs/>
          <w:spacing w:val="-5"/>
          <w:lang w:eastAsia="en-US"/>
        </w:rPr>
        <w:t xml:space="preserve">, mis annab juurdepääsu olemasolevale või kasutusel olevale kaubale või teenusele või </w:t>
      </w:r>
      <w:proofErr w:type="spellStart"/>
      <w:r w:rsidR="00FB3C0F" w:rsidRPr="003331EF">
        <w:rPr>
          <w:iCs/>
          <w:spacing w:val="-5"/>
          <w:lang w:eastAsia="en-US"/>
        </w:rPr>
        <w:t>krüptovara</w:t>
      </w:r>
      <w:proofErr w:type="spellEnd"/>
      <w:r w:rsidR="00FB3C0F" w:rsidRPr="003331EF">
        <w:rPr>
          <w:iCs/>
          <w:spacing w:val="-5"/>
          <w:lang w:eastAsia="en-US"/>
        </w:rPr>
        <w:t xml:space="preserve"> omanikul on õigus kasutada seda üksnes vastutasuks kaupade ja teenuste eest selliste kaupmeeste piiratud võrgustikus, kel on pakkujaga lepingulised suhted.</w:t>
      </w:r>
      <w:r w:rsidR="008C1F28" w:rsidRPr="003331EF">
        <w:rPr>
          <w:iCs/>
          <w:spacing w:val="-5"/>
          <w:lang w:eastAsia="en-US"/>
        </w:rPr>
        <w:t xml:space="preserve"> </w:t>
      </w:r>
      <w:r w:rsidR="0016575E" w:rsidRPr="003331EF">
        <w:rPr>
          <w:iCs/>
          <w:spacing w:val="-5"/>
          <w:lang w:eastAsia="en-US"/>
        </w:rPr>
        <w:t xml:space="preserve">Samas, viidatud erandid ei peaks hõlmama </w:t>
      </w:r>
      <w:proofErr w:type="spellStart"/>
      <w:r w:rsidR="0016575E" w:rsidRPr="003331EF">
        <w:rPr>
          <w:iCs/>
          <w:spacing w:val="-5"/>
          <w:lang w:eastAsia="en-US"/>
        </w:rPr>
        <w:t>krüptovara</w:t>
      </w:r>
      <w:proofErr w:type="spellEnd"/>
      <w:r w:rsidR="0016575E" w:rsidRPr="003331EF">
        <w:rPr>
          <w:iCs/>
          <w:spacing w:val="-5"/>
          <w:lang w:eastAsia="en-US"/>
        </w:rPr>
        <w:t xml:space="preserve">, mis esindab ladustatud kaupu, mille puhul ei ole ette nähtud, et ostja need pärast ostmist kätte saab. Samuti ei tuleks piiratud võrgustiku erandit kohaldada </w:t>
      </w:r>
      <w:proofErr w:type="spellStart"/>
      <w:r w:rsidR="0016575E" w:rsidRPr="003331EF">
        <w:rPr>
          <w:iCs/>
          <w:spacing w:val="-5"/>
          <w:lang w:eastAsia="en-US"/>
        </w:rPr>
        <w:t>krüptovara</w:t>
      </w:r>
      <w:proofErr w:type="spellEnd"/>
      <w:r w:rsidR="0016575E" w:rsidRPr="003331EF">
        <w:rPr>
          <w:iCs/>
          <w:spacing w:val="-5"/>
          <w:lang w:eastAsia="en-US"/>
        </w:rPr>
        <w:t xml:space="preserve"> suhtes, mis on tavaliselt ette nähtud pidevalt kasvava teenuseosutajate võrgustiku jaoks. Pädev asutus peaks hindama piiratud võrgustiku erandit iga kord, kui pakkumine või rohkem kui ühe pakkumise koguväärtus ületab teatava künnise, mis tähendab, et uuele pakkumisele ei tuleks automaatselt kohaldada eelmisele pakkumisele tehtud erandit. E</w:t>
      </w:r>
      <w:r w:rsidR="008C1F28" w:rsidRPr="003331EF">
        <w:rPr>
          <w:iCs/>
          <w:spacing w:val="-5"/>
          <w:lang w:eastAsia="en-US"/>
        </w:rPr>
        <w:t xml:space="preserve">randite kohaldamine lõppeb, kui </w:t>
      </w:r>
      <w:r w:rsidR="008C1F28" w:rsidRPr="003331EF">
        <w:rPr>
          <w:iCs/>
          <w:spacing w:val="-5"/>
          <w:lang w:eastAsia="en-US"/>
        </w:rPr>
        <w:lastRenderedPageBreak/>
        <w:t xml:space="preserve">pakkuja või pakkuja nimel tegutsev teine isik annab teada pakkuja kavatsusest taotleda kauplemisele võtmist või kui </w:t>
      </w:r>
      <w:proofErr w:type="spellStart"/>
      <w:r w:rsidR="008C1F28" w:rsidRPr="003331EF">
        <w:rPr>
          <w:iCs/>
          <w:spacing w:val="-5"/>
          <w:lang w:eastAsia="en-US"/>
        </w:rPr>
        <w:t>krüptovara</w:t>
      </w:r>
      <w:proofErr w:type="spellEnd"/>
      <w:r w:rsidR="008C1F28" w:rsidRPr="003331EF">
        <w:rPr>
          <w:iCs/>
          <w:spacing w:val="-5"/>
          <w:lang w:eastAsia="en-US"/>
        </w:rPr>
        <w:t>, mille suhtes erandit kohaldatakse, võetakse kauplemisele.</w:t>
      </w:r>
    </w:p>
    <w:p w14:paraId="3289627D" w14:textId="77777777" w:rsidR="00033A0C" w:rsidRPr="003331EF" w:rsidRDefault="00033A0C" w:rsidP="003331EF">
      <w:pPr>
        <w:spacing w:before="0"/>
        <w:rPr>
          <w:iCs/>
          <w:spacing w:val="-5"/>
          <w:lang w:eastAsia="en-US"/>
        </w:rPr>
      </w:pPr>
    </w:p>
    <w:p w14:paraId="28A9A845" w14:textId="3C32C4B5" w:rsidR="00033A0C" w:rsidRPr="003331EF" w:rsidRDefault="00785EAB" w:rsidP="003331EF">
      <w:pPr>
        <w:spacing w:before="0"/>
        <w:rPr>
          <w:iCs/>
          <w:spacing w:val="-5"/>
          <w:lang w:eastAsia="en-US"/>
        </w:rPr>
      </w:pPr>
      <w:r w:rsidRPr="003331EF">
        <w:rPr>
          <w:iCs/>
          <w:spacing w:val="-5"/>
          <w:lang w:eastAsia="en-US"/>
        </w:rPr>
        <w:t>Seega näiteks</w:t>
      </w:r>
      <w:r w:rsidR="00033A0C" w:rsidRPr="003331EF">
        <w:rPr>
          <w:iCs/>
          <w:spacing w:val="-5"/>
          <w:lang w:eastAsia="en-US"/>
        </w:rPr>
        <w:t xml:space="preserve"> ei kohaldata seadust järgmiste isikute suhtes:</w:t>
      </w:r>
    </w:p>
    <w:p w14:paraId="0FA92F2B" w14:textId="77777777" w:rsidR="00033A0C" w:rsidRPr="003331EF" w:rsidRDefault="00033A0C" w:rsidP="003331EF">
      <w:pPr>
        <w:spacing w:before="0"/>
        <w:rPr>
          <w:iCs/>
          <w:spacing w:val="-5"/>
          <w:lang w:eastAsia="en-US"/>
        </w:rPr>
      </w:pPr>
      <w:r w:rsidRPr="003331EF">
        <w:rPr>
          <w:iCs/>
          <w:spacing w:val="-5"/>
          <w:lang w:eastAsia="en-US"/>
        </w:rPr>
        <w:t>1) Euroopa Parlamendi ja nõukogu määruse (EL) 2023/1114 artikli 2 lõikes 2 nimetatud isik;</w:t>
      </w:r>
    </w:p>
    <w:p w14:paraId="68833EC3" w14:textId="77777777" w:rsidR="00033A0C" w:rsidRPr="003331EF" w:rsidRDefault="00033A0C" w:rsidP="003331EF">
      <w:pPr>
        <w:spacing w:before="0"/>
        <w:rPr>
          <w:iCs/>
          <w:spacing w:val="-5"/>
          <w:lang w:eastAsia="en-US"/>
        </w:rPr>
      </w:pPr>
      <w:r w:rsidRPr="003331EF">
        <w:rPr>
          <w:iCs/>
          <w:spacing w:val="-5"/>
          <w:lang w:eastAsia="en-US"/>
        </w:rPr>
        <w:t xml:space="preserve">2) isik, kes tegeleb Euroopa Parlamendi ja nõukogu määruse (EL) 2023/1114 artikli 2 lõikes 3 või 4 nimetatud </w:t>
      </w:r>
      <w:proofErr w:type="spellStart"/>
      <w:r w:rsidRPr="003331EF">
        <w:rPr>
          <w:iCs/>
          <w:spacing w:val="-5"/>
          <w:lang w:eastAsia="en-US"/>
        </w:rPr>
        <w:t>krüptovara</w:t>
      </w:r>
      <w:proofErr w:type="spellEnd"/>
      <w:r w:rsidRPr="003331EF">
        <w:rPr>
          <w:iCs/>
          <w:spacing w:val="-5"/>
          <w:lang w:eastAsia="en-US"/>
        </w:rPr>
        <w:t xml:space="preserve"> emiteerimise, pakkumise või kauplemisele võtmisega või kes osutab selle </w:t>
      </w:r>
      <w:proofErr w:type="spellStart"/>
      <w:r w:rsidRPr="003331EF">
        <w:rPr>
          <w:iCs/>
          <w:spacing w:val="-5"/>
          <w:lang w:eastAsia="en-US"/>
        </w:rPr>
        <w:t>krüptovaraga</w:t>
      </w:r>
      <w:proofErr w:type="spellEnd"/>
      <w:r w:rsidRPr="003331EF">
        <w:rPr>
          <w:iCs/>
          <w:spacing w:val="-5"/>
          <w:lang w:eastAsia="en-US"/>
        </w:rPr>
        <w:t xml:space="preserve"> seotud teenuseid;</w:t>
      </w:r>
    </w:p>
    <w:p w14:paraId="0E0BBD3F" w14:textId="77777777" w:rsidR="00033A0C" w:rsidRPr="003331EF" w:rsidRDefault="00033A0C" w:rsidP="003331EF">
      <w:pPr>
        <w:spacing w:before="0"/>
        <w:rPr>
          <w:iCs/>
          <w:spacing w:val="-5"/>
          <w:lang w:eastAsia="en-US"/>
        </w:rPr>
      </w:pPr>
      <w:r w:rsidRPr="003331EF">
        <w:rPr>
          <w:iCs/>
          <w:spacing w:val="-5"/>
          <w:lang w:eastAsia="en-US"/>
        </w:rPr>
        <w:t xml:space="preserve">3) isik, kes pakub </w:t>
      </w:r>
      <w:proofErr w:type="spellStart"/>
      <w:r w:rsidRPr="003331EF">
        <w:rPr>
          <w:iCs/>
          <w:spacing w:val="-5"/>
          <w:lang w:eastAsia="en-US"/>
        </w:rPr>
        <w:t>krüptovara</w:t>
      </w:r>
      <w:proofErr w:type="spellEnd"/>
      <w:r w:rsidRPr="003331EF">
        <w:rPr>
          <w:iCs/>
          <w:spacing w:val="-5"/>
          <w:lang w:eastAsia="en-US"/>
        </w:rPr>
        <w:t xml:space="preserve"> Euroopa Parlamendi ja nõukogu määruse (EL) 2023/1114 artikli 4 lõikes 3 sätestatud tingimustel.</w:t>
      </w:r>
    </w:p>
    <w:p w14:paraId="566F03D3" w14:textId="77777777" w:rsidR="00633CB3" w:rsidRPr="003331EF" w:rsidRDefault="00633CB3" w:rsidP="003331EF">
      <w:pPr>
        <w:spacing w:before="0"/>
      </w:pPr>
    </w:p>
    <w:p w14:paraId="40823A2C" w14:textId="44631F0B" w:rsidR="001A4507" w:rsidRPr="003331EF" w:rsidRDefault="0067306C" w:rsidP="003331EF">
      <w:pPr>
        <w:spacing w:before="0"/>
      </w:pPr>
      <w:r w:rsidRPr="003331EF">
        <w:rPr>
          <w:b/>
          <w:bCs/>
        </w:rPr>
        <w:t xml:space="preserve">Lõike </w:t>
      </w:r>
      <w:r w:rsidR="009E7DD4" w:rsidRPr="003331EF">
        <w:rPr>
          <w:b/>
          <w:bCs/>
        </w:rPr>
        <w:t>2</w:t>
      </w:r>
      <w:r w:rsidR="001A4507" w:rsidRPr="003331EF">
        <w:t xml:space="preserve"> </w:t>
      </w:r>
      <w:r w:rsidR="001A4507" w:rsidRPr="003331EF">
        <w:rPr>
          <w:iCs/>
          <w:spacing w:val="-5"/>
          <w:lang w:eastAsia="en-US"/>
        </w:rPr>
        <w:t>eesmärk on täpsustada, et juba tegutsevatele finantssektori ettevõtetele ei kohaldata kõiki seaduse sätted, kuna nende suhtes kohalduvad eriseadused juba reguleerivad teatud valdkondi. Näiteks on ühinguõiguse sätted reguleeritud eriseadustes, nagu ka audiitorettevõtja suhtes kohalduvad nõuded</w:t>
      </w:r>
      <w:r w:rsidRPr="003331EF">
        <w:rPr>
          <w:iCs/>
          <w:spacing w:val="-5"/>
          <w:lang w:eastAsia="en-US"/>
        </w:rPr>
        <w:t>, aga ka kolmandas riigis tegutsemise puhul kohalduvad nõuded, mis on ette nähtud eriseadustes</w:t>
      </w:r>
      <w:r w:rsidR="008171E1" w:rsidRPr="003331EF">
        <w:rPr>
          <w:iCs/>
          <w:spacing w:val="-5"/>
          <w:lang w:eastAsia="en-US"/>
        </w:rPr>
        <w:t>.</w:t>
      </w:r>
    </w:p>
    <w:p w14:paraId="5EFE7C8E" w14:textId="77777777" w:rsidR="001A4507" w:rsidRPr="003331EF" w:rsidRDefault="001A4507" w:rsidP="003331EF">
      <w:pPr>
        <w:spacing w:before="0"/>
      </w:pPr>
    </w:p>
    <w:p w14:paraId="63FD33DE" w14:textId="23122373" w:rsidR="001A4507" w:rsidRPr="003331EF" w:rsidRDefault="00633CB3" w:rsidP="003331EF">
      <w:pPr>
        <w:spacing w:before="0"/>
        <w:rPr>
          <w:iCs/>
          <w:spacing w:val="-5"/>
          <w:lang w:eastAsia="en-US"/>
        </w:rPr>
      </w:pPr>
      <w:r w:rsidRPr="003331EF">
        <w:rPr>
          <w:iCs/>
          <w:spacing w:val="-5"/>
          <w:lang w:eastAsia="en-US"/>
        </w:rPr>
        <w:t xml:space="preserve">Sama lähenemine on ka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määruses. Näiteks, k</w:t>
      </w:r>
      <w:r w:rsidR="001A4507" w:rsidRPr="003331EF">
        <w:rPr>
          <w:iCs/>
          <w:spacing w:val="-5"/>
          <w:lang w:eastAsia="en-US"/>
        </w:rPr>
        <w:t>ui liidu õiguse alusel tegevusluba omav finantssektori ettevõtja (</w:t>
      </w:r>
      <w:proofErr w:type="spellStart"/>
      <w:r w:rsidR="001A4507" w:rsidRPr="003331EF">
        <w:rPr>
          <w:iCs/>
          <w:spacing w:val="-5"/>
          <w:lang w:eastAsia="en-US"/>
        </w:rPr>
        <w:t>M</w:t>
      </w:r>
      <w:r w:rsidR="00A03096">
        <w:rPr>
          <w:iCs/>
          <w:spacing w:val="-5"/>
          <w:lang w:eastAsia="en-US"/>
        </w:rPr>
        <w:t>i</w:t>
      </w:r>
      <w:r w:rsidR="001A4507" w:rsidRPr="003331EF">
        <w:rPr>
          <w:iCs/>
          <w:spacing w:val="-5"/>
          <w:lang w:eastAsia="en-US"/>
        </w:rPr>
        <w:t>CA</w:t>
      </w:r>
      <w:proofErr w:type="spellEnd"/>
      <w:r w:rsidR="001A4507" w:rsidRPr="003331EF">
        <w:rPr>
          <w:iCs/>
          <w:spacing w:val="-5"/>
          <w:lang w:eastAsia="en-US"/>
        </w:rPr>
        <w:t xml:space="preserve"> määruse artikli 60 lõikes 1, 2, 3, 4, 5 või 6 nimetatud isik) soovib osutada </w:t>
      </w:r>
      <w:proofErr w:type="spellStart"/>
      <w:r w:rsidR="001A4507" w:rsidRPr="003331EF">
        <w:rPr>
          <w:iCs/>
          <w:spacing w:val="-5"/>
          <w:lang w:eastAsia="en-US"/>
        </w:rPr>
        <w:t>krüptovarateenust</w:t>
      </w:r>
      <w:proofErr w:type="spellEnd"/>
      <w:r w:rsidR="001A4507" w:rsidRPr="003331EF">
        <w:rPr>
          <w:iCs/>
          <w:spacing w:val="-5"/>
          <w:lang w:eastAsia="en-US"/>
        </w:rPr>
        <w:t xml:space="preserve">, </w:t>
      </w:r>
      <w:r w:rsidRPr="003331EF">
        <w:rPr>
          <w:iCs/>
          <w:spacing w:val="-5"/>
          <w:lang w:eastAsia="en-US"/>
        </w:rPr>
        <w:t>ei kohaldata tema suhtes kõiki</w:t>
      </w:r>
      <w:r w:rsidR="00294223" w:rsidRPr="003331EF">
        <w:rPr>
          <w:iCs/>
          <w:spacing w:val="-5"/>
          <w:lang w:eastAsia="en-US"/>
        </w:rPr>
        <w:t xml:space="preserve"> </w:t>
      </w:r>
      <w:proofErr w:type="spellStart"/>
      <w:r w:rsidR="00294223" w:rsidRPr="003331EF">
        <w:rPr>
          <w:iCs/>
          <w:spacing w:val="-5"/>
          <w:lang w:eastAsia="en-US"/>
        </w:rPr>
        <w:t>M</w:t>
      </w:r>
      <w:r w:rsidR="00A03096">
        <w:rPr>
          <w:iCs/>
          <w:spacing w:val="-5"/>
          <w:lang w:eastAsia="en-US"/>
        </w:rPr>
        <w:t>i</w:t>
      </w:r>
      <w:r w:rsidR="00294223" w:rsidRPr="003331EF">
        <w:rPr>
          <w:iCs/>
          <w:spacing w:val="-5"/>
          <w:lang w:eastAsia="en-US"/>
        </w:rPr>
        <w:t>CA</w:t>
      </w:r>
      <w:proofErr w:type="spellEnd"/>
      <w:r w:rsidR="00294223" w:rsidRPr="003331EF">
        <w:rPr>
          <w:iCs/>
          <w:spacing w:val="-5"/>
          <w:lang w:eastAsia="en-US"/>
        </w:rPr>
        <w:t xml:space="preserve"> määruses sätestatud nõudeid – näiteks tegevusloa nõudeid, omavahendite nõudeid ja olulist osalust omavate aktsionäride heakskiitmise menetlust, kuna need </w:t>
      </w:r>
      <w:r w:rsidR="006C1468" w:rsidRPr="003331EF">
        <w:rPr>
          <w:iCs/>
          <w:spacing w:val="-5"/>
          <w:lang w:eastAsia="en-US"/>
        </w:rPr>
        <w:t>nõuded</w:t>
      </w:r>
      <w:r w:rsidR="00294223" w:rsidRPr="003331EF">
        <w:rPr>
          <w:iCs/>
          <w:spacing w:val="-5"/>
          <w:lang w:eastAsia="en-US"/>
        </w:rPr>
        <w:t xml:space="preserve"> on hõlmatud vastavate liidu seadusandlike aktidega, mille alusel neile tegevusluba anti. Siiski tuleks sellist finantssektori ettevõtjat </w:t>
      </w:r>
      <w:r w:rsidR="001A4507" w:rsidRPr="003331EF">
        <w:rPr>
          <w:iCs/>
          <w:spacing w:val="-5"/>
          <w:lang w:eastAsia="en-US"/>
        </w:rPr>
        <w:t xml:space="preserve">lugeda </w:t>
      </w:r>
      <w:proofErr w:type="spellStart"/>
      <w:r w:rsidR="001A4507" w:rsidRPr="003331EF">
        <w:rPr>
          <w:iCs/>
          <w:spacing w:val="-5"/>
          <w:lang w:eastAsia="en-US"/>
        </w:rPr>
        <w:t>krüptovarateenuse</w:t>
      </w:r>
      <w:proofErr w:type="spellEnd"/>
      <w:r w:rsidR="001A4507" w:rsidRPr="003331EF">
        <w:rPr>
          <w:iCs/>
          <w:spacing w:val="-5"/>
          <w:lang w:eastAsia="en-US"/>
        </w:rPr>
        <w:t xml:space="preserve"> osutajateks ning tema suhtes kohaldatakse mh </w:t>
      </w:r>
      <w:proofErr w:type="spellStart"/>
      <w:r w:rsidR="001A4507" w:rsidRPr="003331EF">
        <w:rPr>
          <w:iCs/>
          <w:spacing w:val="-5"/>
          <w:lang w:eastAsia="en-US"/>
        </w:rPr>
        <w:t>M</w:t>
      </w:r>
      <w:r w:rsidR="00A03096">
        <w:rPr>
          <w:iCs/>
          <w:spacing w:val="-5"/>
          <w:lang w:eastAsia="en-US"/>
        </w:rPr>
        <w:t>i</w:t>
      </w:r>
      <w:r w:rsidR="001A4507" w:rsidRPr="003331EF">
        <w:rPr>
          <w:iCs/>
          <w:spacing w:val="-5"/>
          <w:lang w:eastAsia="en-US"/>
        </w:rPr>
        <w:t>CA</w:t>
      </w:r>
      <w:proofErr w:type="spellEnd"/>
      <w:r w:rsidR="001A4507" w:rsidRPr="003331EF">
        <w:rPr>
          <w:iCs/>
          <w:spacing w:val="-5"/>
          <w:lang w:eastAsia="en-US"/>
        </w:rPr>
        <w:t xml:space="preserve"> määruses sätestatud asjakohaseid haldusvolitusi, sealhulgas õigust peatada või keelata teatavad </w:t>
      </w:r>
      <w:proofErr w:type="spellStart"/>
      <w:r w:rsidR="001A4507" w:rsidRPr="003331EF">
        <w:rPr>
          <w:iCs/>
          <w:spacing w:val="-5"/>
          <w:lang w:eastAsia="en-US"/>
        </w:rPr>
        <w:t>krüptovarateenused</w:t>
      </w:r>
      <w:proofErr w:type="spellEnd"/>
      <w:r w:rsidR="001A4507" w:rsidRPr="003331EF">
        <w:rPr>
          <w:iCs/>
          <w:spacing w:val="-5"/>
          <w:lang w:eastAsia="en-US"/>
        </w:rPr>
        <w:t xml:space="preserve">. Selliste ettevõtjate suhtes tuleks kohaldada ka kõiki nõudeid, mida </w:t>
      </w:r>
      <w:proofErr w:type="spellStart"/>
      <w:r w:rsidR="001A4507" w:rsidRPr="003331EF">
        <w:rPr>
          <w:iCs/>
          <w:spacing w:val="-5"/>
          <w:lang w:eastAsia="en-US"/>
        </w:rPr>
        <w:t>M</w:t>
      </w:r>
      <w:r w:rsidR="00A03096">
        <w:rPr>
          <w:iCs/>
          <w:spacing w:val="-5"/>
          <w:lang w:eastAsia="en-US"/>
        </w:rPr>
        <w:t>i</w:t>
      </w:r>
      <w:r w:rsidR="001A4507" w:rsidRPr="003331EF">
        <w:rPr>
          <w:iCs/>
          <w:spacing w:val="-5"/>
          <w:lang w:eastAsia="en-US"/>
        </w:rPr>
        <w:t>CA</w:t>
      </w:r>
      <w:proofErr w:type="spellEnd"/>
      <w:r w:rsidR="001A4507" w:rsidRPr="003331EF">
        <w:rPr>
          <w:iCs/>
          <w:spacing w:val="-5"/>
          <w:lang w:eastAsia="en-US"/>
        </w:rPr>
        <w:t xml:space="preserve"> määruse alusel kohaldatakse </w:t>
      </w:r>
      <w:proofErr w:type="spellStart"/>
      <w:r w:rsidR="001A4507" w:rsidRPr="003331EF">
        <w:rPr>
          <w:iCs/>
          <w:spacing w:val="-5"/>
          <w:lang w:eastAsia="en-US"/>
        </w:rPr>
        <w:t>krüptovarateenuse</w:t>
      </w:r>
      <w:proofErr w:type="spellEnd"/>
      <w:r w:rsidR="001A4507" w:rsidRPr="003331EF">
        <w:rPr>
          <w:iCs/>
          <w:spacing w:val="-5"/>
          <w:lang w:eastAsia="en-US"/>
        </w:rPr>
        <w:t xml:space="preserve"> osutajate suhtes</w:t>
      </w:r>
      <w:r w:rsidR="00294223" w:rsidRPr="003331EF">
        <w:rPr>
          <w:iCs/>
          <w:spacing w:val="-5"/>
          <w:lang w:eastAsia="en-US"/>
        </w:rPr>
        <w:t>.</w:t>
      </w:r>
    </w:p>
    <w:p w14:paraId="03BBB527" w14:textId="77777777" w:rsidR="001A4507" w:rsidRPr="003331EF" w:rsidRDefault="001A4507" w:rsidP="003331EF">
      <w:pPr>
        <w:spacing w:before="0"/>
        <w:rPr>
          <w:iCs/>
          <w:spacing w:val="-5"/>
          <w:lang w:eastAsia="en-US"/>
        </w:rPr>
      </w:pPr>
    </w:p>
    <w:p w14:paraId="5321430D" w14:textId="5A5583C1" w:rsidR="001A4507" w:rsidRPr="003331EF" w:rsidRDefault="001A4507" w:rsidP="003331EF">
      <w:pPr>
        <w:spacing w:before="0"/>
        <w:rPr>
          <w:iCs/>
          <w:spacing w:val="-5"/>
          <w:lang w:eastAsia="en-US"/>
        </w:rPr>
      </w:pPr>
      <w:r w:rsidRPr="003331EF">
        <w:rPr>
          <w:iCs/>
          <w:spacing w:val="-5"/>
          <w:lang w:eastAsia="en-US"/>
        </w:rPr>
        <w:t xml:space="preserve">Kuna makseasutuse puhul ei ole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määruses ette nähtud, et </w:t>
      </w:r>
      <w:proofErr w:type="spellStart"/>
      <w:r w:rsidRPr="003331EF">
        <w:rPr>
          <w:iCs/>
          <w:spacing w:val="-5"/>
          <w:lang w:eastAsia="en-US"/>
        </w:rPr>
        <w:t>krüptovarateenuse</w:t>
      </w:r>
      <w:proofErr w:type="spellEnd"/>
      <w:r w:rsidRPr="003331EF">
        <w:rPr>
          <w:iCs/>
          <w:spacing w:val="-5"/>
          <w:lang w:eastAsia="en-US"/>
        </w:rPr>
        <w:t xml:space="preserve"> osutajana tegutsemise õiguse saamiseks piisab ka pädeva asutuse teavitamisest, </w:t>
      </w:r>
      <w:r w:rsidR="0067306C" w:rsidRPr="003331EF">
        <w:rPr>
          <w:iCs/>
          <w:spacing w:val="-5"/>
          <w:lang w:eastAsia="en-US"/>
        </w:rPr>
        <w:t>kohaldub neile näiteks ka tegevusloa nõue</w:t>
      </w:r>
      <w:r w:rsidR="004530A3" w:rsidRPr="003331EF">
        <w:rPr>
          <w:iCs/>
          <w:spacing w:val="-5"/>
          <w:lang w:eastAsia="en-US"/>
        </w:rPr>
        <w:t xml:space="preserve"> ja nõuded kapitalile. </w:t>
      </w:r>
    </w:p>
    <w:p w14:paraId="29B98A73" w14:textId="77777777" w:rsidR="0067306C" w:rsidRPr="003331EF" w:rsidRDefault="0067306C" w:rsidP="003331EF">
      <w:pPr>
        <w:spacing w:before="0"/>
      </w:pPr>
    </w:p>
    <w:p w14:paraId="19242C0A" w14:textId="70905CC4" w:rsidR="0067306C" w:rsidRPr="003331EF" w:rsidRDefault="00633CB3" w:rsidP="003331EF">
      <w:pPr>
        <w:spacing w:before="0"/>
        <w:rPr>
          <w:iCs/>
          <w:spacing w:val="-5"/>
          <w:lang w:eastAsia="en-US"/>
        </w:rPr>
      </w:pPr>
      <w:r w:rsidRPr="003331EF">
        <w:rPr>
          <w:iCs/>
          <w:spacing w:val="-5"/>
          <w:lang w:eastAsia="en-US"/>
        </w:rPr>
        <w:t>K</w:t>
      </w:r>
      <w:r w:rsidR="008171E1" w:rsidRPr="003331EF">
        <w:rPr>
          <w:iCs/>
          <w:spacing w:val="-5"/>
          <w:lang w:eastAsia="en-US"/>
        </w:rPr>
        <w:t>ui</w:t>
      </w:r>
      <w:r w:rsidR="0067306C" w:rsidRPr="003331EF">
        <w:rPr>
          <w:iCs/>
          <w:spacing w:val="-5"/>
          <w:lang w:eastAsia="en-US"/>
        </w:rPr>
        <w:t xml:space="preserve"> krediidiasutus emiteerib </w:t>
      </w:r>
      <w:r w:rsidR="008171E1" w:rsidRPr="003331EF">
        <w:rPr>
          <w:iCs/>
          <w:spacing w:val="-5"/>
          <w:lang w:eastAsia="en-US"/>
        </w:rPr>
        <w:t xml:space="preserve">varapõhist </w:t>
      </w:r>
      <w:proofErr w:type="spellStart"/>
      <w:r w:rsidR="008171E1" w:rsidRPr="003331EF">
        <w:rPr>
          <w:iCs/>
          <w:spacing w:val="-5"/>
          <w:lang w:eastAsia="en-US"/>
        </w:rPr>
        <w:t>tokenit</w:t>
      </w:r>
      <w:proofErr w:type="spellEnd"/>
      <w:r w:rsidR="008171E1" w:rsidRPr="003331EF">
        <w:rPr>
          <w:iCs/>
          <w:spacing w:val="-5"/>
          <w:lang w:eastAsia="en-US"/>
        </w:rPr>
        <w:t xml:space="preserve">, ei </w:t>
      </w:r>
      <w:r w:rsidR="0067306C" w:rsidRPr="003331EF">
        <w:rPr>
          <w:iCs/>
          <w:spacing w:val="-5"/>
          <w:lang w:eastAsia="en-US"/>
        </w:rPr>
        <w:t xml:space="preserve">pea </w:t>
      </w:r>
      <w:r w:rsidR="008171E1" w:rsidRPr="003331EF">
        <w:rPr>
          <w:iCs/>
          <w:spacing w:val="-5"/>
          <w:lang w:eastAsia="en-US"/>
        </w:rPr>
        <w:t xml:space="preserve">ta </w:t>
      </w:r>
      <w:r w:rsidR="0067306C" w:rsidRPr="003331EF">
        <w:rPr>
          <w:iCs/>
          <w:spacing w:val="-5"/>
          <w:lang w:eastAsia="en-US"/>
        </w:rPr>
        <w:t xml:space="preserve">eraldi tegevusluba taotlema, </w:t>
      </w:r>
      <w:r w:rsidR="008171E1" w:rsidRPr="003331EF">
        <w:rPr>
          <w:iCs/>
          <w:spacing w:val="-5"/>
          <w:lang w:eastAsia="en-US"/>
        </w:rPr>
        <w:t>mistõttu</w:t>
      </w:r>
      <w:r w:rsidR="0067306C" w:rsidRPr="003331EF">
        <w:rPr>
          <w:iCs/>
          <w:spacing w:val="-5"/>
          <w:lang w:eastAsia="en-US"/>
        </w:rPr>
        <w:t xml:space="preserve"> ei kohaldata tema suhtes ka tegevusloa taotlemise ja selle menetlusega ning tegevusloa kehtetuks tunnistamisega seotud sätteid (</w:t>
      </w:r>
      <w:proofErr w:type="spellStart"/>
      <w:r w:rsidR="00175CEB" w:rsidRPr="003331EF">
        <w:rPr>
          <w:iCs/>
          <w:spacing w:val="-5"/>
          <w:lang w:eastAsia="en-US"/>
        </w:rPr>
        <w:t>M</w:t>
      </w:r>
      <w:r w:rsidR="00A03096">
        <w:rPr>
          <w:iCs/>
          <w:spacing w:val="-5"/>
          <w:lang w:eastAsia="en-US"/>
        </w:rPr>
        <w:t>i</w:t>
      </w:r>
      <w:r w:rsidR="00175CEB" w:rsidRPr="003331EF">
        <w:rPr>
          <w:iCs/>
          <w:spacing w:val="-5"/>
          <w:lang w:eastAsia="en-US"/>
        </w:rPr>
        <w:t>CA</w:t>
      </w:r>
      <w:proofErr w:type="spellEnd"/>
      <w:r w:rsidR="00175CEB" w:rsidRPr="003331EF">
        <w:rPr>
          <w:iCs/>
          <w:spacing w:val="-5"/>
          <w:lang w:eastAsia="en-US"/>
        </w:rPr>
        <w:t xml:space="preserve"> määruse </w:t>
      </w:r>
      <w:r w:rsidR="0067306C" w:rsidRPr="003331EF">
        <w:rPr>
          <w:iCs/>
          <w:spacing w:val="-5"/>
          <w:lang w:eastAsia="en-US"/>
        </w:rPr>
        <w:t xml:space="preserve">art 16, 18, 20, 21 ja 24). Lisaks ei kohaldata omavahendite nõudeid (art 35) ja sätteid </w:t>
      </w:r>
      <w:r w:rsidR="008171E1" w:rsidRPr="003331EF">
        <w:rPr>
          <w:iCs/>
          <w:spacing w:val="-5"/>
          <w:lang w:eastAsia="en-US"/>
        </w:rPr>
        <w:t xml:space="preserve">olulise osaluse </w:t>
      </w:r>
      <w:r w:rsidR="0067306C" w:rsidRPr="003331EF">
        <w:rPr>
          <w:iCs/>
          <w:spacing w:val="-5"/>
          <w:lang w:eastAsia="en-US"/>
        </w:rPr>
        <w:t xml:space="preserve">omandamise kohta (art 41 ja 42). </w:t>
      </w:r>
      <w:r w:rsidR="00294223" w:rsidRPr="003331EF">
        <w:rPr>
          <w:iCs/>
          <w:spacing w:val="-5"/>
          <w:lang w:eastAsia="en-US"/>
        </w:rPr>
        <w:t>Vastav regulatsioon on kaetud</w:t>
      </w:r>
      <w:r w:rsidR="0067306C" w:rsidRPr="003331EF">
        <w:rPr>
          <w:iCs/>
          <w:spacing w:val="-5"/>
          <w:lang w:eastAsia="en-US"/>
        </w:rPr>
        <w:t xml:space="preserve"> Euroopa Parlamendi ja nõukogu direktiivi 2013/36/EL ja määrusega (EL) nr 575/2013.</w:t>
      </w:r>
      <w:r w:rsidR="008171E1" w:rsidRPr="003331EF">
        <w:rPr>
          <w:iCs/>
          <w:spacing w:val="-5"/>
          <w:lang w:eastAsia="en-US"/>
        </w:rPr>
        <w:t xml:space="preserve"> </w:t>
      </w:r>
    </w:p>
    <w:p w14:paraId="3E16382B" w14:textId="77777777" w:rsidR="001A4507" w:rsidRPr="003331EF" w:rsidRDefault="001A4507" w:rsidP="003331EF">
      <w:pPr>
        <w:spacing w:before="0"/>
      </w:pPr>
    </w:p>
    <w:p w14:paraId="6D90EA42" w14:textId="7E794D1A" w:rsidR="00A22D9E" w:rsidRPr="003331EF" w:rsidRDefault="001A4507" w:rsidP="003331EF">
      <w:pPr>
        <w:spacing w:before="0"/>
        <w:rPr>
          <w:sz w:val="22"/>
          <w:szCs w:val="22"/>
        </w:rPr>
      </w:pPr>
      <w:r w:rsidRPr="003331EF">
        <w:rPr>
          <w:b/>
          <w:bCs/>
        </w:rPr>
        <w:t xml:space="preserve">Lõige </w:t>
      </w:r>
      <w:r w:rsidR="009E7DD4" w:rsidRPr="003331EF">
        <w:rPr>
          <w:b/>
          <w:bCs/>
        </w:rPr>
        <w:t>3</w:t>
      </w:r>
      <w:r w:rsidRPr="003331EF">
        <w:rPr>
          <w:b/>
          <w:bCs/>
        </w:rPr>
        <w:t xml:space="preserve">. </w:t>
      </w:r>
      <w:r w:rsidRPr="003331EF">
        <w:rPr>
          <w:iCs/>
          <w:spacing w:val="-5"/>
          <w:lang w:eastAsia="en-US"/>
        </w:rPr>
        <w:t xml:space="preserve">Kui </w:t>
      </w:r>
      <w:proofErr w:type="spellStart"/>
      <w:r w:rsidRPr="003331EF">
        <w:rPr>
          <w:iCs/>
          <w:spacing w:val="-5"/>
          <w:lang w:eastAsia="en-US"/>
        </w:rPr>
        <w:t>krüptovaraturul</w:t>
      </w:r>
      <w:proofErr w:type="spellEnd"/>
      <w:r w:rsidRPr="003331EF">
        <w:rPr>
          <w:iCs/>
          <w:spacing w:val="-5"/>
          <w:lang w:eastAsia="en-US"/>
        </w:rPr>
        <w:t xml:space="preserve"> pakutakse muud </w:t>
      </w:r>
      <w:proofErr w:type="spellStart"/>
      <w:r w:rsidRPr="003331EF">
        <w:rPr>
          <w:iCs/>
          <w:spacing w:val="-5"/>
          <w:lang w:eastAsia="en-US"/>
        </w:rPr>
        <w:t>krüptovara</w:t>
      </w:r>
      <w:proofErr w:type="spellEnd"/>
      <w:r w:rsidRPr="003331EF">
        <w:rPr>
          <w:iCs/>
          <w:spacing w:val="-5"/>
          <w:lang w:eastAsia="en-US"/>
        </w:rPr>
        <w:t xml:space="preserve"> kui varapõhiseid </w:t>
      </w:r>
      <w:proofErr w:type="spellStart"/>
      <w:r w:rsidRPr="003331EF">
        <w:rPr>
          <w:iCs/>
          <w:spacing w:val="-5"/>
          <w:lang w:eastAsia="en-US"/>
        </w:rPr>
        <w:t>tokeneid</w:t>
      </w:r>
      <w:proofErr w:type="spellEnd"/>
      <w:r w:rsidRPr="003331EF">
        <w:rPr>
          <w:iCs/>
          <w:spacing w:val="-5"/>
          <w:lang w:eastAsia="en-US"/>
        </w:rPr>
        <w:t xml:space="preserve"> või e-raha </w:t>
      </w:r>
      <w:proofErr w:type="spellStart"/>
      <w:r w:rsidRPr="003331EF">
        <w:rPr>
          <w:iCs/>
          <w:spacing w:val="-5"/>
          <w:lang w:eastAsia="en-US"/>
        </w:rPr>
        <w:t>tokeneid</w:t>
      </w:r>
      <w:proofErr w:type="spellEnd"/>
      <w:r w:rsidRPr="003331EF">
        <w:rPr>
          <w:iCs/>
          <w:spacing w:val="-5"/>
          <w:lang w:eastAsia="en-US"/>
        </w:rPr>
        <w:t xml:space="preserve">, siis sellise </w:t>
      </w:r>
      <w:proofErr w:type="spellStart"/>
      <w:r w:rsidRPr="003331EF">
        <w:rPr>
          <w:iCs/>
          <w:spacing w:val="-5"/>
          <w:lang w:eastAsia="en-US"/>
        </w:rPr>
        <w:t>krüptovara</w:t>
      </w:r>
      <w:proofErr w:type="spellEnd"/>
      <w:r w:rsidRPr="003331EF">
        <w:rPr>
          <w:iCs/>
          <w:spacing w:val="-5"/>
          <w:lang w:eastAsia="en-US"/>
        </w:rPr>
        <w:t xml:space="preserve"> pakkujale ja kauplemisele võtmist taotleva isiku suhtes kohaldatakse üksnes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 artikleid 4–15 (II jaotis) ning artikleid 86–92</w:t>
      </w:r>
      <w:r w:rsidR="009E7DD4" w:rsidRPr="003331EF">
        <w:rPr>
          <w:iCs/>
          <w:spacing w:val="-5"/>
          <w:lang w:eastAsia="en-US"/>
        </w:rPr>
        <w:t xml:space="preserve"> (ehk </w:t>
      </w:r>
      <w:r w:rsidR="00785EAB" w:rsidRPr="003331EF">
        <w:rPr>
          <w:iCs/>
          <w:spacing w:val="-5"/>
          <w:lang w:eastAsia="en-US"/>
        </w:rPr>
        <w:t xml:space="preserve">§ 6 </w:t>
      </w:r>
      <w:r w:rsidR="009E7DD4" w:rsidRPr="003331EF">
        <w:rPr>
          <w:iCs/>
          <w:spacing w:val="-5"/>
          <w:lang w:eastAsia="en-US"/>
        </w:rPr>
        <w:t xml:space="preserve">lõikes </w:t>
      </w:r>
      <w:r w:rsidR="00785EAB" w:rsidRPr="003331EF">
        <w:rPr>
          <w:iCs/>
          <w:spacing w:val="-5"/>
          <w:lang w:eastAsia="en-US"/>
        </w:rPr>
        <w:t>4</w:t>
      </w:r>
      <w:r w:rsidR="009E7DD4" w:rsidRPr="003331EF">
        <w:rPr>
          <w:iCs/>
          <w:spacing w:val="-5"/>
          <w:lang w:eastAsia="en-US"/>
        </w:rPr>
        <w:t xml:space="preserve"> on viide </w:t>
      </w:r>
      <w:proofErr w:type="spellStart"/>
      <w:r w:rsidR="009E7DD4" w:rsidRPr="003331EF">
        <w:rPr>
          <w:iCs/>
          <w:spacing w:val="-5"/>
          <w:lang w:eastAsia="en-US"/>
        </w:rPr>
        <w:t>M</w:t>
      </w:r>
      <w:r w:rsidR="00A03096">
        <w:rPr>
          <w:iCs/>
          <w:spacing w:val="-5"/>
          <w:lang w:eastAsia="en-US"/>
        </w:rPr>
        <w:t>i</w:t>
      </w:r>
      <w:r w:rsidR="009E7DD4" w:rsidRPr="003331EF">
        <w:rPr>
          <w:iCs/>
          <w:spacing w:val="-5"/>
          <w:lang w:eastAsia="en-US"/>
        </w:rPr>
        <w:t>CA</w:t>
      </w:r>
      <w:proofErr w:type="spellEnd"/>
      <w:r w:rsidR="009E7DD4" w:rsidRPr="003331EF">
        <w:rPr>
          <w:iCs/>
          <w:spacing w:val="-5"/>
          <w:lang w:eastAsia="en-US"/>
        </w:rPr>
        <w:t xml:space="preserve"> määruse rakendamisele)</w:t>
      </w:r>
      <w:r w:rsidR="00294223" w:rsidRPr="003331EF">
        <w:rPr>
          <w:iCs/>
          <w:spacing w:val="-5"/>
          <w:lang w:eastAsia="en-US"/>
        </w:rPr>
        <w:t xml:space="preserve">, aga ka </w:t>
      </w:r>
      <w:proofErr w:type="spellStart"/>
      <w:r w:rsidR="004530A3" w:rsidRPr="003331EF">
        <w:rPr>
          <w:iCs/>
          <w:spacing w:val="-5"/>
          <w:lang w:eastAsia="en-US"/>
        </w:rPr>
        <w:t>MiCA</w:t>
      </w:r>
      <w:proofErr w:type="spellEnd"/>
      <w:r w:rsidR="004530A3" w:rsidRPr="003331EF">
        <w:rPr>
          <w:iCs/>
          <w:spacing w:val="-5"/>
          <w:lang w:eastAsia="en-US"/>
        </w:rPr>
        <w:t xml:space="preserve"> määruse </w:t>
      </w:r>
      <w:r w:rsidR="00294223" w:rsidRPr="003331EF">
        <w:rPr>
          <w:iCs/>
          <w:spacing w:val="-5"/>
          <w:lang w:eastAsia="en-US"/>
        </w:rPr>
        <w:t>järelevalve sätteid</w:t>
      </w:r>
      <w:r w:rsidR="009E7DD4" w:rsidRPr="003331EF">
        <w:rPr>
          <w:iCs/>
          <w:spacing w:val="-5"/>
          <w:lang w:eastAsia="en-US"/>
        </w:rPr>
        <w:t>.</w:t>
      </w:r>
      <w:r w:rsidR="00294223" w:rsidRPr="003331EF">
        <w:rPr>
          <w:iCs/>
          <w:spacing w:val="-5"/>
          <w:lang w:eastAsia="en-US"/>
        </w:rPr>
        <w:t xml:space="preserve"> </w:t>
      </w:r>
      <w:r w:rsidR="001C0190" w:rsidRPr="003331EF">
        <w:rPr>
          <w:iCs/>
          <w:spacing w:val="-5"/>
          <w:lang w:eastAsia="en-US"/>
        </w:rPr>
        <w:t xml:space="preserve">Kuna </w:t>
      </w:r>
      <w:proofErr w:type="spellStart"/>
      <w:r w:rsidR="001C0190" w:rsidRPr="003331EF">
        <w:rPr>
          <w:iCs/>
          <w:spacing w:val="-5"/>
          <w:lang w:eastAsia="en-US"/>
        </w:rPr>
        <w:t>MiCA</w:t>
      </w:r>
      <w:proofErr w:type="spellEnd"/>
      <w:r w:rsidR="001C0190" w:rsidRPr="003331EF">
        <w:rPr>
          <w:iCs/>
          <w:spacing w:val="-5"/>
          <w:lang w:eastAsia="en-US"/>
        </w:rPr>
        <w:t xml:space="preserve"> määruse artikli 11 lõige 2 sätestab, et muu </w:t>
      </w:r>
      <w:proofErr w:type="spellStart"/>
      <w:r w:rsidR="001C0190" w:rsidRPr="003331EF">
        <w:rPr>
          <w:iCs/>
          <w:spacing w:val="-5"/>
          <w:lang w:eastAsia="en-US"/>
        </w:rPr>
        <w:t>krüptovara</w:t>
      </w:r>
      <w:proofErr w:type="spellEnd"/>
      <w:r w:rsidR="001C0190" w:rsidRPr="003331EF">
        <w:rPr>
          <w:iCs/>
          <w:spacing w:val="-5"/>
          <w:lang w:eastAsia="en-US"/>
        </w:rPr>
        <w:t xml:space="preserve"> pakkujad ja kauplemisele võtmist taotlevad isikud ei ole kohustatud pärast nõuetega vastavuses oleva valge paberi emiteerimist esitama täiendavat informatsiooni</w:t>
      </w:r>
      <w:r w:rsidR="00A22D9E" w:rsidRPr="003331EF">
        <w:rPr>
          <w:iCs/>
          <w:spacing w:val="-5"/>
          <w:lang w:eastAsia="en-US"/>
        </w:rPr>
        <w:t>, ei kohaldata seaduse järelevalve sätteid (sh teabe küsimi</w:t>
      </w:r>
      <w:r w:rsidR="00785EAB" w:rsidRPr="003331EF">
        <w:rPr>
          <w:iCs/>
          <w:spacing w:val="-5"/>
          <w:lang w:eastAsia="en-US"/>
        </w:rPr>
        <w:t>se regulatsiooni</w:t>
      </w:r>
      <w:r w:rsidR="00A22D9E" w:rsidRPr="003331EF">
        <w:rPr>
          <w:iCs/>
          <w:spacing w:val="-5"/>
          <w:lang w:eastAsia="en-US"/>
        </w:rPr>
        <w:t xml:space="preserve">) selliste isikute suhtes, kuid see ei tähenda, et </w:t>
      </w:r>
      <w:proofErr w:type="spellStart"/>
      <w:r w:rsidR="00A22D9E" w:rsidRPr="003331EF">
        <w:rPr>
          <w:iCs/>
          <w:spacing w:val="-5"/>
          <w:lang w:eastAsia="en-US"/>
        </w:rPr>
        <w:t>MiCA</w:t>
      </w:r>
      <w:proofErr w:type="spellEnd"/>
      <w:r w:rsidR="00A22D9E" w:rsidRPr="003331EF">
        <w:rPr>
          <w:iCs/>
          <w:spacing w:val="-5"/>
          <w:lang w:eastAsia="en-US"/>
        </w:rPr>
        <w:t xml:space="preserve"> määruse järelevalvesätted nende suhtes ei kohalduks. Näiteks peab </w:t>
      </w:r>
      <w:proofErr w:type="spellStart"/>
      <w:r w:rsidR="00A22D9E" w:rsidRPr="003331EF">
        <w:rPr>
          <w:iCs/>
          <w:spacing w:val="-5"/>
          <w:lang w:eastAsia="en-US"/>
        </w:rPr>
        <w:t>MiCA</w:t>
      </w:r>
      <w:proofErr w:type="spellEnd"/>
      <w:r w:rsidR="00A22D9E" w:rsidRPr="003331EF">
        <w:rPr>
          <w:iCs/>
          <w:spacing w:val="-5"/>
          <w:lang w:eastAsia="en-US"/>
        </w:rPr>
        <w:t xml:space="preserve"> artikli 93 kohaselt liikmesriik määrama pädeva asutuse, kes täidab määruses ette nähtud ülesandeid ja kohustusi ning määruse art 94 ütleb, et pädeval asutusel on mh selles artiklis loetletud järelevalveõigused II jaos sätestatud nõuete täitmise üle. Pädeval asutusel on seega roll seoses ka muu </w:t>
      </w:r>
      <w:proofErr w:type="spellStart"/>
      <w:r w:rsidR="00A22D9E" w:rsidRPr="003331EF">
        <w:rPr>
          <w:iCs/>
          <w:spacing w:val="-5"/>
          <w:lang w:eastAsia="en-US"/>
        </w:rPr>
        <w:t>krüptovara</w:t>
      </w:r>
      <w:proofErr w:type="spellEnd"/>
      <w:r w:rsidR="00A22D9E" w:rsidRPr="003331EF">
        <w:rPr>
          <w:iCs/>
          <w:spacing w:val="-5"/>
          <w:lang w:eastAsia="en-US"/>
        </w:rPr>
        <w:t xml:space="preserve"> pakkujate ja kauplemisele taotlevate isikutega</w:t>
      </w:r>
      <w:r w:rsidR="00785EAB" w:rsidRPr="003331EF">
        <w:rPr>
          <w:iCs/>
          <w:spacing w:val="-5"/>
          <w:lang w:eastAsia="en-US"/>
        </w:rPr>
        <w:t xml:space="preserve">. Seetõttu on lõikes 3 ka </w:t>
      </w:r>
      <w:r w:rsidR="00785EAB" w:rsidRPr="003331EF">
        <w:rPr>
          <w:iCs/>
          <w:spacing w:val="-5"/>
          <w:lang w:eastAsia="en-US"/>
        </w:rPr>
        <w:lastRenderedPageBreak/>
        <w:t xml:space="preserve">viide seaduse § 26 lõikele 1, millega määratletakse, et Finantsinspektsioon on pädeva asutus teostama järelevalvet ka II jaos sätestatud nõuete täitmise üle. </w:t>
      </w:r>
    </w:p>
    <w:p w14:paraId="196BCA0A" w14:textId="77777777" w:rsidR="001C0190" w:rsidRPr="003331EF" w:rsidRDefault="001C0190" w:rsidP="003331EF">
      <w:pPr>
        <w:spacing w:before="0"/>
        <w:rPr>
          <w:iCs/>
          <w:spacing w:val="-5"/>
          <w:lang w:eastAsia="en-US"/>
        </w:rPr>
      </w:pPr>
    </w:p>
    <w:p w14:paraId="730E952C" w14:textId="21234D7B" w:rsidR="001A4507" w:rsidRPr="003331EF" w:rsidRDefault="00785EAB" w:rsidP="003331EF">
      <w:pPr>
        <w:spacing w:before="0"/>
        <w:rPr>
          <w:iCs/>
          <w:spacing w:val="-5"/>
          <w:lang w:eastAsia="en-US"/>
        </w:rPr>
      </w:pPr>
      <w:r w:rsidRPr="003331EF">
        <w:rPr>
          <w:iCs/>
          <w:spacing w:val="-5"/>
          <w:lang w:eastAsia="en-US"/>
        </w:rPr>
        <w:t>K</w:t>
      </w:r>
      <w:r w:rsidR="00A22D9E" w:rsidRPr="003331EF">
        <w:rPr>
          <w:iCs/>
          <w:spacing w:val="-5"/>
          <w:lang w:eastAsia="en-US"/>
        </w:rPr>
        <w:t>una</w:t>
      </w:r>
      <w:r w:rsidR="00294223" w:rsidRPr="003331EF">
        <w:rPr>
          <w:iCs/>
          <w:spacing w:val="-5"/>
          <w:lang w:eastAsia="en-US"/>
        </w:rPr>
        <w:t xml:space="preserve"> </w:t>
      </w:r>
      <w:proofErr w:type="spellStart"/>
      <w:r w:rsidR="001A4507" w:rsidRPr="003331EF">
        <w:rPr>
          <w:iCs/>
          <w:spacing w:val="-5"/>
          <w:lang w:eastAsia="en-US"/>
        </w:rPr>
        <w:t>M</w:t>
      </w:r>
      <w:r w:rsidR="00A03096">
        <w:rPr>
          <w:iCs/>
          <w:spacing w:val="-5"/>
          <w:lang w:eastAsia="en-US"/>
        </w:rPr>
        <w:t>i</w:t>
      </w:r>
      <w:r w:rsidR="001A4507" w:rsidRPr="003331EF">
        <w:rPr>
          <w:iCs/>
          <w:spacing w:val="-5"/>
          <w:lang w:eastAsia="en-US"/>
        </w:rPr>
        <w:t>CA</w:t>
      </w:r>
      <w:proofErr w:type="spellEnd"/>
      <w:r w:rsidR="001A4507" w:rsidRPr="003331EF">
        <w:rPr>
          <w:iCs/>
          <w:spacing w:val="-5"/>
          <w:lang w:eastAsia="en-US"/>
        </w:rPr>
        <w:t xml:space="preserve"> määruse põhjenduspunktis 98 </w:t>
      </w:r>
      <w:r w:rsidR="00A22D9E" w:rsidRPr="003331EF">
        <w:rPr>
          <w:iCs/>
          <w:spacing w:val="-5"/>
          <w:lang w:eastAsia="en-US"/>
        </w:rPr>
        <w:t xml:space="preserve">on </w:t>
      </w:r>
      <w:r w:rsidR="00294223" w:rsidRPr="003331EF">
        <w:rPr>
          <w:iCs/>
          <w:spacing w:val="-5"/>
          <w:lang w:eastAsia="en-US"/>
        </w:rPr>
        <w:t>täpsustatud</w:t>
      </w:r>
      <w:r w:rsidR="001A4507" w:rsidRPr="003331EF">
        <w:rPr>
          <w:iCs/>
          <w:spacing w:val="-5"/>
          <w:lang w:eastAsia="en-US"/>
        </w:rPr>
        <w:t xml:space="preserve">, et muu </w:t>
      </w:r>
      <w:proofErr w:type="spellStart"/>
      <w:r w:rsidR="001A4507" w:rsidRPr="003331EF">
        <w:rPr>
          <w:iCs/>
          <w:spacing w:val="-5"/>
          <w:lang w:eastAsia="en-US"/>
        </w:rPr>
        <w:t>krüptovara</w:t>
      </w:r>
      <w:proofErr w:type="spellEnd"/>
      <w:r w:rsidR="001A4507" w:rsidRPr="003331EF">
        <w:rPr>
          <w:iCs/>
          <w:spacing w:val="-5"/>
          <w:lang w:eastAsia="en-US"/>
        </w:rPr>
        <w:t xml:space="preserve"> kui varapõhiste </w:t>
      </w:r>
      <w:proofErr w:type="spellStart"/>
      <w:r w:rsidR="001A4507" w:rsidRPr="003331EF">
        <w:rPr>
          <w:iCs/>
          <w:spacing w:val="-5"/>
          <w:lang w:eastAsia="en-US"/>
        </w:rPr>
        <w:t>tokenite</w:t>
      </w:r>
      <w:proofErr w:type="spellEnd"/>
      <w:r w:rsidR="001A4507" w:rsidRPr="003331EF">
        <w:rPr>
          <w:iCs/>
          <w:spacing w:val="-5"/>
          <w:lang w:eastAsia="en-US"/>
        </w:rPr>
        <w:t xml:space="preserve"> või e-raha </w:t>
      </w:r>
      <w:proofErr w:type="spellStart"/>
      <w:r w:rsidR="001A4507" w:rsidRPr="003331EF">
        <w:rPr>
          <w:iCs/>
          <w:spacing w:val="-5"/>
          <w:lang w:eastAsia="en-US"/>
        </w:rPr>
        <w:t>tokenite</w:t>
      </w:r>
      <w:proofErr w:type="spellEnd"/>
      <w:r w:rsidR="001A4507" w:rsidRPr="003331EF">
        <w:rPr>
          <w:iCs/>
          <w:spacing w:val="-5"/>
          <w:lang w:eastAsia="en-US"/>
        </w:rPr>
        <w:t xml:space="preserve"> emitentide suhtes ei tuleks kohaldada </w:t>
      </w:r>
      <w:proofErr w:type="spellStart"/>
      <w:r w:rsidR="001A4507" w:rsidRPr="003331EF">
        <w:rPr>
          <w:iCs/>
          <w:spacing w:val="-5"/>
          <w:lang w:eastAsia="en-US"/>
        </w:rPr>
        <w:t>M</w:t>
      </w:r>
      <w:r w:rsidR="00A03096">
        <w:rPr>
          <w:iCs/>
          <w:spacing w:val="-5"/>
          <w:lang w:eastAsia="en-US"/>
        </w:rPr>
        <w:t>i</w:t>
      </w:r>
      <w:r w:rsidR="001A4507" w:rsidRPr="003331EF">
        <w:rPr>
          <w:iCs/>
          <w:spacing w:val="-5"/>
          <w:lang w:eastAsia="en-US"/>
        </w:rPr>
        <w:t>CA</w:t>
      </w:r>
      <w:proofErr w:type="spellEnd"/>
      <w:r w:rsidR="001A4507" w:rsidRPr="003331EF">
        <w:rPr>
          <w:iCs/>
          <w:spacing w:val="-5"/>
          <w:lang w:eastAsia="en-US"/>
        </w:rPr>
        <w:t xml:space="preserve"> määruse kohast järelevalvet, kui emitent ei ole pakkuja ega kauplemisele võtmist taotlev isik, on ka lõikes </w:t>
      </w:r>
      <w:r w:rsidRPr="003331EF">
        <w:rPr>
          <w:iCs/>
          <w:spacing w:val="-5"/>
          <w:lang w:eastAsia="en-US"/>
        </w:rPr>
        <w:t>3</w:t>
      </w:r>
      <w:r w:rsidR="001A4507" w:rsidRPr="003331EF">
        <w:rPr>
          <w:iCs/>
          <w:spacing w:val="-5"/>
          <w:lang w:eastAsia="en-US"/>
        </w:rPr>
        <w:t xml:space="preserve"> täpsustus, et </w:t>
      </w:r>
      <w:r w:rsidRPr="003331EF">
        <w:rPr>
          <w:iCs/>
          <w:spacing w:val="-5"/>
          <w:lang w:eastAsia="en-US"/>
        </w:rPr>
        <w:t>pädeva asutuse määramise ja</w:t>
      </w:r>
      <w:r w:rsidR="001A4507" w:rsidRPr="003331EF">
        <w:rPr>
          <w:iCs/>
          <w:spacing w:val="-5"/>
          <w:lang w:eastAsia="en-US"/>
        </w:rPr>
        <w:t xml:space="preserve"> vastutuse sätteid tema suhte</w:t>
      </w:r>
      <w:r w:rsidR="006F63CA" w:rsidRPr="003331EF">
        <w:rPr>
          <w:iCs/>
          <w:spacing w:val="-5"/>
          <w:lang w:eastAsia="en-US"/>
        </w:rPr>
        <w:t>s</w:t>
      </w:r>
      <w:r w:rsidR="001A4507" w:rsidRPr="003331EF">
        <w:rPr>
          <w:iCs/>
          <w:spacing w:val="-5"/>
          <w:lang w:eastAsia="en-US"/>
        </w:rPr>
        <w:t xml:space="preserve"> ei kohaldata.</w:t>
      </w:r>
      <w:r w:rsidR="008171E1" w:rsidRPr="003331EF">
        <w:rPr>
          <w:iCs/>
          <w:spacing w:val="-5"/>
          <w:lang w:eastAsia="en-US"/>
        </w:rPr>
        <w:t xml:space="preserve"> </w:t>
      </w:r>
    </w:p>
    <w:p w14:paraId="32A90A48" w14:textId="77777777" w:rsidR="00B0156B" w:rsidRPr="003331EF" w:rsidRDefault="00B0156B" w:rsidP="003331EF">
      <w:pPr>
        <w:spacing w:before="0"/>
        <w:rPr>
          <w:b/>
        </w:rPr>
      </w:pPr>
    </w:p>
    <w:p w14:paraId="1BB280BE" w14:textId="592BDDED" w:rsidR="001A4507" w:rsidRPr="003331EF" w:rsidRDefault="001A4507" w:rsidP="003331EF">
      <w:pPr>
        <w:spacing w:before="0"/>
      </w:pPr>
      <w:r w:rsidRPr="003331EF">
        <w:rPr>
          <w:b/>
        </w:rPr>
        <w:t xml:space="preserve">Lõike </w:t>
      </w:r>
      <w:r w:rsidR="009E7DD4" w:rsidRPr="003331EF">
        <w:rPr>
          <w:b/>
        </w:rPr>
        <w:t>4</w:t>
      </w:r>
      <w:r w:rsidRPr="003331EF">
        <w:t xml:space="preserve"> </w:t>
      </w:r>
      <w:r w:rsidRPr="003331EF">
        <w:rPr>
          <w:iCs/>
          <w:spacing w:val="-5"/>
          <w:lang w:eastAsia="en-US"/>
        </w:rPr>
        <w:t>näol on tegemist tüüpilise finantsjärelevalvesubjekti kohta käiva normiga, millega täpsustatakse, et seaduses ette nähtud haldusmenetlusele kohaldatakse haldusmenetluse seaduse sätteid, arvestades eriseadusest ja Finantsinspektsiooni seadusest tulenevaid erisusi.</w:t>
      </w:r>
    </w:p>
    <w:p w14:paraId="2A01AB87" w14:textId="77777777" w:rsidR="001A4507" w:rsidRPr="003331EF" w:rsidRDefault="001A4507" w:rsidP="003331EF">
      <w:pPr>
        <w:spacing w:before="0"/>
      </w:pPr>
    </w:p>
    <w:p w14:paraId="454DA07E" w14:textId="179B6881" w:rsidR="008171E1" w:rsidRPr="003331EF" w:rsidRDefault="008171E1" w:rsidP="003331EF">
      <w:pPr>
        <w:spacing w:before="0"/>
        <w:rPr>
          <w:b/>
        </w:rPr>
      </w:pPr>
      <w:r w:rsidRPr="003331EF">
        <w:rPr>
          <w:b/>
        </w:rPr>
        <w:t xml:space="preserve">Paragrahv 3. </w:t>
      </w:r>
      <w:proofErr w:type="spellStart"/>
      <w:r w:rsidRPr="003331EF">
        <w:rPr>
          <w:b/>
        </w:rPr>
        <w:t>Krüptovaraturu</w:t>
      </w:r>
      <w:proofErr w:type="spellEnd"/>
      <w:r w:rsidRPr="003331EF">
        <w:rPr>
          <w:b/>
        </w:rPr>
        <w:t xml:space="preserve"> osaline</w:t>
      </w:r>
    </w:p>
    <w:p w14:paraId="24030339" w14:textId="77777777" w:rsidR="008171E1" w:rsidRPr="003331EF" w:rsidRDefault="008171E1" w:rsidP="003331EF">
      <w:pPr>
        <w:spacing w:before="0"/>
        <w:rPr>
          <w:b/>
        </w:rPr>
      </w:pPr>
    </w:p>
    <w:p w14:paraId="1D1E1DDB" w14:textId="4DC51DC7" w:rsidR="001A4507" w:rsidRPr="003331EF" w:rsidRDefault="008171E1" w:rsidP="003331EF">
      <w:pPr>
        <w:spacing w:before="0"/>
      </w:pPr>
      <w:r w:rsidRPr="003331EF">
        <w:rPr>
          <w:b/>
        </w:rPr>
        <w:t>L</w:t>
      </w:r>
      <w:r w:rsidR="001A4507" w:rsidRPr="003331EF">
        <w:rPr>
          <w:b/>
        </w:rPr>
        <w:t xml:space="preserve">õikes 1 </w:t>
      </w:r>
      <w:r w:rsidR="001A4507" w:rsidRPr="003331EF">
        <w:rPr>
          <w:iCs/>
          <w:spacing w:val="-5"/>
          <w:lang w:eastAsia="en-US"/>
        </w:rPr>
        <w:t xml:space="preserve">defineeritakse </w:t>
      </w:r>
      <w:proofErr w:type="spellStart"/>
      <w:r w:rsidR="001A4507" w:rsidRPr="003331EF">
        <w:rPr>
          <w:iCs/>
          <w:spacing w:val="-5"/>
          <w:lang w:eastAsia="en-US"/>
        </w:rPr>
        <w:t>krüptovaraturu</w:t>
      </w:r>
      <w:proofErr w:type="spellEnd"/>
      <w:r w:rsidR="001A4507" w:rsidRPr="003331EF">
        <w:rPr>
          <w:iCs/>
          <w:spacing w:val="-5"/>
          <w:lang w:eastAsia="en-US"/>
        </w:rPr>
        <w:t xml:space="preserve"> osaline, kelleks on nii </w:t>
      </w:r>
      <w:proofErr w:type="spellStart"/>
      <w:r w:rsidR="001A4507" w:rsidRPr="003331EF">
        <w:rPr>
          <w:iCs/>
          <w:spacing w:val="-5"/>
          <w:lang w:eastAsia="en-US"/>
        </w:rPr>
        <w:t>krüptovarateenuse</w:t>
      </w:r>
      <w:proofErr w:type="spellEnd"/>
      <w:r w:rsidR="001A4507" w:rsidRPr="003331EF">
        <w:rPr>
          <w:iCs/>
          <w:spacing w:val="-5"/>
          <w:lang w:eastAsia="en-US"/>
        </w:rPr>
        <w:t xml:space="preserve"> osutaja (punkt 1)</w:t>
      </w:r>
      <w:r w:rsidR="00785EAB" w:rsidRPr="003331EF">
        <w:rPr>
          <w:iCs/>
          <w:spacing w:val="-5"/>
          <w:lang w:eastAsia="en-US"/>
        </w:rPr>
        <w:t xml:space="preserve">, </w:t>
      </w:r>
      <w:proofErr w:type="spellStart"/>
      <w:r w:rsidR="001A4507" w:rsidRPr="003331EF">
        <w:rPr>
          <w:iCs/>
          <w:spacing w:val="-5"/>
          <w:lang w:eastAsia="en-US"/>
        </w:rPr>
        <w:t>krüptovara</w:t>
      </w:r>
      <w:proofErr w:type="spellEnd"/>
      <w:r w:rsidR="001A4507" w:rsidRPr="003331EF">
        <w:rPr>
          <w:iCs/>
          <w:spacing w:val="-5"/>
          <w:lang w:eastAsia="en-US"/>
        </w:rPr>
        <w:t xml:space="preserve"> emitent (punkt 2)</w:t>
      </w:r>
      <w:r w:rsidR="00785EAB" w:rsidRPr="003331EF">
        <w:rPr>
          <w:iCs/>
          <w:spacing w:val="-5"/>
          <w:lang w:eastAsia="en-US"/>
        </w:rPr>
        <w:t xml:space="preserve"> kui ka isik, kes pakub </w:t>
      </w:r>
      <w:proofErr w:type="spellStart"/>
      <w:r w:rsidR="00785EAB" w:rsidRPr="003331EF">
        <w:rPr>
          <w:iCs/>
          <w:spacing w:val="-5"/>
          <w:lang w:eastAsia="en-US"/>
        </w:rPr>
        <w:t>krüptovara</w:t>
      </w:r>
      <w:proofErr w:type="spellEnd"/>
      <w:r w:rsidR="00785EAB" w:rsidRPr="003331EF">
        <w:rPr>
          <w:iCs/>
          <w:spacing w:val="-5"/>
          <w:lang w:eastAsia="en-US"/>
        </w:rPr>
        <w:t xml:space="preserve"> või taotleb selle kauplemisele võtmist</w:t>
      </w:r>
      <w:r w:rsidR="001A4507" w:rsidRPr="003331EF">
        <w:rPr>
          <w:iCs/>
          <w:spacing w:val="-5"/>
          <w:lang w:eastAsia="en-US"/>
        </w:rPr>
        <w:t>.</w:t>
      </w:r>
    </w:p>
    <w:p w14:paraId="276C1CCC" w14:textId="77777777" w:rsidR="001A4507" w:rsidRPr="003331EF" w:rsidRDefault="001A4507" w:rsidP="003331EF">
      <w:pPr>
        <w:spacing w:before="0"/>
      </w:pPr>
    </w:p>
    <w:p w14:paraId="79998776" w14:textId="3F7CA3CA" w:rsidR="001A4507" w:rsidRPr="003331EF" w:rsidRDefault="001A4507" w:rsidP="003331EF">
      <w:pPr>
        <w:spacing w:before="0"/>
      </w:pP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 artikli 3 lõike 1 punkti 15 kohaselt on</w:t>
      </w:r>
      <w:r w:rsidRPr="003331EF">
        <w:t xml:space="preserve"> </w:t>
      </w:r>
      <w:proofErr w:type="spellStart"/>
      <w:r w:rsidRPr="003331EF">
        <w:rPr>
          <w:b/>
          <w:bCs/>
        </w:rPr>
        <w:t>krüptovarateenuse</w:t>
      </w:r>
      <w:proofErr w:type="spellEnd"/>
      <w:r w:rsidRPr="003331EF">
        <w:rPr>
          <w:b/>
          <w:bCs/>
        </w:rPr>
        <w:t xml:space="preserve"> osutaja</w:t>
      </w:r>
      <w:r w:rsidRPr="003331EF">
        <w:t xml:space="preserve"> </w:t>
      </w:r>
      <w:r w:rsidRPr="003331EF">
        <w:rPr>
          <w:iCs/>
          <w:spacing w:val="-5"/>
          <w:lang w:eastAsia="en-US"/>
        </w:rPr>
        <w:t xml:space="preserve">juriidiline isik või muu ettevõtja, kelle kutse- või äritegevus seisneb ühe või mitme </w:t>
      </w:r>
      <w:proofErr w:type="spellStart"/>
      <w:r w:rsidRPr="003331EF">
        <w:rPr>
          <w:iCs/>
          <w:spacing w:val="-5"/>
          <w:lang w:eastAsia="en-US"/>
        </w:rPr>
        <w:t>krüptovarateenuse</w:t>
      </w:r>
      <w:proofErr w:type="spellEnd"/>
      <w:r w:rsidRPr="003331EF">
        <w:rPr>
          <w:iCs/>
          <w:spacing w:val="-5"/>
          <w:lang w:eastAsia="en-US"/>
        </w:rPr>
        <w:t xml:space="preserve"> professionaalses osutamises kliendile ja kellel on lubatud osutada </w:t>
      </w:r>
      <w:proofErr w:type="spellStart"/>
      <w:r w:rsidRPr="003331EF">
        <w:rPr>
          <w:iCs/>
          <w:spacing w:val="-5"/>
          <w:lang w:eastAsia="en-US"/>
        </w:rPr>
        <w:t>krüptovarateenuseid</w:t>
      </w:r>
      <w:proofErr w:type="spellEnd"/>
      <w:r w:rsidRPr="003331EF">
        <w:rPr>
          <w:iCs/>
          <w:spacing w:val="-5"/>
          <w:lang w:eastAsia="en-US"/>
        </w:rPr>
        <w:t xml:space="preserve"> kooskõlas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 artikliga 59. Selliste teenuste esimesse kategooriasse kuuluvad </w:t>
      </w:r>
      <w:proofErr w:type="spellStart"/>
      <w:r w:rsidRPr="003331EF">
        <w:rPr>
          <w:iCs/>
          <w:spacing w:val="-5"/>
          <w:lang w:eastAsia="en-US"/>
        </w:rPr>
        <w:t>krüptovaraga</w:t>
      </w:r>
      <w:proofErr w:type="spellEnd"/>
      <w:r w:rsidRPr="003331EF">
        <w:rPr>
          <w:iCs/>
          <w:spacing w:val="-5"/>
          <w:lang w:eastAsia="en-US"/>
        </w:rPr>
        <w:t xml:space="preserve"> kauplemise platvormi korraldamine, </w:t>
      </w:r>
      <w:proofErr w:type="spellStart"/>
      <w:r w:rsidRPr="003331EF">
        <w:rPr>
          <w:iCs/>
          <w:spacing w:val="-5"/>
          <w:lang w:eastAsia="en-US"/>
        </w:rPr>
        <w:t>krüptovara</w:t>
      </w:r>
      <w:proofErr w:type="spellEnd"/>
      <w:r w:rsidRPr="003331EF">
        <w:rPr>
          <w:iCs/>
          <w:spacing w:val="-5"/>
          <w:lang w:eastAsia="en-US"/>
        </w:rPr>
        <w:t xml:space="preserve"> vahetamine rahaliste vahendite või muu </w:t>
      </w:r>
      <w:proofErr w:type="spellStart"/>
      <w:r w:rsidRPr="003331EF">
        <w:rPr>
          <w:iCs/>
          <w:spacing w:val="-5"/>
          <w:lang w:eastAsia="en-US"/>
        </w:rPr>
        <w:t>krüptovara</w:t>
      </w:r>
      <w:proofErr w:type="spellEnd"/>
      <w:r w:rsidRPr="003331EF">
        <w:rPr>
          <w:iCs/>
          <w:spacing w:val="-5"/>
          <w:lang w:eastAsia="en-US"/>
        </w:rPr>
        <w:t xml:space="preserve"> vastu oma arvel kauplemise teel, kliendi nimel </w:t>
      </w:r>
      <w:proofErr w:type="spellStart"/>
      <w:r w:rsidRPr="003331EF">
        <w:rPr>
          <w:iCs/>
          <w:spacing w:val="-5"/>
          <w:lang w:eastAsia="en-US"/>
        </w:rPr>
        <w:t>krüptovara</w:t>
      </w:r>
      <w:proofErr w:type="spellEnd"/>
      <w:r w:rsidRPr="003331EF">
        <w:rPr>
          <w:iCs/>
          <w:spacing w:val="-5"/>
          <w:lang w:eastAsia="en-US"/>
        </w:rPr>
        <w:t xml:space="preserve"> hoidmine ja haldamine ning </w:t>
      </w:r>
      <w:proofErr w:type="spellStart"/>
      <w:r w:rsidRPr="003331EF">
        <w:rPr>
          <w:iCs/>
          <w:spacing w:val="-5"/>
          <w:lang w:eastAsia="en-US"/>
        </w:rPr>
        <w:t>krüptovaraülekande</w:t>
      </w:r>
      <w:proofErr w:type="spellEnd"/>
      <w:r w:rsidRPr="003331EF">
        <w:rPr>
          <w:iCs/>
          <w:spacing w:val="-5"/>
          <w:lang w:eastAsia="en-US"/>
        </w:rPr>
        <w:t xml:space="preserve"> teenuste osutamine kliendi nimel. Selliste teenuste teise kategooriasse kuuluvad </w:t>
      </w:r>
      <w:proofErr w:type="spellStart"/>
      <w:r w:rsidRPr="003331EF">
        <w:rPr>
          <w:iCs/>
          <w:spacing w:val="-5"/>
          <w:lang w:eastAsia="en-US"/>
        </w:rPr>
        <w:t>krüptovara</w:t>
      </w:r>
      <w:proofErr w:type="spellEnd"/>
      <w:r w:rsidRPr="003331EF">
        <w:rPr>
          <w:iCs/>
          <w:spacing w:val="-5"/>
          <w:lang w:eastAsia="en-US"/>
        </w:rPr>
        <w:t xml:space="preserve"> suunatud pakkumine, </w:t>
      </w:r>
      <w:proofErr w:type="spellStart"/>
      <w:r w:rsidRPr="003331EF">
        <w:rPr>
          <w:iCs/>
          <w:spacing w:val="-5"/>
          <w:lang w:eastAsia="en-US"/>
        </w:rPr>
        <w:t>krüptovaraga</w:t>
      </w:r>
      <w:proofErr w:type="spellEnd"/>
      <w:r w:rsidRPr="003331EF">
        <w:rPr>
          <w:iCs/>
          <w:spacing w:val="-5"/>
          <w:lang w:eastAsia="en-US"/>
        </w:rPr>
        <w:t xml:space="preserve"> seotud korralduste vastuvõtmine või edastamine kliendi nimel, </w:t>
      </w:r>
      <w:proofErr w:type="spellStart"/>
      <w:r w:rsidRPr="003331EF">
        <w:rPr>
          <w:iCs/>
          <w:spacing w:val="-5"/>
          <w:lang w:eastAsia="en-US"/>
        </w:rPr>
        <w:t>krüptovaraga</w:t>
      </w:r>
      <w:proofErr w:type="spellEnd"/>
      <w:r w:rsidRPr="003331EF">
        <w:rPr>
          <w:iCs/>
          <w:spacing w:val="-5"/>
          <w:lang w:eastAsia="en-US"/>
        </w:rPr>
        <w:t xml:space="preserve"> seotud korralduste täitmine kliendi nimel, </w:t>
      </w:r>
      <w:proofErr w:type="spellStart"/>
      <w:r w:rsidRPr="003331EF">
        <w:rPr>
          <w:iCs/>
          <w:spacing w:val="-5"/>
          <w:lang w:eastAsia="en-US"/>
        </w:rPr>
        <w:t>krüptovara</w:t>
      </w:r>
      <w:proofErr w:type="spellEnd"/>
      <w:r w:rsidRPr="003331EF">
        <w:rPr>
          <w:iCs/>
          <w:spacing w:val="-5"/>
          <w:lang w:eastAsia="en-US"/>
        </w:rPr>
        <w:t xml:space="preserve"> kohta nõu andmine ning </w:t>
      </w:r>
      <w:proofErr w:type="spellStart"/>
      <w:r w:rsidRPr="003331EF">
        <w:rPr>
          <w:iCs/>
          <w:spacing w:val="-5"/>
          <w:lang w:eastAsia="en-US"/>
        </w:rPr>
        <w:t>krüptovaraportfelli</w:t>
      </w:r>
      <w:proofErr w:type="spellEnd"/>
      <w:r w:rsidRPr="003331EF">
        <w:rPr>
          <w:iCs/>
          <w:spacing w:val="-5"/>
          <w:lang w:eastAsia="en-US"/>
        </w:rPr>
        <w:t xml:space="preserve"> valitsemise teenuse osutamine.</w:t>
      </w:r>
      <w:r w:rsidRPr="003331EF">
        <w:t xml:space="preserve"> </w:t>
      </w:r>
    </w:p>
    <w:p w14:paraId="11EEB367" w14:textId="77777777" w:rsidR="001A4507" w:rsidRPr="003331EF" w:rsidRDefault="001A4507" w:rsidP="003331EF">
      <w:pPr>
        <w:spacing w:before="0"/>
      </w:pPr>
    </w:p>
    <w:p w14:paraId="0D6541E0" w14:textId="59C0838F" w:rsidR="001A4507" w:rsidRPr="003331EF" w:rsidRDefault="001A4507" w:rsidP="003331EF">
      <w:pPr>
        <w:spacing w:before="0"/>
        <w:rPr>
          <w:iCs/>
          <w:spacing w:val="-5"/>
          <w:lang w:eastAsia="en-US"/>
        </w:rPr>
      </w:pP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 artikli 3 lõike 1 punkti 10 kohaselt on </w:t>
      </w:r>
      <w:r w:rsidRPr="003331EF">
        <w:rPr>
          <w:b/>
          <w:bCs/>
          <w:iCs/>
          <w:spacing w:val="-5"/>
          <w:lang w:eastAsia="en-US"/>
        </w:rPr>
        <w:t xml:space="preserve">emitent </w:t>
      </w:r>
      <w:r w:rsidRPr="003331EF">
        <w:rPr>
          <w:iCs/>
          <w:spacing w:val="-5"/>
          <w:lang w:eastAsia="en-US"/>
        </w:rPr>
        <w:t xml:space="preserve">füüsiline või juriidiline isik või muu ettevõtja, kes emiteerib </w:t>
      </w:r>
      <w:proofErr w:type="spellStart"/>
      <w:r w:rsidRPr="003331EF">
        <w:rPr>
          <w:iCs/>
          <w:spacing w:val="-5"/>
          <w:lang w:eastAsia="en-US"/>
        </w:rPr>
        <w:t>krüptovara</w:t>
      </w:r>
      <w:proofErr w:type="spellEnd"/>
      <w:r w:rsidRPr="003331EF">
        <w:rPr>
          <w:iCs/>
          <w:spacing w:val="-5"/>
          <w:lang w:eastAsia="en-US"/>
        </w:rPr>
        <w:t xml:space="preserve">, sealjuures sama lõike punkti 5 kohaselt on </w:t>
      </w:r>
      <w:proofErr w:type="spellStart"/>
      <w:r w:rsidRPr="003331EF">
        <w:rPr>
          <w:iCs/>
          <w:spacing w:val="-5"/>
          <w:lang w:eastAsia="en-US"/>
        </w:rPr>
        <w:t>krüptovara</w:t>
      </w:r>
      <w:proofErr w:type="spellEnd"/>
      <w:r w:rsidRPr="003331EF">
        <w:rPr>
          <w:iCs/>
          <w:spacing w:val="-5"/>
          <w:lang w:eastAsia="en-US"/>
        </w:rPr>
        <w:t xml:space="preserve"> väärtuse või õiguse digitaalne esitus, mida on võimalik üle kanda ja salvestada elektrooniliselt, kasutades hajusraamatu tehnoloogiat või muud sarnast tehnoloogiat. </w:t>
      </w:r>
    </w:p>
    <w:p w14:paraId="009CDE7C" w14:textId="77777777" w:rsidR="001A4507" w:rsidRPr="003331EF" w:rsidRDefault="001A4507" w:rsidP="003331EF">
      <w:pPr>
        <w:spacing w:before="0"/>
      </w:pPr>
    </w:p>
    <w:p w14:paraId="1D0FDFB0" w14:textId="24C9F061" w:rsidR="001A4507" w:rsidRPr="003331EF" w:rsidRDefault="001A4507" w:rsidP="003331EF">
      <w:pPr>
        <w:spacing w:before="0"/>
        <w:rPr>
          <w:iCs/>
          <w:spacing w:val="-5"/>
          <w:lang w:eastAsia="en-US"/>
        </w:rPr>
      </w:pPr>
      <w:r w:rsidRPr="003331EF">
        <w:rPr>
          <w:iCs/>
          <w:spacing w:val="-5"/>
          <w:lang w:eastAsia="en-US"/>
        </w:rPr>
        <w:t xml:space="preserve">Väärtuse all tuleb mõista nö välist ja rahaliselt hinnatavat väärtust, mille tehingupooled või turuosalised on vastavale </w:t>
      </w:r>
      <w:proofErr w:type="spellStart"/>
      <w:r w:rsidRPr="003331EF">
        <w:rPr>
          <w:iCs/>
          <w:spacing w:val="-5"/>
          <w:lang w:eastAsia="en-US"/>
        </w:rPr>
        <w:t>krüptovarale</w:t>
      </w:r>
      <w:proofErr w:type="spellEnd"/>
      <w:r w:rsidRPr="003331EF">
        <w:rPr>
          <w:iCs/>
          <w:spacing w:val="-5"/>
          <w:lang w:eastAsia="en-US"/>
        </w:rPr>
        <w:t xml:space="preserve"> omistanud. </w:t>
      </w:r>
    </w:p>
    <w:p w14:paraId="050535F7" w14:textId="77777777" w:rsidR="001A4507" w:rsidRPr="003331EF" w:rsidRDefault="001A4507" w:rsidP="003331EF">
      <w:pPr>
        <w:spacing w:before="0"/>
      </w:pPr>
    </w:p>
    <w:p w14:paraId="33F3E73C" w14:textId="19634BEF" w:rsidR="001A4507" w:rsidRPr="003331EF" w:rsidRDefault="001A4507" w:rsidP="003331EF">
      <w:pPr>
        <w:spacing w:before="0"/>
        <w:rPr>
          <w:iCs/>
          <w:spacing w:val="-5"/>
          <w:lang w:eastAsia="en-US"/>
        </w:rPr>
      </w:pPr>
      <w:r w:rsidRPr="003331EF">
        <w:rPr>
          <w:iCs/>
          <w:spacing w:val="-5"/>
          <w:lang w:eastAsia="en-US"/>
        </w:rPr>
        <w:t xml:space="preserve">MICA määruse põhjenduspunkt </w:t>
      </w:r>
      <w:r w:rsidR="00D34999" w:rsidRPr="003331EF">
        <w:rPr>
          <w:iCs/>
          <w:spacing w:val="-5"/>
          <w:lang w:eastAsia="en-US"/>
        </w:rPr>
        <w:t xml:space="preserve">20 </w:t>
      </w:r>
      <w:r w:rsidRPr="003331EF">
        <w:rPr>
          <w:iCs/>
          <w:spacing w:val="-5"/>
          <w:lang w:eastAsia="en-US"/>
        </w:rPr>
        <w:t xml:space="preserve">selgitab, et </w:t>
      </w:r>
      <w:proofErr w:type="spellStart"/>
      <w:r w:rsidRPr="003331EF">
        <w:rPr>
          <w:iCs/>
          <w:spacing w:val="-5"/>
          <w:lang w:eastAsia="en-US"/>
        </w:rPr>
        <w:t>krüptovara</w:t>
      </w:r>
      <w:proofErr w:type="spellEnd"/>
      <w:r w:rsidRPr="003331EF">
        <w:rPr>
          <w:iCs/>
          <w:spacing w:val="-5"/>
          <w:lang w:eastAsia="en-US"/>
        </w:rPr>
        <w:t xml:space="preserve"> emitendid on üksused, kellel on kontroll </w:t>
      </w:r>
      <w:proofErr w:type="spellStart"/>
      <w:r w:rsidRPr="003331EF">
        <w:rPr>
          <w:iCs/>
          <w:spacing w:val="-5"/>
          <w:lang w:eastAsia="en-US"/>
        </w:rPr>
        <w:t>krüptovara</w:t>
      </w:r>
      <w:proofErr w:type="spellEnd"/>
      <w:r w:rsidRPr="003331EF">
        <w:rPr>
          <w:iCs/>
          <w:spacing w:val="-5"/>
          <w:lang w:eastAsia="en-US"/>
        </w:rPr>
        <w:t xml:space="preserve"> loomise üle.</w:t>
      </w:r>
    </w:p>
    <w:p w14:paraId="2EFAC838" w14:textId="77777777" w:rsidR="001A4507" w:rsidRPr="003331EF" w:rsidRDefault="001A4507" w:rsidP="003331EF">
      <w:pPr>
        <w:spacing w:before="0"/>
      </w:pPr>
    </w:p>
    <w:p w14:paraId="65DFDF40" w14:textId="66903451" w:rsidR="001A4507" w:rsidRPr="003331EF" w:rsidRDefault="001A4507" w:rsidP="003331EF">
      <w:pPr>
        <w:spacing w:before="0"/>
        <w:rPr>
          <w:iCs/>
          <w:spacing w:val="-5"/>
          <w:lang w:eastAsia="en-US"/>
        </w:rPr>
      </w:pPr>
      <w:proofErr w:type="spellStart"/>
      <w:r w:rsidRPr="003331EF">
        <w:rPr>
          <w:iCs/>
          <w:spacing w:val="-5"/>
          <w:lang w:eastAsia="en-US"/>
        </w:rPr>
        <w:t>Krüptovara</w:t>
      </w:r>
      <w:proofErr w:type="spellEnd"/>
      <w:r w:rsidRPr="003331EF">
        <w:rPr>
          <w:iCs/>
          <w:spacing w:val="-5"/>
          <w:lang w:eastAsia="en-US"/>
        </w:rPr>
        <w:t xml:space="preserve"> emitendid käesoleva seaduse tähenduses on varapõhise </w:t>
      </w:r>
      <w:proofErr w:type="spellStart"/>
      <w:r w:rsidRPr="003331EF">
        <w:rPr>
          <w:iCs/>
          <w:spacing w:val="-5"/>
          <w:lang w:eastAsia="en-US"/>
        </w:rPr>
        <w:t>tokeni</w:t>
      </w:r>
      <w:proofErr w:type="spellEnd"/>
      <w:r w:rsidRPr="003331EF">
        <w:rPr>
          <w:iCs/>
          <w:spacing w:val="-5"/>
          <w:lang w:eastAsia="en-US"/>
        </w:rPr>
        <w:t xml:space="preserve"> emitendid, e-raha </w:t>
      </w:r>
      <w:proofErr w:type="spellStart"/>
      <w:r w:rsidRPr="003331EF">
        <w:rPr>
          <w:iCs/>
          <w:spacing w:val="-5"/>
          <w:lang w:eastAsia="en-US"/>
        </w:rPr>
        <w:t>tokeni</w:t>
      </w:r>
      <w:proofErr w:type="spellEnd"/>
      <w:r w:rsidRPr="003331EF">
        <w:rPr>
          <w:iCs/>
          <w:spacing w:val="-5"/>
          <w:lang w:eastAsia="en-US"/>
        </w:rPr>
        <w:t xml:space="preserve"> emitendid ja muu </w:t>
      </w:r>
      <w:proofErr w:type="spellStart"/>
      <w:r w:rsidRPr="003331EF">
        <w:rPr>
          <w:iCs/>
          <w:spacing w:val="-5"/>
          <w:lang w:eastAsia="en-US"/>
        </w:rPr>
        <w:t>krüptovara</w:t>
      </w:r>
      <w:proofErr w:type="spellEnd"/>
      <w:r w:rsidRPr="003331EF">
        <w:rPr>
          <w:iCs/>
          <w:spacing w:val="-5"/>
          <w:lang w:eastAsia="en-US"/>
        </w:rPr>
        <w:t xml:space="preserve"> emitendid. Nimelt liigitatakse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määrusega </w:t>
      </w:r>
      <w:proofErr w:type="spellStart"/>
      <w:r w:rsidRPr="003331EF">
        <w:rPr>
          <w:iCs/>
          <w:spacing w:val="-5"/>
          <w:lang w:eastAsia="en-US"/>
        </w:rPr>
        <w:t>krüptovara</w:t>
      </w:r>
      <w:proofErr w:type="spellEnd"/>
      <w:r w:rsidRPr="003331EF">
        <w:rPr>
          <w:iCs/>
          <w:spacing w:val="-5"/>
          <w:lang w:eastAsia="en-US"/>
        </w:rPr>
        <w:t xml:space="preserve"> kolme kategooriasse, mida tuleks üksteisest eristada ja mille suhtes tuleks kohaldada erinevaid nõudeid sõltuvalt nendega kaasnevatest riskidest.</w:t>
      </w:r>
    </w:p>
    <w:p w14:paraId="588486B5" w14:textId="77777777" w:rsidR="001A4507" w:rsidRPr="003331EF" w:rsidRDefault="001A4507" w:rsidP="003331EF">
      <w:pPr>
        <w:spacing w:before="0"/>
      </w:pPr>
    </w:p>
    <w:p w14:paraId="6F30B7DA" w14:textId="14A5B893" w:rsidR="001A4507" w:rsidRPr="003331EF" w:rsidRDefault="001A4507" w:rsidP="003331EF">
      <w:pPr>
        <w:spacing w:before="0"/>
        <w:rPr>
          <w:iCs/>
          <w:spacing w:val="-5"/>
          <w:lang w:eastAsia="en-US"/>
        </w:rPr>
      </w:pPr>
      <w:r w:rsidRPr="003331EF">
        <w:rPr>
          <w:iCs/>
          <w:spacing w:val="-5"/>
          <w:lang w:eastAsia="en-US"/>
        </w:rPr>
        <w:t xml:space="preserve">Kui </w:t>
      </w:r>
      <w:proofErr w:type="spellStart"/>
      <w:r w:rsidRPr="003331EF">
        <w:rPr>
          <w:iCs/>
          <w:spacing w:val="-5"/>
          <w:lang w:eastAsia="en-US"/>
        </w:rPr>
        <w:t>krüptovaral</w:t>
      </w:r>
      <w:proofErr w:type="spellEnd"/>
      <w:r w:rsidRPr="003331EF">
        <w:rPr>
          <w:iCs/>
          <w:spacing w:val="-5"/>
          <w:lang w:eastAsia="en-US"/>
        </w:rPr>
        <w:t xml:space="preserve"> puudub identifitseeritav emitent, ei peaks see kuuluma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 II, III ega IV</w:t>
      </w:r>
      <w:r w:rsidR="00451BF0">
        <w:rPr>
          <w:iCs/>
          <w:spacing w:val="-5"/>
          <w:lang w:eastAsia="en-US"/>
        </w:rPr>
        <w:t> </w:t>
      </w:r>
      <w:r w:rsidRPr="003331EF">
        <w:rPr>
          <w:iCs/>
          <w:spacing w:val="-5"/>
          <w:lang w:eastAsia="en-US"/>
        </w:rPr>
        <w:t xml:space="preserve">jaotise kohaldamisalasse. </w:t>
      </w:r>
      <w:proofErr w:type="spellStart"/>
      <w:r w:rsidRPr="003331EF">
        <w:rPr>
          <w:iCs/>
          <w:spacing w:val="-5"/>
          <w:lang w:eastAsia="en-US"/>
        </w:rPr>
        <w:t>Krüptovarateenuse</w:t>
      </w:r>
      <w:proofErr w:type="spellEnd"/>
      <w:r w:rsidRPr="003331EF">
        <w:rPr>
          <w:iCs/>
          <w:spacing w:val="-5"/>
          <w:lang w:eastAsia="en-US"/>
        </w:rPr>
        <w:t xml:space="preserve"> osutajad, kes osutavad sellise </w:t>
      </w:r>
      <w:proofErr w:type="spellStart"/>
      <w:r w:rsidRPr="003331EF">
        <w:rPr>
          <w:iCs/>
          <w:spacing w:val="-5"/>
          <w:lang w:eastAsia="en-US"/>
        </w:rPr>
        <w:t>krüptovaraga</w:t>
      </w:r>
      <w:proofErr w:type="spellEnd"/>
      <w:r w:rsidRPr="003331EF">
        <w:rPr>
          <w:iCs/>
          <w:spacing w:val="-5"/>
          <w:lang w:eastAsia="en-US"/>
        </w:rPr>
        <w:t xml:space="preserve"> seotud teenuseid, on siiski määrusega hõlmatud.</w:t>
      </w:r>
    </w:p>
    <w:p w14:paraId="43B6FA9F" w14:textId="77777777" w:rsidR="00143093" w:rsidRPr="003331EF" w:rsidRDefault="00143093" w:rsidP="003331EF">
      <w:pPr>
        <w:spacing w:before="0"/>
        <w:rPr>
          <w:iCs/>
          <w:spacing w:val="-5"/>
          <w:lang w:eastAsia="en-US"/>
        </w:rPr>
      </w:pPr>
    </w:p>
    <w:p w14:paraId="431A9D58" w14:textId="037CC301" w:rsidR="00143093" w:rsidRPr="003331EF" w:rsidRDefault="00143093" w:rsidP="003331EF">
      <w:pPr>
        <w:spacing w:before="0"/>
        <w:rPr>
          <w:iCs/>
          <w:spacing w:val="-5"/>
          <w:lang w:eastAsia="en-US"/>
        </w:rPr>
      </w:pPr>
      <w:r w:rsidRPr="003331EF">
        <w:rPr>
          <w:iCs/>
          <w:spacing w:val="-5"/>
          <w:lang w:eastAsia="en-US"/>
        </w:rPr>
        <w:t>Paragrahvis</w:t>
      </w:r>
      <w:r w:rsidR="00451BF0">
        <w:rPr>
          <w:iCs/>
          <w:spacing w:val="-5"/>
          <w:lang w:eastAsia="en-US"/>
        </w:rPr>
        <w:t> </w:t>
      </w:r>
      <w:r w:rsidRPr="003331EF">
        <w:rPr>
          <w:iCs/>
          <w:spacing w:val="-5"/>
          <w:lang w:eastAsia="en-US"/>
        </w:rPr>
        <w:t xml:space="preserve">3 osutatud </w:t>
      </w:r>
      <w:proofErr w:type="spellStart"/>
      <w:r w:rsidRPr="003331EF">
        <w:rPr>
          <w:iCs/>
          <w:spacing w:val="-5"/>
          <w:lang w:eastAsia="en-US"/>
        </w:rPr>
        <w:t>krüptovaraturu</w:t>
      </w:r>
      <w:proofErr w:type="spellEnd"/>
      <w:r w:rsidRPr="003331EF">
        <w:rPr>
          <w:iCs/>
          <w:spacing w:val="-5"/>
          <w:lang w:eastAsia="en-US"/>
        </w:rPr>
        <w:t xml:space="preserve"> osalised on nii </w:t>
      </w:r>
      <w:proofErr w:type="spellStart"/>
      <w:r w:rsidRPr="003331EF">
        <w:rPr>
          <w:iCs/>
          <w:spacing w:val="-5"/>
          <w:lang w:eastAsia="en-US"/>
        </w:rPr>
        <w:t>MiCA</w:t>
      </w:r>
      <w:proofErr w:type="spellEnd"/>
      <w:r w:rsidRPr="003331EF">
        <w:rPr>
          <w:iCs/>
          <w:spacing w:val="-5"/>
          <w:lang w:eastAsia="en-US"/>
        </w:rPr>
        <w:t xml:space="preserve"> tegevusloa alusel tegutsevad </w:t>
      </w:r>
      <w:proofErr w:type="spellStart"/>
      <w:r w:rsidRPr="003331EF">
        <w:rPr>
          <w:iCs/>
          <w:spacing w:val="-5"/>
          <w:lang w:eastAsia="en-US"/>
        </w:rPr>
        <w:t>krüpt</w:t>
      </w:r>
      <w:r w:rsidR="00D25165">
        <w:rPr>
          <w:iCs/>
          <w:spacing w:val="-5"/>
          <w:lang w:eastAsia="en-US"/>
        </w:rPr>
        <w:t>o</w:t>
      </w:r>
      <w:r w:rsidRPr="003331EF">
        <w:rPr>
          <w:iCs/>
          <w:spacing w:val="-5"/>
          <w:lang w:eastAsia="en-US"/>
        </w:rPr>
        <w:t>varateenuse</w:t>
      </w:r>
      <w:proofErr w:type="spellEnd"/>
      <w:r w:rsidRPr="003331EF">
        <w:rPr>
          <w:iCs/>
          <w:spacing w:val="-5"/>
          <w:lang w:eastAsia="en-US"/>
        </w:rPr>
        <w:t xml:space="preserve"> osutajad ja varapõhise </w:t>
      </w:r>
      <w:proofErr w:type="spellStart"/>
      <w:r w:rsidRPr="003331EF">
        <w:rPr>
          <w:iCs/>
          <w:spacing w:val="-5"/>
          <w:lang w:eastAsia="en-US"/>
        </w:rPr>
        <w:t>tokeni</w:t>
      </w:r>
      <w:proofErr w:type="spellEnd"/>
      <w:r w:rsidRPr="003331EF">
        <w:rPr>
          <w:iCs/>
          <w:spacing w:val="-5"/>
          <w:lang w:eastAsia="en-US"/>
        </w:rPr>
        <w:t xml:space="preserve"> emitendid</w:t>
      </w:r>
      <w:r w:rsidR="00C75997" w:rsidRPr="003331EF">
        <w:rPr>
          <w:iCs/>
          <w:spacing w:val="-5"/>
          <w:lang w:eastAsia="en-US"/>
        </w:rPr>
        <w:t xml:space="preserve"> </w:t>
      </w:r>
      <w:r w:rsidRPr="003331EF">
        <w:rPr>
          <w:iCs/>
          <w:spacing w:val="-5"/>
          <w:lang w:eastAsia="en-US"/>
        </w:rPr>
        <w:t xml:space="preserve">kui ka isikud, kelle on </w:t>
      </w:r>
      <w:proofErr w:type="spellStart"/>
      <w:r w:rsidRPr="003331EF">
        <w:rPr>
          <w:iCs/>
          <w:spacing w:val="-5"/>
          <w:lang w:eastAsia="en-US"/>
        </w:rPr>
        <w:t>MiCA</w:t>
      </w:r>
      <w:proofErr w:type="spellEnd"/>
      <w:r w:rsidRPr="003331EF">
        <w:rPr>
          <w:iCs/>
          <w:spacing w:val="-5"/>
          <w:lang w:eastAsia="en-US"/>
        </w:rPr>
        <w:t xml:space="preserve"> määruse alusel selleks õigus, kuid eraldi tegevusluba </w:t>
      </w:r>
      <w:r w:rsidR="00C75997" w:rsidRPr="003331EF">
        <w:rPr>
          <w:iCs/>
          <w:spacing w:val="-5"/>
          <w:lang w:eastAsia="en-US"/>
        </w:rPr>
        <w:t xml:space="preserve">nad </w:t>
      </w:r>
      <w:r w:rsidRPr="003331EF">
        <w:rPr>
          <w:iCs/>
          <w:spacing w:val="-5"/>
          <w:lang w:eastAsia="en-US"/>
        </w:rPr>
        <w:t>taotlema</w:t>
      </w:r>
      <w:r w:rsidR="00C75997" w:rsidRPr="003331EF">
        <w:rPr>
          <w:iCs/>
          <w:spacing w:val="-5"/>
          <w:lang w:eastAsia="en-US"/>
        </w:rPr>
        <w:t xml:space="preserve"> </w:t>
      </w:r>
      <w:r w:rsidRPr="003331EF">
        <w:rPr>
          <w:iCs/>
          <w:spacing w:val="-5"/>
          <w:lang w:eastAsia="en-US"/>
        </w:rPr>
        <w:t xml:space="preserve">ei pea. </w:t>
      </w:r>
      <w:r w:rsidR="00785EAB" w:rsidRPr="003331EF">
        <w:rPr>
          <w:iCs/>
          <w:spacing w:val="-5"/>
          <w:lang w:eastAsia="en-US"/>
        </w:rPr>
        <w:t>K</w:t>
      </w:r>
      <w:r w:rsidRPr="003331EF">
        <w:rPr>
          <w:iCs/>
          <w:spacing w:val="-5"/>
          <w:lang w:eastAsia="en-US"/>
        </w:rPr>
        <w:t xml:space="preserve">ui </w:t>
      </w:r>
      <w:proofErr w:type="spellStart"/>
      <w:r w:rsidRPr="003331EF">
        <w:rPr>
          <w:iCs/>
          <w:spacing w:val="-5"/>
          <w:lang w:eastAsia="en-US"/>
        </w:rPr>
        <w:t>MiCA</w:t>
      </w:r>
      <w:proofErr w:type="spellEnd"/>
      <w:r w:rsidRPr="003331EF">
        <w:rPr>
          <w:iCs/>
          <w:spacing w:val="-5"/>
          <w:lang w:eastAsia="en-US"/>
        </w:rPr>
        <w:t xml:space="preserve"> määruse artikli 3 lõike</w:t>
      </w:r>
      <w:r w:rsidR="00451BF0">
        <w:rPr>
          <w:iCs/>
          <w:spacing w:val="-5"/>
          <w:lang w:eastAsia="en-US"/>
        </w:rPr>
        <w:t> </w:t>
      </w:r>
      <w:r w:rsidRPr="003331EF">
        <w:rPr>
          <w:iCs/>
          <w:spacing w:val="-5"/>
          <w:lang w:eastAsia="en-US"/>
        </w:rPr>
        <w:t>1 punktis</w:t>
      </w:r>
      <w:r w:rsidR="00451BF0">
        <w:rPr>
          <w:iCs/>
          <w:spacing w:val="-5"/>
          <w:lang w:eastAsia="en-US"/>
        </w:rPr>
        <w:t> </w:t>
      </w:r>
      <w:r w:rsidRPr="003331EF">
        <w:rPr>
          <w:iCs/>
          <w:spacing w:val="-5"/>
          <w:lang w:eastAsia="en-US"/>
        </w:rPr>
        <w:t xml:space="preserve">15 on defineeritud </w:t>
      </w:r>
      <w:proofErr w:type="spellStart"/>
      <w:r w:rsidRPr="003331EF">
        <w:rPr>
          <w:iCs/>
          <w:spacing w:val="-5"/>
          <w:lang w:eastAsia="en-US"/>
        </w:rPr>
        <w:t>krüptovarateenuse</w:t>
      </w:r>
      <w:proofErr w:type="spellEnd"/>
      <w:r w:rsidRPr="003331EF">
        <w:rPr>
          <w:iCs/>
          <w:spacing w:val="-5"/>
          <w:lang w:eastAsia="en-US"/>
        </w:rPr>
        <w:t xml:space="preserve"> osutaja, siis sõnastus viitab „juriidilisele isikule või </w:t>
      </w:r>
      <w:r w:rsidRPr="003331EF">
        <w:rPr>
          <w:iCs/>
          <w:spacing w:val="-5"/>
          <w:lang w:eastAsia="en-US"/>
        </w:rPr>
        <w:lastRenderedPageBreak/>
        <w:t xml:space="preserve">muule ettevõtjale, … kellel on lubatud osutada </w:t>
      </w:r>
      <w:proofErr w:type="spellStart"/>
      <w:r w:rsidRPr="003331EF">
        <w:rPr>
          <w:iCs/>
          <w:spacing w:val="-5"/>
          <w:lang w:eastAsia="en-US"/>
        </w:rPr>
        <w:t>krüptovarateenuseid</w:t>
      </w:r>
      <w:proofErr w:type="spellEnd"/>
      <w:r w:rsidRPr="003331EF">
        <w:rPr>
          <w:iCs/>
          <w:spacing w:val="-5"/>
          <w:lang w:eastAsia="en-US"/>
        </w:rPr>
        <w:t xml:space="preserve"> kooskõlas artikliga 59</w:t>
      </w:r>
      <w:r w:rsidR="00C75997" w:rsidRPr="003331EF">
        <w:rPr>
          <w:iCs/>
          <w:spacing w:val="-5"/>
          <w:lang w:eastAsia="en-US"/>
        </w:rPr>
        <w:t>“</w:t>
      </w:r>
      <w:r w:rsidRPr="003331EF">
        <w:rPr>
          <w:iCs/>
          <w:spacing w:val="-5"/>
          <w:lang w:eastAsia="en-US"/>
        </w:rPr>
        <w:t xml:space="preserve">. Viidatud luba ei tähenda ainult tegevusluba, vaid artikli 59 lõike 1 punkt b annab loa osutada </w:t>
      </w:r>
      <w:proofErr w:type="spellStart"/>
      <w:r w:rsidRPr="003331EF">
        <w:rPr>
          <w:iCs/>
          <w:spacing w:val="-5"/>
          <w:lang w:eastAsia="en-US"/>
        </w:rPr>
        <w:t>krüptovarateenust</w:t>
      </w:r>
      <w:proofErr w:type="spellEnd"/>
      <w:r w:rsidRPr="003331EF">
        <w:rPr>
          <w:iCs/>
          <w:spacing w:val="-5"/>
          <w:lang w:eastAsia="en-US"/>
        </w:rPr>
        <w:t xml:space="preserve"> finantssektori ettevõtjatel ka tegevusluba omamata. Sama on krediidiasutustega, kelle on </w:t>
      </w:r>
      <w:proofErr w:type="spellStart"/>
      <w:r w:rsidRPr="003331EF">
        <w:rPr>
          <w:iCs/>
          <w:spacing w:val="-5"/>
          <w:lang w:eastAsia="en-US"/>
        </w:rPr>
        <w:t>MiCA</w:t>
      </w:r>
      <w:proofErr w:type="spellEnd"/>
      <w:r w:rsidRPr="003331EF">
        <w:rPr>
          <w:iCs/>
          <w:spacing w:val="-5"/>
          <w:lang w:eastAsia="en-US"/>
        </w:rPr>
        <w:t xml:space="preserve"> määruse artikli 17 lõike 1 punkti b alusel luba varapõhist </w:t>
      </w:r>
      <w:proofErr w:type="spellStart"/>
      <w:r w:rsidRPr="003331EF">
        <w:rPr>
          <w:iCs/>
          <w:spacing w:val="-5"/>
          <w:lang w:eastAsia="en-US"/>
        </w:rPr>
        <w:t>tokenit</w:t>
      </w:r>
      <w:proofErr w:type="spellEnd"/>
      <w:r w:rsidRPr="003331EF">
        <w:rPr>
          <w:iCs/>
          <w:spacing w:val="-5"/>
          <w:lang w:eastAsia="en-US"/>
        </w:rPr>
        <w:t xml:space="preserve"> avalikult pakkuda või selle kauplemisele võtmist taotleda (</w:t>
      </w:r>
      <w:r w:rsidR="00C75997" w:rsidRPr="003331EF">
        <w:rPr>
          <w:iCs/>
          <w:spacing w:val="-5"/>
          <w:lang w:eastAsia="en-US"/>
        </w:rPr>
        <w:t xml:space="preserve">eraldi </w:t>
      </w:r>
      <w:r w:rsidRPr="003331EF">
        <w:rPr>
          <w:iCs/>
          <w:spacing w:val="-5"/>
          <w:lang w:eastAsia="en-US"/>
        </w:rPr>
        <w:t>tegevusluba omamata).</w:t>
      </w:r>
    </w:p>
    <w:p w14:paraId="610AC809" w14:textId="77777777" w:rsidR="004530A3" w:rsidRPr="003331EF" w:rsidRDefault="004530A3" w:rsidP="003331EF">
      <w:pPr>
        <w:spacing w:before="0"/>
        <w:rPr>
          <w:iCs/>
          <w:spacing w:val="-5"/>
          <w:lang w:eastAsia="en-US"/>
        </w:rPr>
      </w:pPr>
    </w:p>
    <w:p w14:paraId="107CAC78" w14:textId="54D02525" w:rsidR="004530A3" w:rsidRPr="003331EF" w:rsidRDefault="004530A3" w:rsidP="003331EF">
      <w:pPr>
        <w:spacing w:before="0"/>
        <w:rPr>
          <w:iCs/>
          <w:spacing w:val="-5"/>
          <w:lang w:eastAsia="en-US"/>
        </w:rPr>
      </w:pPr>
      <w:proofErr w:type="spellStart"/>
      <w:r w:rsidRPr="003331EF">
        <w:rPr>
          <w:iCs/>
          <w:spacing w:val="-5"/>
          <w:lang w:eastAsia="en-US"/>
        </w:rPr>
        <w:t>Krüptovaraturu</w:t>
      </w:r>
      <w:proofErr w:type="spellEnd"/>
      <w:r w:rsidRPr="003331EF">
        <w:rPr>
          <w:iCs/>
          <w:spacing w:val="-5"/>
          <w:lang w:eastAsia="en-US"/>
        </w:rPr>
        <w:t xml:space="preserve"> osaline on ka muu </w:t>
      </w:r>
      <w:proofErr w:type="spellStart"/>
      <w:r w:rsidRPr="003331EF">
        <w:rPr>
          <w:iCs/>
          <w:spacing w:val="-5"/>
          <w:lang w:eastAsia="en-US"/>
        </w:rPr>
        <w:t>krüptovara</w:t>
      </w:r>
      <w:proofErr w:type="spellEnd"/>
      <w:r w:rsidRPr="003331EF">
        <w:rPr>
          <w:iCs/>
          <w:spacing w:val="-5"/>
          <w:lang w:eastAsia="en-US"/>
        </w:rPr>
        <w:t xml:space="preserve"> pakkuja ja muu </w:t>
      </w:r>
      <w:proofErr w:type="spellStart"/>
      <w:r w:rsidRPr="003331EF">
        <w:rPr>
          <w:iCs/>
          <w:spacing w:val="-5"/>
          <w:lang w:eastAsia="en-US"/>
        </w:rPr>
        <w:t>krüptovara</w:t>
      </w:r>
      <w:proofErr w:type="spellEnd"/>
      <w:r w:rsidRPr="003331EF">
        <w:rPr>
          <w:iCs/>
          <w:spacing w:val="-5"/>
          <w:lang w:eastAsia="en-US"/>
        </w:rPr>
        <w:t xml:space="preserve"> kauplemisele võtmist taotlev isik. Kuigi § 2 lõige 1 juba määratleb, et käesolev seadus kohaldub ainult  </w:t>
      </w:r>
      <w:proofErr w:type="spellStart"/>
      <w:r w:rsidRPr="003331EF">
        <w:rPr>
          <w:iCs/>
          <w:spacing w:val="-5"/>
          <w:lang w:eastAsia="en-US"/>
        </w:rPr>
        <w:t>MiCA</w:t>
      </w:r>
      <w:proofErr w:type="spellEnd"/>
      <w:r w:rsidRPr="003331EF">
        <w:rPr>
          <w:iCs/>
          <w:spacing w:val="-5"/>
          <w:lang w:eastAsia="en-US"/>
        </w:rPr>
        <w:t xml:space="preserve"> määruse kohaldamisala ulatuses</w:t>
      </w:r>
      <w:r w:rsidR="002563BC" w:rsidRPr="003331EF">
        <w:rPr>
          <w:iCs/>
          <w:spacing w:val="-5"/>
          <w:lang w:eastAsia="en-US"/>
        </w:rPr>
        <w:t xml:space="preserve"> olevatele isikutele</w:t>
      </w:r>
      <w:r w:rsidRPr="003331EF">
        <w:rPr>
          <w:iCs/>
          <w:spacing w:val="-5"/>
          <w:lang w:eastAsia="en-US"/>
        </w:rPr>
        <w:t xml:space="preserve">, on muu </w:t>
      </w:r>
      <w:proofErr w:type="spellStart"/>
      <w:r w:rsidRPr="003331EF">
        <w:rPr>
          <w:iCs/>
          <w:spacing w:val="-5"/>
          <w:lang w:eastAsia="en-US"/>
        </w:rPr>
        <w:t>krüptovara</w:t>
      </w:r>
      <w:proofErr w:type="spellEnd"/>
      <w:r w:rsidRPr="003331EF">
        <w:rPr>
          <w:iCs/>
          <w:spacing w:val="-5"/>
          <w:lang w:eastAsia="en-US"/>
        </w:rPr>
        <w:t xml:space="preserve"> pakkujate ja kau</w:t>
      </w:r>
      <w:r w:rsidR="00D25165">
        <w:rPr>
          <w:iCs/>
          <w:spacing w:val="-5"/>
          <w:lang w:eastAsia="en-US"/>
        </w:rPr>
        <w:t>p</w:t>
      </w:r>
      <w:r w:rsidRPr="003331EF">
        <w:rPr>
          <w:iCs/>
          <w:spacing w:val="-5"/>
          <w:lang w:eastAsia="en-US"/>
        </w:rPr>
        <w:t xml:space="preserve">lemisele võtmist taotlevate isikute puhul lisatud </w:t>
      </w:r>
      <w:r w:rsidR="002563BC" w:rsidRPr="003331EF">
        <w:rPr>
          <w:iCs/>
          <w:spacing w:val="-5"/>
          <w:lang w:eastAsia="en-US"/>
        </w:rPr>
        <w:t xml:space="preserve">sellegi poolest </w:t>
      </w:r>
      <w:r w:rsidRPr="003331EF">
        <w:rPr>
          <w:iCs/>
          <w:spacing w:val="-5"/>
          <w:lang w:eastAsia="en-US"/>
        </w:rPr>
        <w:t xml:space="preserve">täpsustus, et juhul, kui selline isik ei kuulu </w:t>
      </w:r>
      <w:proofErr w:type="spellStart"/>
      <w:r w:rsidRPr="003331EF">
        <w:rPr>
          <w:iCs/>
          <w:spacing w:val="-5"/>
          <w:lang w:eastAsia="en-US"/>
        </w:rPr>
        <w:t>MiCA</w:t>
      </w:r>
      <w:proofErr w:type="spellEnd"/>
      <w:r w:rsidRPr="003331EF">
        <w:rPr>
          <w:iCs/>
          <w:spacing w:val="-5"/>
          <w:lang w:eastAsia="en-US"/>
        </w:rPr>
        <w:t xml:space="preserve"> kohaldamisulatusse, siis ei ole tegemist ka </w:t>
      </w:r>
      <w:proofErr w:type="spellStart"/>
      <w:r w:rsidRPr="003331EF">
        <w:rPr>
          <w:iCs/>
          <w:spacing w:val="-5"/>
          <w:lang w:eastAsia="en-US"/>
        </w:rPr>
        <w:t>krüptovaraturu</w:t>
      </w:r>
      <w:proofErr w:type="spellEnd"/>
      <w:r w:rsidRPr="003331EF">
        <w:rPr>
          <w:iCs/>
          <w:spacing w:val="-5"/>
          <w:lang w:eastAsia="en-US"/>
        </w:rPr>
        <w:t xml:space="preserve"> osalisega </w:t>
      </w:r>
      <w:r w:rsidR="002563BC" w:rsidRPr="003331EF">
        <w:rPr>
          <w:iCs/>
          <w:spacing w:val="-5"/>
          <w:lang w:eastAsia="en-US"/>
        </w:rPr>
        <w:t xml:space="preserve">käesoleva </w:t>
      </w:r>
      <w:r w:rsidRPr="003331EF">
        <w:rPr>
          <w:iCs/>
          <w:spacing w:val="-5"/>
          <w:lang w:eastAsia="en-US"/>
        </w:rPr>
        <w:t>seaduse tähenduses</w:t>
      </w:r>
      <w:r w:rsidR="000B318D" w:rsidRPr="003331EF">
        <w:rPr>
          <w:iCs/>
          <w:spacing w:val="-5"/>
          <w:lang w:eastAsia="en-US"/>
        </w:rPr>
        <w:t xml:space="preserve"> (vt selgitust ka § 2 lõike 1 juures).</w:t>
      </w:r>
    </w:p>
    <w:p w14:paraId="3B0A07D4" w14:textId="77777777" w:rsidR="001A4507" w:rsidRPr="003331EF" w:rsidRDefault="001A4507" w:rsidP="003331EF">
      <w:pPr>
        <w:spacing w:before="0"/>
      </w:pPr>
    </w:p>
    <w:p w14:paraId="0ADB1D92" w14:textId="0D9E6A80" w:rsidR="001A4507" w:rsidRPr="003331EF" w:rsidRDefault="001A4507" w:rsidP="003331EF">
      <w:pPr>
        <w:spacing w:before="0"/>
        <w:rPr>
          <w:iCs/>
          <w:spacing w:val="-5"/>
          <w:lang w:eastAsia="en-US"/>
        </w:rPr>
      </w:pPr>
      <w:r w:rsidRPr="003331EF">
        <w:rPr>
          <w:b/>
          <w:bCs/>
        </w:rPr>
        <w:t>Lõige 2</w:t>
      </w:r>
      <w:r w:rsidRPr="003331EF">
        <w:t xml:space="preserve"> </w:t>
      </w:r>
      <w:r w:rsidRPr="003331EF">
        <w:rPr>
          <w:iCs/>
          <w:spacing w:val="-5"/>
          <w:lang w:eastAsia="en-US"/>
        </w:rPr>
        <w:t xml:space="preserve">defineerib varapõhise </w:t>
      </w:r>
      <w:proofErr w:type="spellStart"/>
      <w:r w:rsidRPr="003331EF">
        <w:rPr>
          <w:iCs/>
          <w:spacing w:val="-5"/>
          <w:lang w:eastAsia="en-US"/>
        </w:rPr>
        <w:t>tokeni</w:t>
      </w:r>
      <w:proofErr w:type="spellEnd"/>
      <w:r w:rsidRPr="003331EF">
        <w:rPr>
          <w:iCs/>
          <w:spacing w:val="-5"/>
          <w:lang w:eastAsia="en-US"/>
        </w:rPr>
        <w:t xml:space="preserve"> emitendi. Tegemist on isikuga, kes emiteerib varapõhist </w:t>
      </w:r>
      <w:proofErr w:type="spellStart"/>
      <w:r w:rsidRPr="003331EF">
        <w:rPr>
          <w:iCs/>
          <w:spacing w:val="-5"/>
          <w:lang w:eastAsia="en-US"/>
        </w:rPr>
        <w:t>tokenit</w:t>
      </w:r>
      <w:proofErr w:type="spellEnd"/>
      <w:r w:rsidRPr="003331EF">
        <w:rPr>
          <w:iCs/>
          <w:spacing w:val="-5"/>
          <w:lang w:eastAsia="en-US"/>
        </w:rPr>
        <w:t xml:space="preserve">.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 artikli 3 lõike 1 punktis 6 on defineeritud, et varapõhise </w:t>
      </w:r>
      <w:proofErr w:type="spellStart"/>
      <w:r w:rsidRPr="003331EF">
        <w:rPr>
          <w:iCs/>
          <w:spacing w:val="-5"/>
          <w:lang w:eastAsia="en-US"/>
        </w:rPr>
        <w:t>tokeni</w:t>
      </w:r>
      <w:proofErr w:type="spellEnd"/>
      <w:r w:rsidRPr="003331EF">
        <w:rPr>
          <w:iCs/>
          <w:spacing w:val="-5"/>
          <w:lang w:eastAsia="en-US"/>
        </w:rPr>
        <w:t xml:space="preserve"> puhul on tegemist </w:t>
      </w:r>
      <w:proofErr w:type="spellStart"/>
      <w:r w:rsidRPr="003331EF">
        <w:rPr>
          <w:iCs/>
          <w:spacing w:val="-5"/>
          <w:lang w:eastAsia="en-US"/>
        </w:rPr>
        <w:t>krüptovara</w:t>
      </w:r>
      <w:proofErr w:type="spellEnd"/>
      <w:r w:rsidRPr="003331EF">
        <w:rPr>
          <w:iCs/>
          <w:spacing w:val="-5"/>
          <w:lang w:eastAsia="en-US"/>
        </w:rPr>
        <w:t xml:space="preserve"> liigiga, mis ei ole e-raha </w:t>
      </w:r>
      <w:proofErr w:type="spellStart"/>
      <w:r w:rsidRPr="003331EF">
        <w:rPr>
          <w:iCs/>
          <w:spacing w:val="-5"/>
          <w:lang w:eastAsia="en-US"/>
        </w:rPr>
        <w:t>token</w:t>
      </w:r>
      <w:proofErr w:type="spellEnd"/>
      <w:r w:rsidRPr="003331EF">
        <w:rPr>
          <w:iCs/>
          <w:spacing w:val="-5"/>
          <w:lang w:eastAsia="en-US"/>
        </w:rPr>
        <w:t xml:space="preserve"> ja mille eesmärk on säilitada stabiilne väärtus, järgides mõnda muud väärtust või õigust või nende kombinatsiooni, sealhulgas üht või mitut ametlikku vääringut. See hõlmab igasugust </w:t>
      </w:r>
      <w:proofErr w:type="spellStart"/>
      <w:r w:rsidRPr="003331EF">
        <w:rPr>
          <w:iCs/>
          <w:spacing w:val="-5"/>
          <w:lang w:eastAsia="en-US"/>
        </w:rPr>
        <w:t>krüptovara</w:t>
      </w:r>
      <w:proofErr w:type="spellEnd"/>
      <w:r w:rsidRPr="003331EF">
        <w:rPr>
          <w:iCs/>
          <w:spacing w:val="-5"/>
          <w:lang w:eastAsia="en-US"/>
        </w:rPr>
        <w:t xml:space="preserve">, välja arvatud e-raha </w:t>
      </w:r>
      <w:proofErr w:type="spellStart"/>
      <w:r w:rsidRPr="003331EF">
        <w:rPr>
          <w:iCs/>
          <w:spacing w:val="-5"/>
          <w:lang w:eastAsia="en-US"/>
        </w:rPr>
        <w:t>tokenid</w:t>
      </w:r>
      <w:proofErr w:type="spellEnd"/>
      <w:r w:rsidRPr="003331EF">
        <w:rPr>
          <w:iCs/>
          <w:spacing w:val="-5"/>
          <w:lang w:eastAsia="en-US"/>
        </w:rPr>
        <w:t>, mille väärtus on tagatud varaga, et vältida kõrvalehoidmist ja muuta käesolev määrus tulevikukindlaks.</w:t>
      </w:r>
    </w:p>
    <w:p w14:paraId="130A1D71" w14:textId="77777777" w:rsidR="001A4507" w:rsidRPr="003331EF" w:rsidRDefault="001A4507" w:rsidP="003331EF">
      <w:pPr>
        <w:spacing w:before="0"/>
        <w:rPr>
          <w:iCs/>
          <w:spacing w:val="-5"/>
          <w:lang w:eastAsia="en-US"/>
        </w:rPr>
      </w:pPr>
    </w:p>
    <w:p w14:paraId="061842C2" w14:textId="630C70EA" w:rsidR="001A4507" w:rsidRPr="003331EF" w:rsidRDefault="001A4507" w:rsidP="003331EF">
      <w:pPr>
        <w:spacing w:before="0"/>
        <w:rPr>
          <w:iCs/>
          <w:spacing w:val="-5"/>
          <w:lang w:eastAsia="en-US"/>
        </w:rPr>
      </w:pPr>
      <w:r w:rsidRPr="003331EF">
        <w:rPr>
          <w:iCs/>
          <w:spacing w:val="-5"/>
          <w:lang w:eastAsia="en-US"/>
        </w:rPr>
        <w:t xml:space="preserve">Varapõhised </w:t>
      </w:r>
      <w:proofErr w:type="spellStart"/>
      <w:r w:rsidRPr="003331EF">
        <w:rPr>
          <w:iCs/>
          <w:spacing w:val="-5"/>
          <w:lang w:eastAsia="en-US"/>
        </w:rPr>
        <w:t>tokenid</w:t>
      </w:r>
      <w:proofErr w:type="spellEnd"/>
      <w:r w:rsidRPr="003331EF">
        <w:rPr>
          <w:iCs/>
          <w:spacing w:val="-5"/>
          <w:lang w:eastAsia="en-US"/>
        </w:rPr>
        <w:t xml:space="preserve"> võidakse laialdaselt kasutusele võtta väärtuse ülekandmiseks või vahetusvahendina ning seega kujutavad nad endast muu </w:t>
      </w:r>
      <w:proofErr w:type="spellStart"/>
      <w:r w:rsidRPr="003331EF">
        <w:rPr>
          <w:iCs/>
          <w:spacing w:val="-5"/>
          <w:lang w:eastAsia="en-US"/>
        </w:rPr>
        <w:t>krüptovaraga</w:t>
      </w:r>
      <w:proofErr w:type="spellEnd"/>
      <w:r w:rsidRPr="003331EF">
        <w:rPr>
          <w:iCs/>
          <w:spacing w:val="-5"/>
          <w:lang w:eastAsia="en-US"/>
        </w:rPr>
        <w:t xml:space="preserve"> võrreldes suuremat riski </w:t>
      </w:r>
      <w:proofErr w:type="spellStart"/>
      <w:r w:rsidRPr="003331EF">
        <w:rPr>
          <w:iCs/>
          <w:spacing w:val="-5"/>
          <w:lang w:eastAsia="en-US"/>
        </w:rPr>
        <w:t>krüptovara</w:t>
      </w:r>
      <w:proofErr w:type="spellEnd"/>
      <w:r w:rsidRPr="003331EF">
        <w:rPr>
          <w:iCs/>
          <w:spacing w:val="-5"/>
          <w:lang w:eastAsia="en-US"/>
        </w:rPr>
        <w:t xml:space="preserve"> omanike, eelkõige </w:t>
      </w:r>
      <w:proofErr w:type="spellStart"/>
      <w:r w:rsidRPr="003331EF">
        <w:rPr>
          <w:iCs/>
          <w:spacing w:val="-5"/>
          <w:lang w:eastAsia="en-US"/>
        </w:rPr>
        <w:t>jaeklientide</w:t>
      </w:r>
      <w:proofErr w:type="spellEnd"/>
      <w:r w:rsidRPr="003331EF">
        <w:rPr>
          <w:iCs/>
          <w:spacing w:val="-5"/>
          <w:lang w:eastAsia="en-US"/>
        </w:rPr>
        <w:t xml:space="preserve"> kaitse ja turu usaldusväärsuse seisukohast. Varapõhiste </w:t>
      </w:r>
      <w:proofErr w:type="spellStart"/>
      <w:r w:rsidRPr="003331EF">
        <w:rPr>
          <w:iCs/>
          <w:spacing w:val="-5"/>
          <w:lang w:eastAsia="en-US"/>
        </w:rPr>
        <w:t>tokenite</w:t>
      </w:r>
      <w:proofErr w:type="spellEnd"/>
      <w:r w:rsidRPr="003331EF">
        <w:rPr>
          <w:iCs/>
          <w:spacing w:val="-5"/>
          <w:lang w:eastAsia="en-US"/>
        </w:rPr>
        <w:t xml:space="preserve"> emitentide suhtes kohaldatakse rangemaid nõudeid kui näiteks muu </w:t>
      </w:r>
      <w:proofErr w:type="spellStart"/>
      <w:r w:rsidRPr="003331EF">
        <w:rPr>
          <w:iCs/>
          <w:spacing w:val="-5"/>
          <w:lang w:eastAsia="en-US"/>
        </w:rPr>
        <w:t>krüptovara</w:t>
      </w:r>
      <w:proofErr w:type="spellEnd"/>
      <w:r w:rsidRPr="003331EF">
        <w:rPr>
          <w:iCs/>
          <w:spacing w:val="-5"/>
          <w:lang w:eastAsia="en-US"/>
        </w:rPr>
        <w:t xml:space="preserve"> emitentide suhtes.</w:t>
      </w:r>
    </w:p>
    <w:p w14:paraId="6BC5C39F" w14:textId="77777777" w:rsidR="001A4507" w:rsidRPr="003331EF" w:rsidRDefault="001A4507" w:rsidP="003331EF">
      <w:pPr>
        <w:spacing w:before="0"/>
      </w:pPr>
    </w:p>
    <w:p w14:paraId="1CEE9EFA" w14:textId="6AED5537" w:rsidR="001A4507" w:rsidRPr="003331EF" w:rsidRDefault="001A4507" w:rsidP="003331EF">
      <w:pPr>
        <w:spacing w:before="0"/>
      </w:pPr>
      <w:r w:rsidRPr="003331EF">
        <w:rPr>
          <w:b/>
          <w:bCs/>
        </w:rPr>
        <w:t xml:space="preserve">Lõige 3. </w:t>
      </w:r>
      <w:r w:rsidRPr="003331EF">
        <w:rPr>
          <w:iCs/>
          <w:spacing w:val="-5"/>
          <w:lang w:eastAsia="en-US"/>
        </w:rPr>
        <w:t xml:space="preserve">E-raha </w:t>
      </w:r>
      <w:proofErr w:type="spellStart"/>
      <w:r w:rsidRPr="003331EF">
        <w:rPr>
          <w:iCs/>
          <w:spacing w:val="-5"/>
          <w:lang w:eastAsia="en-US"/>
        </w:rPr>
        <w:t>tokeni</w:t>
      </w:r>
      <w:proofErr w:type="spellEnd"/>
      <w:r w:rsidRPr="003331EF">
        <w:rPr>
          <w:iCs/>
          <w:spacing w:val="-5"/>
          <w:lang w:eastAsia="en-US"/>
        </w:rPr>
        <w:t xml:space="preserve"> emitendi puhul on tegemist krediidiasutuse või e-raha asutusega, kes emiteerib e-raha </w:t>
      </w:r>
      <w:proofErr w:type="spellStart"/>
      <w:r w:rsidRPr="003331EF">
        <w:rPr>
          <w:iCs/>
          <w:spacing w:val="-5"/>
          <w:lang w:eastAsia="en-US"/>
        </w:rPr>
        <w:t>tokenit</w:t>
      </w:r>
      <w:proofErr w:type="spellEnd"/>
      <w:r w:rsidRPr="003331EF">
        <w:rPr>
          <w:iCs/>
          <w:spacing w:val="-5"/>
          <w:lang w:eastAsia="en-US"/>
        </w:rPr>
        <w:t xml:space="preserve">.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 artikli 3 lõike 1 punktis 7 on defineeritud, et e-raha </w:t>
      </w:r>
      <w:proofErr w:type="spellStart"/>
      <w:r w:rsidRPr="003331EF">
        <w:rPr>
          <w:iCs/>
          <w:spacing w:val="-5"/>
          <w:lang w:eastAsia="en-US"/>
        </w:rPr>
        <w:t>tokeni</w:t>
      </w:r>
      <w:proofErr w:type="spellEnd"/>
      <w:r w:rsidRPr="003331EF">
        <w:rPr>
          <w:iCs/>
          <w:spacing w:val="-5"/>
          <w:lang w:eastAsia="en-US"/>
        </w:rPr>
        <w:t xml:space="preserve"> puhul on tegemist </w:t>
      </w:r>
      <w:proofErr w:type="spellStart"/>
      <w:r w:rsidRPr="003331EF">
        <w:rPr>
          <w:iCs/>
          <w:spacing w:val="-5"/>
          <w:lang w:eastAsia="en-US"/>
        </w:rPr>
        <w:t>krüptovara</w:t>
      </w:r>
      <w:proofErr w:type="spellEnd"/>
      <w:r w:rsidRPr="003331EF">
        <w:rPr>
          <w:iCs/>
          <w:spacing w:val="-5"/>
          <w:lang w:eastAsia="en-US"/>
        </w:rPr>
        <w:t xml:space="preserve"> liigiga, mille eesmärk on säilitada stabiilne väärtus, järgides ametliku vääringu väärtust. Sellise </w:t>
      </w:r>
      <w:proofErr w:type="spellStart"/>
      <w:r w:rsidRPr="003331EF">
        <w:rPr>
          <w:iCs/>
          <w:spacing w:val="-5"/>
          <w:lang w:eastAsia="en-US"/>
        </w:rPr>
        <w:t>krüptovara</w:t>
      </w:r>
      <w:proofErr w:type="spellEnd"/>
      <w:r w:rsidRPr="003331EF">
        <w:rPr>
          <w:iCs/>
          <w:spacing w:val="-5"/>
          <w:lang w:eastAsia="en-US"/>
        </w:rPr>
        <w:t xml:space="preserve"> funktsioon on väga sarnane direktiivis 2009/110/EL määratletud e-raha funktsiooniga. Sarnaselt e-rahale on selline </w:t>
      </w:r>
      <w:proofErr w:type="spellStart"/>
      <w:r w:rsidRPr="003331EF">
        <w:rPr>
          <w:iCs/>
          <w:spacing w:val="-5"/>
          <w:lang w:eastAsia="en-US"/>
        </w:rPr>
        <w:t>krüptovara</w:t>
      </w:r>
      <w:proofErr w:type="spellEnd"/>
      <w:r w:rsidRPr="003331EF">
        <w:rPr>
          <w:iCs/>
          <w:spacing w:val="-5"/>
          <w:lang w:eastAsia="en-US"/>
        </w:rPr>
        <w:t xml:space="preserve"> müntide ja pangatähtede elektrooniline asendaja ning seda kasutatakse tõenäoliselt maksete tegemiseks.</w:t>
      </w:r>
    </w:p>
    <w:p w14:paraId="0955AC2C" w14:textId="77777777" w:rsidR="001A4507" w:rsidRPr="003331EF" w:rsidRDefault="001A4507" w:rsidP="003331EF">
      <w:pPr>
        <w:spacing w:before="0"/>
      </w:pPr>
    </w:p>
    <w:p w14:paraId="08D62751" w14:textId="5FE46458" w:rsidR="00507218" w:rsidRPr="003331EF" w:rsidRDefault="001A4507" w:rsidP="003331EF">
      <w:pPr>
        <w:spacing w:before="0"/>
      </w:pPr>
      <w:r w:rsidRPr="003331EF">
        <w:rPr>
          <w:b/>
          <w:bCs/>
        </w:rPr>
        <w:t>Lõige 4</w:t>
      </w:r>
      <w:r w:rsidRPr="003331EF">
        <w:t>.</w:t>
      </w:r>
      <w:r w:rsidR="00DB7CA5" w:rsidRPr="003331EF">
        <w:t xml:space="preserve"> Muu </w:t>
      </w:r>
      <w:proofErr w:type="spellStart"/>
      <w:r w:rsidR="00DB7CA5" w:rsidRPr="003331EF">
        <w:t>krüptovara</w:t>
      </w:r>
      <w:proofErr w:type="spellEnd"/>
      <w:r w:rsidR="00DB7CA5" w:rsidRPr="003331EF">
        <w:t xml:space="preserve"> pakkuja puhul on tegemist isikuga, kes avalikult pakub muud </w:t>
      </w:r>
      <w:proofErr w:type="spellStart"/>
      <w:r w:rsidR="00DB7CA5" w:rsidRPr="003331EF">
        <w:t>krüptovara</w:t>
      </w:r>
      <w:proofErr w:type="spellEnd"/>
      <w:r w:rsidR="00DB7CA5" w:rsidRPr="003331EF">
        <w:t xml:space="preserve">. Nagu eespool osutatud, on muu </w:t>
      </w:r>
      <w:proofErr w:type="spellStart"/>
      <w:r w:rsidR="00DB7CA5" w:rsidRPr="003331EF">
        <w:t>krüptovara</w:t>
      </w:r>
      <w:proofErr w:type="spellEnd"/>
      <w:r w:rsidR="00DB7CA5" w:rsidRPr="003331EF">
        <w:t xml:space="preserve"> puhul tegemist </w:t>
      </w:r>
      <w:proofErr w:type="spellStart"/>
      <w:r w:rsidR="00507218" w:rsidRPr="003331EF">
        <w:t>krüptovaraga</w:t>
      </w:r>
      <w:proofErr w:type="spellEnd"/>
      <w:r w:rsidR="00507218" w:rsidRPr="003331EF">
        <w:t xml:space="preserve">, mis ei ole määratletav kui varapõhine </w:t>
      </w:r>
      <w:proofErr w:type="spellStart"/>
      <w:r w:rsidR="00507218" w:rsidRPr="003331EF">
        <w:t>token</w:t>
      </w:r>
      <w:proofErr w:type="spellEnd"/>
      <w:r w:rsidR="00507218" w:rsidRPr="003331EF">
        <w:t xml:space="preserve"> või e-raha </w:t>
      </w:r>
      <w:proofErr w:type="spellStart"/>
      <w:r w:rsidR="00507218" w:rsidRPr="003331EF">
        <w:t>token</w:t>
      </w:r>
      <w:proofErr w:type="spellEnd"/>
      <w:r w:rsidR="00507218" w:rsidRPr="003331EF">
        <w:t xml:space="preserve">. Avalik pakkumine on defineeritud </w:t>
      </w:r>
      <w:proofErr w:type="spellStart"/>
      <w:r w:rsidR="00507218" w:rsidRPr="003331EF">
        <w:t>MiCA</w:t>
      </w:r>
      <w:proofErr w:type="spellEnd"/>
      <w:r w:rsidR="00507218" w:rsidRPr="003331EF">
        <w:t xml:space="preserve"> määruse artikli 3 punktis 12, olles igasuguses vormis ja vahendite abil isikutele suunatud teade, milles esitatakse piisavalt teavet pakkumistingimuste ja pakutava </w:t>
      </w:r>
      <w:proofErr w:type="spellStart"/>
      <w:r w:rsidR="00507218" w:rsidRPr="003331EF">
        <w:t>krüptovara</w:t>
      </w:r>
      <w:proofErr w:type="spellEnd"/>
      <w:r w:rsidR="00507218" w:rsidRPr="003331EF">
        <w:t xml:space="preserve"> kohta, et tulevased omanikud saaksid otsustada, kas seda </w:t>
      </w:r>
      <w:proofErr w:type="spellStart"/>
      <w:r w:rsidR="00507218" w:rsidRPr="003331EF">
        <w:t>krüptovara</w:t>
      </w:r>
      <w:proofErr w:type="spellEnd"/>
      <w:r w:rsidR="00507218" w:rsidRPr="003331EF">
        <w:t xml:space="preserve"> osta. </w:t>
      </w:r>
    </w:p>
    <w:p w14:paraId="03C8EFC5" w14:textId="77777777" w:rsidR="00507218" w:rsidRPr="003331EF" w:rsidRDefault="00507218" w:rsidP="003331EF">
      <w:pPr>
        <w:spacing w:before="0"/>
      </w:pPr>
    </w:p>
    <w:p w14:paraId="1FD26BA2" w14:textId="2C33A2B4" w:rsidR="00DB7CA5" w:rsidRPr="003331EF" w:rsidRDefault="00507218" w:rsidP="003331EF">
      <w:pPr>
        <w:spacing w:before="0"/>
      </w:pPr>
      <w:bookmarkStart w:id="61" w:name="_Hlk152155893"/>
      <w:r w:rsidRPr="003331EF">
        <w:rPr>
          <w:b/>
          <w:bCs/>
        </w:rPr>
        <w:t>Lõige 5</w:t>
      </w:r>
      <w:r w:rsidRPr="003331EF">
        <w:t xml:space="preserve">. </w:t>
      </w:r>
      <w:r w:rsidR="00DB7CA5" w:rsidRPr="003331EF">
        <w:t xml:space="preserve">Muu </w:t>
      </w:r>
      <w:proofErr w:type="spellStart"/>
      <w:r w:rsidR="00DB7CA5" w:rsidRPr="003331EF">
        <w:t>krüptovara</w:t>
      </w:r>
      <w:proofErr w:type="spellEnd"/>
      <w:r w:rsidR="00DB7CA5" w:rsidRPr="003331EF">
        <w:t xml:space="preserve"> kauplemisele võtmise taotleja </w:t>
      </w:r>
      <w:r w:rsidRPr="003331EF">
        <w:t xml:space="preserve">defineerimisel on aluseks võetud </w:t>
      </w:r>
      <w:proofErr w:type="spellStart"/>
      <w:r w:rsidRPr="003331EF">
        <w:t>VpTS</w:t>
      </w:r>
      <w:proofErr w:type="spellEnd"/>
      <w:r w:rsidR="00451BF0">
        <w:noBreakHyphen/>
        <w:t>i</w:t>
      </w:r>
      <w:r w:rsidRPr="003331EF">
        <w:t xml:space="preserve"> § 5</w:t>
      </w:r>
      <w:r w:rsidRPr="003331EF">
        <w:rPr>
          <w:vertAlign w:val="superscript"/>
        </w:rPr>
        <w:t>2</w:t>
      </w:r>
      <w:r w:rsidRPr="003331EF">
        <w:t xml:space="preserve"> kauplemisele võtja määratlus.  </w:t>
      </w:r>
      <w:bookmarkEnd w:id="61"/>
    </w:p>
    <w:p w14:paraId="3890D3E0" w14:textId="77777777" w:rsidR="001A4507" w:rsidRPr="003331EF" w:rsidRDefault="001A4507" w:rsidP="003331EF">
      <w:pPr>
        <w:autoSpaceDE w:val="0"/>
        <w:autoSpaceDN w:val="0"/>
        <w:adjustRightInd w:val="0"/>
        <w:spacing w:before="0"/>
      </w:pPr>
    </w:p>
    <w:p w14:paraId="05DA20E6" w14:textId="169A1440" w:rsidR="00C31FC2" w:rsidRPr="003331EF" w:rsidRDefault="00C31FC2" w:rsidP="003331EF">
      <w:pPr>
        <w:spacing w:before="0"/>
        <w:rPr>
          <w:b/>
        </w:rPr>
      </w:pPr>
      <w:r w:rsidRPr="003331EF">
        <w:rPr>
          <w:b/>
        </w:rPr>
        <w:t xml:space="preserve">Paragrahv 4. </w:t>
      </w:r>
      <w:r w:rsidR="009F2156" w:rsidRPr="003331EF">
        <w:rPr>
          <w:b/>
        </w:rPr>
        <w:t>T</w:t>
      </w:r>
      <w:r w:rsidRPr="003331EF">
        <w:rPr>
          <w:b/>
        </w:rPr>
        <w:t>erminid</w:t>
      </w:r>
    </w:p>
    <w:p w14:paraId="632FD0C8" w14:textId="77777777" w:rsidR="00C31FC2" w:rsidRPr="003331EF" w:rsidRDefault="00C31FC2" w:rsidP="003331EF">
      <w:pPr>
        <w:spacing w:before="0"/>
        <w:rPr>
          <w:b/>
        </w:rPr>
      </w:pPr>
    </w:p>
    <w:p w14:paraId="4DE5AB40" w14:textId="7D829D0E" w:rsidR="00C31FC2" w:rsidRPr="003331EF" w:rsidRDefault="00C44439" w:rsidP="003331EF">
      <w:pPr>
        <w:spacing w:before="0"/>
        <w:rPr>
          <w:bCs/>
        </w:rPr>
      </w:pPr>
      <w:r w:rsidRPr="003331EF">
        <w:rPr>
          <w:b/>
        </w:rPr>
        <w:t xml:space="preserve">Lõige 1. </w:t>
      </w:r>
      <w:r w:rsidR="00C31FC2" w:rsidRPr="003331EF">
        <w:rPr>
          <w:iCs/>
          <w:spacing w:val="-5"/>
          <w:lang w:eastAsia="en-US"/>
        </w:rPr>
        <w:t xml:space="preserve">Seaduses kasutatakse termineid, mis on defineeritud </w:t>
      </w:r>
      <w:proofErr w:type="spellStart"/>
      <w:r w:rsidR="00C31FC2" w:rsidRPr="003331EF">
        <w:rPr>
          <w:iCs/>
          <w:spacing w:val="-5"/>
          <w:lang w:eastAsia="en-US"/>
        </w:rPr>
        <w:t>M</w:t>
      </w:r>
      <w:r w:rsidR="00A03096">
        <w:rPr>
          <w:iCs/>
          <w:spacing w:val="-5"/>
          <w:lang w:eastAsia="en-US"/>
        </w:rPr>
        <w:t>i</w:t>
      </w:r>
      <w:r w:rsidR="00C31FC2" w:rsidRPr="003331EF">
        <w:rPr>
          <w:iCs/>
          <w:spacing w:val="-5"/>
          <w:lang w:eastAsia="en-US"/>
        </w:rPr>
        <w:t>CA</w:t>
      </w:r>
      <w:proofErr w:type="spellEnd"/>
      <w:r w:rsidR="00C31FC2" w:rsidRPr="003331EF">
        <w:rPr>
          <w:iCs/>
          <w:spacing w:val="-5"/>
          <w:lang w:eastAsia="en-US"/>
        </w:rPr>
        <w:t xml:space="preserve"> </w:t>
      </w:r>
      <w:r w:rsidR="000252C5" w:rsidRPr="003331EF">
        <w:rPr>
          <w:iCs/>
          <w:spacing w:val="-5"/>
          <w:lang w:eastAsia="en-US"/>
        </w:rPr>
        <w:t xml:space="preserve">ja DORA </w:t>
      </w:r>
      <w:r w:rsidR="00C31FC2" w:rsidRPr="003331EF">
        <w:rPr>
          <w:iCs/>
          <w:spacing w:val="-5"/>
          <w:lang w:eastAsia="en-US"/>
        </w:rPr>
        <w:t xml:space="preserve">määruses, mistõttu ei ole neid seaduses eraldi defineeritud. Kuna varapõhise </w:t>
      </w:r>
      <w:proofErr w:type="spellStart"/>
      <w:r w:rsidR="00C31FC2" w:rsidRPr="003331EF">
        <w:rPr>
          <w:iCs/>
          <w:spacing w:val="-5"/>
          <w:lang w:eastAsia="en-US"/>
        </w:rPr>
        <w:t>tokeni</w:t>
      </w:r>
      <w:proofErr w:type="spellEnd"/>
      <w:r w:rsidR="00C31FC2" w:rsidRPr="003331EF">
        <w:rPr>
          <w:iCs/>
          <w:spacing w:val="-5"/>
          <w:lang w:eastAsia="en-US"/>
        </w:rPr>
        <w:t xml:space="preserve"> emitent ja e-raha </w:t>
      </w:r>
      <w:proofErr w:type="spellStart"/>
      <w:r w:rsidR="006C1468" w:rsidRPr="003331EF">
        <w:rPr>
          <w:iCs/>
          <w:spacing w:val="-5"/>
          <w:lang w:eastAsia="en-US"/>
        </w:rPr>
        <w:t>tokeni</w:t>
      </w:r>
      <w:proofErr w:type="spellEnd"/>
      <w:r w:rsidR="006C1468" w:rsidRPr="003331EF">
        <w:rPr>
          <w:iCs/>
          <w:spacing w:val="-5"/>
          <w:lang w:eastAsia="en-US"/>
        </w:rPr>
        <w:t xml:space="preserve"> </w:t>
      </w:r>
      <w:r w:rsidR="00C31FC2" w:rsidRPr="003331EF">
        <w:rPr>
          <w:iCs/>
          <w:spacing w:val="-5"/>
          <w:lang w:eastAsia="en-US"/>
        </w:rPr>
        <w:t xml:space="preserve">emitent pole </w:t>
      </w:r>
      <w:proofErr w:type="spellStart"/>
      <w:r w:rsidR="00C31FC2" w:rsidRPr="003331EF">
        <w:rPr>
          <w:iCs/>
          <w:spacing w:val="-5"/>
          <w:lang w:eastAsia="en-US"/>
        </w:rPr>
        <w:t>M</w:t>
      </w:r>
      <w:r w:rsidR="00A03096">
        <w:rPr>
          <w:iCs/>
          <w:spacing w:val="-5"/>
          <w:lang w:eastAsia="en-US"/>
        </w:rPr>
        <w:t>i</w:t>
      </w:r>
      <w:r w:rsidR="00C31FC2" w:rsidRPr="003331EF">
        <w:rPr>
          <w:iCs/>
          <w:spacing w:val="-5"/>
          <w:lang w:eastAsia="en-US"/>
        </w:rPr>
        <w:t>CA</w:t>
      </w:r>
      <w:proofErr w:type="spellEnd"/>
      <w:r w:rsidR="00C31FC2" w:rsidRPr="003331EF">
        <w:rPr>
          <w:iCs/>
          <w:spacing w:val="-5"/>
          <w:lang w:eastAsia="en-US"/>
        </w:rPr>
        <w:t>-s eraldi defineeritud (ainult emitent on üldsõnaliselt defineeritud), on need ka §-s 3 eraldi välja toodud.</w:t>
      </w:r>
      <w:r w:rsidR="00C31FC2" w:rsidRPr="003331EF">
        <w:rPr>
          <w:bCs/>
        </w:rPr>
        <w:t xml:space="preserve"> </w:t>
      </w:r>
    </w:p>
    <w:p w14:paraId="5B7C516A" w14:textId="77777777" w:rsidR="00C44439" w:rsidRPr="003331EF" w:rsidRDefault="00C44439" w:rsidP="003331EF">
      <w:pPr>
        <w:spacing w:before="0"/>
        <w:rPr>
          <w:bCs/>
        </w:rPr>
      </w:pPr>
    </w:p>
    <w:p w14:paraId="7863B205" w14:textId="53F5963A" w:rsidR="00C44439" w:rsidRPr="003331EF" w:rsidRDefault="00C44439" w:rsidP="003331EF">
      <w:pPr>
        <w:spacing w:before="0"/>
        <w:rPr>
          <w:bCs/>
        </w:rPr>
      </w:pPr>
      <w:r w:rsidRPr="003331EF">
        <w:rPr>
          <w:b/>
        </w:rPr>
        <w:t xml:space="preserve">Lõige 2. </w:t>
      </w:r>
      <w:r w:rsidRPr="003331EF">
        <w:rPr>
          <w:iCs/>
          <w:spacing w:val="-5"/>
          <w:lang w:eastAsia="en-US"/>
        </w:rPr>
        <w:t xml:space="preserve">Kuna Eesti õiguses kasutatakse üldiselt terminit konsolideerimisgrupp, on ka käesoleva eelnõu puhul otsustatud kasutada seda terminit. Lõike 2 eesmärk on täpsustada, et </w:t>
      </w:r>
      <w:r w:rsidRPr="003331EF">
        <w:rPr>
          <w:iCs/>
          <w:spacing w:val="-5"/>
          <w:lang w:eastAsia="en-US"/>
        </w:rPr>
        <w:lastRenderedPageBreak/>
        <w:t xml:space="preserve">konsolideerimisgrupi all on mõeldud kontserni </w:t>
      </w:r>
      <w:proofErr w:type="spellStart"/>
      <w:r w:rsidRPr="003331EF">
        <w:rPr>
          <w:iCs/>
          <w:spacing w:val="-5"/>
          <w:lang w:eastAsia="en-US"/>
        </w:rPr>
        <w:t>M</w:t>
      </w:r>
      <w:r w:rsidR="00E856F7"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 tähenduses. </w:t>
      </w:r>
      <w:proofErr w:type="spellStart"/>
      <w:r w:rsidRPr="003331EF">
        <w:rPr>
          <w:iCs/>
          <w:spacing w:val="-5"/>
          <w:lang w:eastAsia="en-US"/>
        </w:rPr>
        <w:t>M</w:t>
      </w:r>
      <w:r w:rsidR="00E856F7"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määruses on kontserni määratlemisel viidatud direktiivi 2013/34/EL artikli 2 punktile 11 – kontsern on emaettevõtja ja kõik selle tütarettevõtjad.</w:t>
      </w:r>
    </w:p>
    <w:p w14:paraId="4A4D6320" w14:textId="77777777" w:rsidR="00C31FC2" w:rsidRPr="003331EF" w:rsidRDefault="00C31FC2" w:rsidP="003331EF">
      <w:pPr>
        <w:spacing w:before="0"/>
        <w:rPr>
          <w:b/>
        </w:rPr>
      </w:pPr>
    </w:p>
    <w:p w14:paraId="4F4C912E" w14:textId="474C8B5F" w:rsidR="00361EDA" w:rsidRPr="003331EF" w:rsidRDefault="00361EDA" w:rsidP="003331EF">
      <w:pPr>
        <w:spacing w:before="0"/>
      </w:pPr>
      <w:r w:rsidRPr="003331EF">
        <w:rPr>
          <w:b/>
        </w:rPr>
        <w:t xml:space="preserve">Lõige 3. </w:t>
      </w:r>
      <w:r w:rsidR="00BA0109" w:rsidRPr="003331EF">
        <w:rPr>
          <w:bCs/>
        </w:rPr>
        <w:t>K</w:t>
      </w:r>
      <w:r w:rsidRPr="003331EF">
        <w:t>ontrollitava äriühingu</w:t>
      </w:r>
      <w:r w:rsidR="00BA0109" w:rsidRPr="003331EF">
        <w:t xml:space="preserve"> ja hääleõiguse</w:t>
      </w:r>
      <w:r w:rsidRPr="003331EF">
        <w:t xml:space="preserve"> määr</w:t>
      </w:r>
      <w:r w:rsidR="00BA0109" w:rsidRPr="003331EF">
        <w:t xml:space="preserve">atlus on </w:t>
      </w:r>
      <w:proofErr w:type="spellStart"/>
      <w:r w:rsidR="00BA0109" w:rsidRPr="003331EF">
        <w:t>VpTS</w:t>
      </w:r>
      <w:proofErr w:type="spellEnd"/>
      <w:r w:rsidR="00BA0109" w:rsidRPr="003331EF">
        <w:t xml:space="preserve"> §-s 10. </w:t>
      </w:r>
    </w:p>
    <w:p w14:paraId="2AFD7B0B" w14:textId="77777777" w:rsidR="00DB7CA5" w:rsidRPr="003331EF" w:rsidRDefault="00DB7CA5" w:rsidP="003331EF">
      <w:pPr>
        <w:spacing w:before="0"/>
      </w:pPr>
    </w:p>
    <w:p w14:paraId="3D9E9641" w14:textId="2BA4AC95" w:rsidR="00DB7CA5" w:rsidRPr="003331EF" w:rsidRDefault="00DB7CA5" w:rsidP="003331EF">
      <w:pPr>
        <w:spacing w:before="0"/>
        <w:rPr>
          <w:b/>
        </w:rPr>
      </w:pPr>
      <w:r w:rsidRPr="003331EF">
        <w:rPr>
          <w:b/>
          <w:bCs/>
        </w:rPr>
        <w:t>Lõige 4</w:t>
      </w:r>
      <w:r w:rsidRPr="003331EF">
        <w:t xml:space="preserve">. Defineeritakse lepinguriik, kuna seadusesättes, kus seda terminit esimest korda kasutatakse, </w:t>
      </w:r>
      <w:r w:rsidR="00785EAB" w:rsidRPr="003331EF">
        <w:t>ei ole seda võimalik teha.</w:t>
      </w:r>
      <w:r w:rsidRPr="003331EF">
        <w:t xml:space="preserve"> </w:t>
      </w:r>
    </w:p>
    <w:p w14:paraId="76B44A9C" w14:textId="77777777" w:rsidR="00361EDA" w:rsidRPr="003331EF" w:rsidRDefault="00361EDA" w:rsidP="003331EF">
      <w:pPr>
        <w:spacing w:before="0"/>
        <w:rPr>
          <w:b/>
        </w:rPr>
      </w:pPr>
    </w:p>
    <w:p w14:paraId="20B88E91" w14:textId="409615B3" w:rsidR="00C31FC2" w:rsidRPr="003331EF" w:rsidRDefault="00C31FC2" w:rsidP="003331EF">
      <w:pPr>
        <w:spacing w:before="0"/>
        <w:rPr>
          <w:b/>
        </w:rPr>
      </w:pPr>
      <w:r w:rsidRPr="003331EF">
        <w:rPr>
          <w:b/>
        </w:rPr>
        <w:t>Paragrahv</w:t>
      </w:r>
      <w:r w:rsidR="0017779E" w:rsidRPr="003331EF">
        <w:rPr>
          <w:b/>
        </w:rPr>
        <w:t>id</w:t>
      </w:r>
      <w:r w:rsidRPr="003331EF">
        <w:rPr>
          <w:b/>
        </w:rPr>
        <w:t xml:space="preserve"> 5</w:t>
      </w:r>
      <w:r w:rsidR="0017779E" w:rsidRPr="003331EF">
        <w:rPr>
          <w:b/>
        </w:rPr>
        <w:t xml:space="preserve"> ja 6</w:t>
      </w:r>
      <w:r w:rsidRPr="003331EF">
        <w:rPr>
          <w:b/>
        </w:rPr>
        <w:t xml:space="preserve">. </w:t>
      </w:r>
      <w:proofErr w:type="spellStart"/>
      <w:r w:rsidR="0017779E" w:rsidRPr="003331EF">
        <w:rPr>
          <w:b/>
        </w:rPr>
        <w:t>Krüptovaraturu</w:t>
      </w:r>
      <w:proofErr w:type="spellEnd"/>
      <w:r w:rsidR="0017779E" w:rsidRPr="003331EF">
        <w:rPr>
          <w:b/>
        </w:rPr>
        <w:t xml:space="preserve"> osalise tegevusluba ja </w:t>
      </w:r>
      <w:proofErr w:type="spellStart"/>
      <w:r w:rsidR="0017779E" w:rsidRPr="003331EF">
        <w:rPr>
          <w:b/>
        </w:rPr>
        <w:t>krüptovaraturu</w:t>
      </w:r>
      <w:proofErr w:type="spellEnd"/>
      <w:r w:rsidR="0017779E" w:rsidRPr="003331EF">
        <w:rPr>
          <w:b/>
        </w:rPr>
        <w:t xml:space="preserve"> osalisena tegutsemise õigus</w:t>
      </w:r>
    </w:p>
    <w:p w14:paraId="0ED2EE0B" w14:textId="77777777" w:rsidR="00182B35" w:rsidRPr="003331EF" w:rsidRDefault="00182B35" w:rsidP="003331EF">
      <w:pPr>
        <w:spacing w:before="0"/>
        <w:rPr>
          <w:b/>
        </w:rPr>
      </w:pPr>
    </w:p>
    <w:p w14:paraId="271CF884" w14:textId="0353F4EF" w:rsidR="001A4507" w:rsidRPr="003331EF" w:rsidRDefault="001A4507" w:rsidP="003331EF">
      <w:pPr>
        <w:spacing w:before="0"/>
      </w:pPr>
      <w:r w:rsidRPr="003331EF">
        <w:rPr>
          <w:b/>
        </w:rPr>
        <w:t>Paragrahvi</w:t>
      </w:r>
      <w:r w:rsidR="0017779E" w:rsidRPr="003331EF">
        <w:rPr>
          <w:b/>
        </w:rPr>
        <w:t>des</w:t>
      </w:r>
      <w:r w:rsidRPr="003331EF">
        <w:rPr>
          <w:b/>
        </w:rPr>
        <w:t xml:space="preserve"> </w:t>
      </w:r>
      <w:r w:rsidR="00C31FC2" w:rsidRPr="003331EF">
        <w:rPr>
          <w:b/>
        </w:rPr>
        <w:t>5</w:t>
      </w:r>
      <w:r w:rsidR="0017779E" w:rsidRPr="003331EF">
        <w:rPr>
          <w:b/>
        </w:rPr>
        <w:t xml:space="preserve"> ja 6</w:t>
      </w:r>
      <w:r w:rsidRPr="003331EF">
        <w:t xml:space="preserve"> </w:t>
      </w:r>
      <w:r w:rsidRPr="003331EF">
        <w:rPr>
          <w:iCs/>
          <w:spacing w:val="-5"/>
          <w:lang w:eastAsia="en-US"/>
        </w:rPr>
        <w:t xml:space="preserve">täpsustatakse nõudeid </w:t>
      </w:r>
      <w:proofErr w:type="spellStart"/>
      <w:r w:rsidRPr="003331EF">
        <w:rPr>
          <w:iCs/>
          <w:spacing w:val="-5"/>
          <w:lang w:eastAsia="en-US"/>
        </w:rPr>
        <w:t>krüptovaraturul</w:t>
      </w:r>
      <w:proofErr w:type="spellEnd"/>
      <w:r w:rsidRPr="003331EF">
        <w:rPr>
          <w:iCs/>
          <w:spacing w:val="-5"/>
          <w:lang w:eastAsia="en-US"/>
        </w:rPr>
        <w:t xml:space="preserve"> tegutsemiseks. Üldreeglina peab selleks olema pädeva asutuse tegevusluba, kuid </w:t>
      </w:r>
      <w:proofErr w:type="spellStart"/>
      <w:r w:rsidRPr="003331EF">
        <w:rPr>
          <w:iCs/>
          <w:spacing w:val="-5"/>
          <w:lang w:eastAsia="en-US"/>
        </w:rPr>
        <w:t>M</w:t>
      </w:r>
      <w:r w:rsidR="00785EAB"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määruses on ette nähtud ka erandid, mil eraldi tegevusluba ei ole vaja ja teatud juhtudel piisab ka pädeva asutuse teavitamisest (</w:t>
      </w:r>
      <w:r w:rsidR="0017779E" w:rsidRPr="003331EF">
        <w:rPr>
          <w:b/>
          <w:bCs/>
          <w:iCs/>
          <w:spacing w:val="-5"/>
          <w:lang w:eastAsia="en-US"/>
        </w:rPr>
        <w:t>§</w:t>
      </w:r>
      <w:r w:rsidR="00451BF0">
        <w:rPr>
          <w:b/>
          <w:bCs/>
          <w:iCs/>
          <w:spacing w:val="-5"/>
          <w:lang w:eastAsia="en-US"/>
        </w:rPr>
        <w:t> </w:t>
      </w:r>
      <w:r w:rsidR="0017779E" w:rsidRPr="003331EF">
        <w:rPr>
          <w:b/>
          <w:bCs/>
          <w:iCs/>
          <w:spacing w:val="-5"/>
          <w:lang w:eastAsia="en-US"/>
        </w:rPr>
        <w:t xml:space="preserve">5 </w:t>
      </w:r>
      <w:r w:rsidRPr="003331EF">
        <w:rPr>
          <w:b/>
          <w:bCs/>
          <w:iCs/>
          <w:spacing w:val="-5"/>
          <w:lang w:eastAsia="en-US"/>
        </w:rPr>
        <w:t>lõige 1</w:t>
      </w:r>
      <w:r w:rsidRPr="003331EF">
        <w:rPr>
          <w:iCs/>
          <w:spacing w:val="-5"/>
          <w:lang w:eastAsia="en-US"/>
        </w:rPr>
        <w:t>). Tabelis</w:t>
      </w:r>
      <w:r w:rsidR="00E704BD">
        <w:rPr>
          <w:iCs/>
          <w:spacing w:val="-5"/>
          <w:lang w:eastAsia="en-US"/>
        </w:rPr>
        <w:t> </w:t>
      </w:r>
      <w:r w:rsidR="00C27922" w:rsidRPr="003331EF">
        <w:rPr>
          <w:iCs/>
          <w:spacing w:val="-5"/>
          <w:lang w:eastAsia="en-US"/>
        </w:rPr>
        <w:t>3</w:t>
      </w:r>
      <w:r w:rsidRPr="003331EF">
        <w:rPr>
          <w:iCs/>
          <w:spacing w:val="-5"/>
          <w:lang w:eastAsia="en-US"/>
        </w:rPr>
        <w:t xml:space="preserve"> on ülevaade, millistel juhtudel on vaja luba ja millistel juhtudel piisab Finantsinspektsiooni teavitamisest. Näiteks varapõhiste </w:t>
      </w:r>
      <w:proofErr w:type="spellStart"/>
      <w:r w:rsidRPr="003331EF">
        <w:rPr>
          <w:iCs/>
          <w:spacing w:val="-5"/>
          <w:lang w:eastAsia="en-US"/>
        </w:rPr>
        <w:t>tokenite</w:t>
      </w:r>
      <w:proofErr w:type="spellEnd"/>
      <w:r w:rsidRPr="003331EF">
        <w:rPr>
          <w:iCs/>
          <w:spacing w:val="-5"/>
          <w:lang w:eastAsia="en-US"/>
        </w:rPr>
        <w:t xml:space="preserve"> avalik pakkumine liidus või sellise </w:t>
      </w:r>
      <w:proofErr w:type="spellStart"/>
      <w:r w:rsidRPr="003331EF">
        <w:rPr>
          <w:iCs/>
          <w:spacing w:val="-5"/>
          <w:lang w:eastAsia="en-US"/>
        </w:rPr>
        <w:t>krüptovara</w:t>
      </w:r>
      <w:proofErr w:type="spellEnd"/>
      <w:r w:rsidRPr="003331EF">
        <w:rPr>
          <w:iCs/>
          <w:spacing w:val="-5"/>
          <w:lang w:eastAsia="en-US"/>
        </w:rPr>
        <w:t xml:space="preserve"> kauplemisele võtmise taotlemine peaks olema lubatud üksnes juhul, kui pädev asutus on andnud sellise </w:t>
      </w:r>
      <w:proofErr w:type="spellStart"/>
      <w:r w:rsidRPr="003331EF">
        <w:rPr>
          <w:iCs/>
          <w:spacing w:val="-5"/>
          <w:lang w:eastAsia="en-US"/>
        </w:rPr>
        <w:t>krüptovara</w:t>
      </w:r>
      <w:proofErr w:type="spellEnd"/>
      <w:r w:rsidRPr="003331EF">
        <w:rPr>
          <w:iCs/>
          <w:spacing w:val="-5"/>
          <w:lang w:eastAsia="en-US"/>
        </w:rPr>
        <w:t xml:space="preserve"> emitendile selleks tegevusloa ja kiitnud heaks asjaomase </w:t>
      </w:r>
      <w:proofErr w:type="spellStart"/>
      <w:r w:rsidRPr="003331EF">
        <w:rPr>
          <w:iCs/>
          <w:spacing w:val="-5"/>
          <w:lang w:eastAsia="en-US"/>
        </w:rPr>
        <w:t>krüptovara</w:t>
      </w:r>
      <w:proofErr w:type="spellEnd"/>
      <w:r w:rsidRPr="003331EF">
        <w:rPr>
          <w:iCs/>
          <w:spacing w:val="-5"/>
          <w:lang w:eastAsia="en-US"/>
        </w:rPr>
        <w:t xml:space="preserve"> valge raamatu. Kui emitent on krediidiasustus, siis piisab ka Finantsinspektsiooni teavitamisest, kuid valge raamat tuleb sellegipoolest Finantsinspektsiooni poolt heaks kiita.</w:t>
      </w:r>
      <w:r w:rsidRPr="003331EF">
        <w:t xml:space="preserve"> </w:t>
      </w:r>
    </w:p>
    <w:p w14:paraId="1D76A603" w14:textId="77777777" w:rsidR="001A4507" w:rsidRPr="003331EF" w:rsidRDefault="001A4507" w:rsidP="003331EF">
      <w:pPr>
        <w:spacing w:before="0"/>
        <w:rPr>
          <w:iCs/>
          <w:spacing w:val="-5"/>
          <w:lang w:eastAsia="en-US"/>
        </w:rPr>
      </w:pPr>
    </w:p>
    <w:p w14:paraId="6BCB948F" w14:textId="64577F9D" w:rsidR="001A4507" w:rsidRPr="003331EF" w:rsidRDefault="001A4507" w:rsidP="003331EF">
      <w:pPr>
        <w:spacing w:before="0"/>
        <w:rPr>
          <w:iCs/>
          <w:spacing w:val="-5"/>
          <w:lang w:eastAsia="en-US"/>
        </w:rPr>
      </w:pPr>
      <w:r w:rsidRPr="003331EF">
        <w:rPr>
          <w:iCs/>
          <w:spacing w:val="-5"/>
          <w:lang w:eastAsia="en-US"/>
        </w:rPr>
        <w:t xml:space="preserve">Tegevusloa nõuet ei kohaldata ka juhul, kui varapõhised </w:t>
      </w:r>
      <w:proofErr w:type="spellStart"/>
      <w:r w:rsidRPr="003331EF">
        <w:rPr>
          <w:iCs/>
          <w:spacing w:val="-5"/>
          <w:lang w:eastAsia="en-US"/>
        </w:rPr>
        <w:t>tokenid</w:t>
      </w:r>
      <w:proofErr w:type="spellEnd"/>
      <w:r w:rsidRPr="003331EF">
        <w:rPr>
          <w:iCs/>
          <w:spacing w:val="-5"/>
          <w:lang w:eastAsia="en-US"/>
        </w:rPr>
        <w:t xml:space="preserve"> on suunatud üksnes kutselistele investoritele </w:t>
      </w:r>
      <w:r w:rsidR="00973912" w:rsidRPr="003331EF">
        <w:rPr>
          <w:iCs/>
          <w:spacing w:val="-5"/>
          <w:lang w:eastAsia="en-US"/>
        </w:rPr>
        <w:t xml:space="preserve">(direktiivi 2014/65/EL II lisa I jao punktides 1–4 loetletud isikud või üksused) </w:t>
      </w:r>
      <w:r w:rsidRPr="003331EF">
        <w:rPr>
          <w:iCs/>
          <w:spacing w:val="-5"/>
          <w:lang w:eastAsia="en-US"/>
        </w:rPr>
        <w:t xml:space="preserve">või kui varapõhiste </w:t>
      </w:r>
      <w:proofErr w:type="spellStart"/>
      <w:r w:rsidRPr="003331EF">
        <w:rPr>
          <w:iCs/>
          <w:spacing w:val="-5"/>
          <w:lang w:eastAsia="en-US"/>
        </w:rPr>
        <w:t>tokenite</w:t>
      </w:r>
      <w:proofErr w:type="spellEnd"/>
      <w:r w:rsidRPr="003331EF">
        <w:rPr>
          <w:iCs/>
          <w:spacing w:val="-5"/>
          <w:lang w:eastAsia="en-US"/>
        </w:rPr>
        <w:t xml:space="preserve"> avaliku pakkumise maht jääb alla 5 000</w:t>
      </w:r>
      <w:r w:rsidR="00E704BD">
        <w:rPr>
          <w:iCs/>
          <w:spacing w:val="-5"/>
          <w:lang w:eastAsia="en-US"/>
        </w:rPr>
        <w:t> </w:t>
      </w:r>
      <w:r w:rsidRPr="003331EF">
        <w:rPr>
          <w:iCs/>
          <w:spacing w:val="-5"/>
          <w:lang w:eastAsia="en-US"/>
        </w:rPr>
        <w:t>000</w:t>
      </w:r>
      <w:r w:rsidR="00E704BD">
        <w:rPr>
          <w:iCs/>
          <w:spacing w:val="-5"/>
          <w:lang w:eastAsia="en-US"/>
        </w:rPr>
        <w:t> </w:t>
      </w:r>
      <w:r w:rsidRPr="003331EF">
        <w:rPr>
          <w:iCs/>
          <w:spacing w:val="-5"/>
          <w:lang w:eastAsia="en-US"/>
        </w:rPr>
        <w:t xml:space="preserve">euro. </w:t>
      </w:r>
    </w:p>
    <w:p w14:paraId="7C0F191F" w14:textId="77777777" w:rsidR="001A4507" w:rsidRPr="003331EF" w:rsidRDefault="001A4507" w:rsidP="003331EF">
      <w:pPr>
        <w:spacing w:before="0"/>
      </w:pPr>
    </w:p>
    <w:p w14:paraId="6A43BF1B" w14:textId="6F8CE777" w:rsidR="001A4507" w:rsidRPr="003331EF" w:rsidRDefault="001A4507" w:rsidP="003331EF">
      <w:pPr>
        <w:spacing w:before="0"/>
        <w:rPr>
          <w:iCs/>
          <w:spacing w:val="-5"/>
          <w:lang w:eastAsia="en-US"/>
        </w:rPr>
      </w:pPr>
      <w:r w:rsidRPr="003331EF">
        <w:rPr>
          <w:iCs/>
          <w:spacing w:val="-5"/>
          <w:lang w:eastAsia="en-US"/>
        </w:rPr>
        <w:t xml:space="preserve">Tegevusluba peab olema ka juhul, kui isik soovib osutada </w:t>
      </w:r>
      <w:proofErr w:type="spellStart"/>
      <w:r w:rsidRPr="003331EF">
        <w:rPr>
          <w:iCs/>
          <w:spacing w:val="-5"/>
          <w:lang w:eastAsia="en-US"/>
        </w:rPr>
        <w:t>krüptovarateenust</w:t>
      </w:r>
      <w:proofErr w:type="spellEnd"/>
      <w:r w:rsidRPr="003331EF">
        <w:rPr>
          <w:iCs/>
          <w:spacing w:val="-5"/>
          <w:lang w:eastAsia="en-US"/>
        </w:rPr>
        <w:t xml:space="preserve">, v.a kui ta on juba tegevusluba omav finantssektori ettevõtja (krediidiasutus, väärtpaberite </w:t>
      </w:r>
      <w:proofErr w:type="spellStart"/>
      <w:r w:rsidRPr="003331EF">
        <w:rPr>
          <w:iCs/>
          <w:spacing w:val="-5"/>
          <w:lang w:eastAsia="en-US"/>
        </w:rPr>
        <w:t>keskdepositoorium</w:t>
      </w:r>
      <w:proofErr w:type="spellEnd"/>
      <w:r w:rsidRPr="003331EF">
        <w:rPr>
          <w:iCs/>
          <w:spacing w:val="-5"/>
          <w:lang w:eastAsia="en-US"/>
        </w:rPr>
        <w:t xml:space="preserve">, investeerimisühing, turukorraldaja, e-raha asutus, eurofondi valitseja või alternatiivne investeerimisfond).  Nimelt on teatavatel äriühingutel lubatud, kelle suhtes kohaldatakse finantsteenuseid käsitlevaid liidu seadusandlikke akte, osutada kõiki või mõnesid </w:t>
      </w:r>
      <w:proofErr w:type="spellStart"/>
      <w:r w:rsidRPr="003331EF">
        <w:rPr>
          <w:iCs/>
          <w:spacing w:val="-5"/>
          <w:lang w:eastAsia="en-US"/>
        </w:rPr>
        <w:t>krüptovarateenuseid</w:t>
      </w:r>
      <w:proofErr w:type="spellEnd"/>
      <w:r w:rsidRPr="003331EF">
        <w:rPr>
          <w:iCs/>
          <w:spacing w:val="-5"/>
          <w:lang w:eastAsia="en-US"/>
        </w:rPr>
        <w:t xml:space="preserve"> ilma, et nad peaksid saama </w:t>
      </w:r>
      <w:proofErr w:type="spellStart"/>
      <w:r w:rsidRPr="003331EF">
        <w:rPr>
          <w:iCs/>
          <w:spacing w:val="-5"/>
          <w:lang w:eastAsia="en-US"/>
        </w:rPr>
        <w:t>M</w:t>
      </w:r>
      <w:r w:rsidR="00E856F7"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 kohase </w:t>
      </w:r>
      <w:proofErr w:type="spellStart"/>
      <w:r w:rsidRPr="003331EF">
        <w:rPr>
          <w:iCs/>
          <w:spacing w:val="-5"/>
          <w:lang w:eastAsia="en-US"/>
        </w:rPr>
        <w:t>krüptovarateenuse</w:t>
      </w:r>
      <w:proofErr w:type="spellEnd"/>
      <w:r w:rsidRPr="003331EF">
        <w:rPr>
          <w:iCs/>
          <w:spacing w:val="-5"/>
          <w:lang w:eastAsia="en-US"/>
        </w:rPr>
        <w:t xml:space="preserve"> osutaja tegevusloa, kui nad esitavad oma pädevatele asutustele teatava teabe enne kõnealuste teenuste esmakordset osutamist. </w:t>
      </w:r>
    </w:p>
    <w:p w14:paraId="440770F6" w14:textId="77777777" w:rsidR="001A4507" w:rsidRPr="003331EF" w:rsidRDefault="001A4507" w:rsidP="003331EF">
      <w:pPr>
        <w:spacing w:before="0"/>
        <w:rPr>
          <w:iCs/>
          <w:spacing w:val="-5"/>
          <w:lang w:eastAsia="en-US"/>
        </w:rPr>
      </w:pPr>
    </w:p>
    <w:p w14:paraId="6C855466" w14:textId="4E172A09" w:rsidR="001A4507" w:rsidRDefault="001A4507" w:rsidP="003331EF">
      <w:pPr>
        <w:spacing w:before="0"/>
        <w:rPr>
          <w:iCs/>
          <w:spacing w:val="-5"/>
          <w:lang w:eastAsia="en-US"/>
        </w:rPr>
      </w:pPr>
      <w:r w:rsidRPr="003331EF">
        <w:rPr>
          <w:iCs/>
          <w:spacing w:val="-5"/>
          <w:lang w:eastAsia="en-US"/>
        </w:rPr>
        <w:t xml:space="preserve">E-raha asutustel peaks olema võimalik osutada hoidmisteenuseid ilma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 kohase tegevusloata, et osutada </w:t>
      </w:r>
      <w:proofErr w:type="spellStart"/>
      <w:r w:rsidRPr="003331EF">
        <w:rPr>
          <w:iCs/>
          <w:spacing w:val="-5"/>
          <w:lang w:eastAsia="en-US"/>
        </w:rPr>
        <w:t>krüptovarateenuseid</w:t>
      </w:r>
      <w:proofErr w:type="spellEnd"/>
      <w:r w:rsidRPr="003331EF">
        <w:rPr>
          <w:iCs/>
          <w:spacing w:val="-5"/>
          <w:lang w:eastAsia="en-US"/>
        </w:rPr>
        <w:t xml:space="preserve"> ainult seoses nende emiteeritud e-raha </w:t>
      </w:r>
      <w:proofErr w:type="spellStart"/>
      <w:r w:rsidRPr="003331EF">
        <w:rPr>
          <w:iCs/>
          <w:spacing w:val="-5"/>
          <w:lang w:eastAsia="en-US"/>
        </w:rPr>
        <w:t>tokenitega</w:t>
      </w:r>
      <w:proofErr w:type="spellEnd"/>
      <w:r w:rsidRPr="003331EF">
        <w:rPr>
          <w:iCs/>
          <w:spacing w:val="-5"/>
          <w:lang w:eastAsia="en-US"/>
        </w:rPr>
        <w:t xml:space="preserve">. Füüsilistel või juriidilistel isikutel, kellel on luba e-raha levitamiseks direktiivi 2009/110/EÜ alusel, peaks olema võimalik levitada ka e-raha </w:t>
      </w:r>
      <w:proofErr w:type="spellStart"/>
      <w:r w:rsidRPr="003331EF">
        <w:rPr>
          <w:iCs/>
          <w:spacing w:val="-5"/>
          <w:lang w:eastAsia="en-US"/>
        </w:rPr>
        <w:t>tokeneid</w:t>
      </w:r>
      <w:proofErr w:type="spellEnd"/>
      <w:r w:rsidRPr="003331EF">
        <w:rPr>
          <w:iCs/>
          <w:spacing w:val="-5"/>
          <w:lang w:eastAsia="en-US"/>
        </w:rPr>
        <w:t xml:space="preserve"> e-raha </w:t>
      </w:r>
      <w:proofErr w:type="spellStart"/>
      <w:r w:rsidRPr="003331EF">
        <w:rPr>
          <w:iCs/>
          <w:spacing w:val="-5"/>
          <w:lang w:eastAsia="en-US"/>
        </w:rPr>
        <w:t>tokenite</w:t>
      </w:r>
      <w:proofErr w:type="spellEnd"/>
      <w:r w:rsidRPr="003331EF">
        <w:rPr>
          <w:iCs/>
          <w:spacing w:val="-5"/>
          <w:lang w:eastAsia="en-US"/>
        </w:rPr>
        <w:t xml:space="preserve"> emitentide nimel ilma, et nad peaksid saama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 kohase tegevusloa </w:t>
      </w:r>
      <w:proofErr w:type="spellStart"/>
      <w:r w:rsidRPr="003331EF">
        <w:rPr>
          <w:iCs/>
          <w:spacing w:val="-5"/>
          <w:lang w:eastAsia="en-US"/>
        </w:rPr>
        <w:t>krüptovarateenuste</w:t>
      </w:r>
      <w:proofErr w:type="spellEnd"/>
      <w:r w:rsidRPr="003331EF">
        <w:rPr>
          <w:iCs/>
          <w:spacing w:val="-5"/>
          <w:lang w:eastAsia="en-US"/>
        </w:rPr>
        <w:t xml:space="preserve"> osutamiseks.</w:t>
      </w:r>
    </w:p>
    <w:p w14:paraId="69B47A6D" w14:textId="4BC99BA9" w:rsidR="00E704BD" w:rsidRDefault="00E704BD" w:rsidP="003331EF">
      <w:pPr>
        <w:spacing w:before="0"/>
        <w:rPr>
          <w:iCs/>
          <w:spacing w:val="-5"/>
          <w:lang w:eastAsia="en-US"/>
        </w:rPr>
      </w:pPr>
    </w:p>
    <w:p w14:paraId="10658A19" w14:textId="2FE1E9C2" w:rsidR="00E704BD" w:rsidRPr="00E704BD" w:rsidRDefault="00E704BD" w:rsidP="003331EF">
      <w:pPr>
        <w:spacing w:before="0"/>
        <w:rPr>
          <w:b/>
        </w:rPr>
      </w:pPr>
      <w:r w:rsidRPr="003331EF">
        <w:rPr>
          <w:b/>
        </w:rPr>
        <w:t xml:space="preserve">Tabel 3. </w:t>
      </w:r>
      <w:proofErr w:type="spellStart"/>
      <w:r w:rsidRPr="003331EF">
        <w:rPr>
          <w:iCs/>
          <w:spacing w:val="-5"/>
          <w:lang w:eastAsia="en-US"/>
        </w:rPr>
        <w:t>Krüptovaraturul</w:t>
      </w:r>
      <w:proofErr w:type="spellEnd"/>
      <w:r w:rsidRPr="003331EF">
        <w:rPr>
          <w:iCs/>
          <w:spacing w:val="-5"/>
          <w:lang w:eastAsia="en-US"/>
        </w:rPr>
        <w:t xml:space="preserve"> tegutsemise õigus</w:t>
      </w:r>
    </w:p>
    <w:p w14:paraId="5203AE63" w14:textId="77777777" w:rsidR="001A4507" w:rsidRPr="003331EF" w:rsidRDefault="001A4507" w:rsidP="003331EF">
      <w:pPr>
        <w:spacing w:before="0"/>
      </w:pPr>
    </w:p>
    <w:tbl>
      <w:tblPr>
        <w:tblStyle w:val="Kontuurtabel"/>
        <w:tblW w:w="0" w:type="auto"/>
        <w:tblLook w:val="04A0" w:firstRow="1" w:lastRow="0" w:firstColumn="1" w:lastColumn="0" w:noHBand="0" w:noVBand="1"/>
      </w:tblPr>
      <w:tblGrid>
        <w:gridCol w:w="2793"/>
        <w:gridCol w:w="3297"/>
        <w:gridCol w:w="2971"/>
      </w:tblGrid>
      <w:tr w:rsidR="003331EF" w:rsidRPr="003331EF" w14:paraId="4D772464" w14:textId="77777777" w:rsidTr="00E043AB">
        <w:tc>
          <w:tcPr>
            <w:tcW w:w="2793" w:type="dxa"/>
            <w:shd w:val="clear" w:color="auto" w:fill="D9E2F3" w:themeFill="accent5" w:themeFillTint="33"/>
          </w:tcPr>
          <w:p w14:paraId="7245E401" w14:textId="77777777" w:rsidR="001A4507" w:rsidRPr="003331EF" w:rsidRDefault="001A4507" w:rsidP="003331EF">
            <w:pPr>
              <w:spacing w:before="0"/>
              <w:jc w:val="center"/>
              <w:rPr>
                <w:b/>
                <w:bCs/>
                <w:i/>
                <w:iCs/>
                <w:sz w:val="20"/>
                <w:szCs w:val="20"/>
              </w:rPr>
            </w:pPr>
            <w:proofErr w:type="spellStart"/>
            <w:r w:rsidRPr="003331EF">
              <w:rPr>
                <w:b/>
                <w:bCs/>
                <w:i/>
                <w:iCs/>
                <w:sz w:val="20"/>
                <w:szCs w:val="20"/>
              </w:rPr>
              <w:t>Krüptovarateenuse</w:t>
            </w:r>
            <w:proofErr w:type="spellEnd"/>
            <w:r w:rsidRPr="003331EF">
              <w:rPr>
                <w:b/>
                <w:bCs/>
                <w:i/>
                <w:iCs/>
                <w:sz w:val="20"/>
                <w:szCs w:val="20"/>
              </w:rPr>
              <w:t xml:space="preserve"> osutaja</w:t>
            </w:r>
          </w:p>
        </w:tc>
        <w:tc>
          <w:tcPr>
            <w:tcW w:w="6268" w:type="dxa"/>
            <w:gridSpan w:val="2"/>
            <w:shd w:val="clear" w:color="auto" w:fill="D9E2F3" w:themeFill="accent5" w:themeFillTint="33"/>
          </w:tcPr>
          <w:p w14:paraId="7E48E49C" w14:textId="77777777" w:rsidR="001A4507" w:rsidRPr="003331EF" w:rsidRDefault="001A4507" w:rsidP="003331EF">
            <w:pPr>
              <w:spacing w:before="0"/>
              <w:jc w:val="center"/>
              <w:rPr>
                <w:b/>
                <w:bCs/>
                <w:i/>
                <w:iCs/>
                <w:sz w:val="20"/>
                <w:szCs w:val="20"/>
              </w:rPr>
            </w:pPr>
            <w:r w:rsidRPr="003331EF">
              <w:rPr>
                <w:b/>
                <w:bCs/>
                <w:i/>
                <w:iCs/>
                <w:sz w:val="20"/>
                <w:szCs w:val="20"/>
              </w:rPr>
              <w:t>Teenuse osutamise õigus</w:t>
            </w:r>
          </w:p>
        </w:tc>
      </w:tr>
      <w:tr w:rsidR="003331EF" w:rsidRPr="003331EF" w14:paraId="32059457" w14:textId="77777777" w:rsidTr="00E043AB">
        <w:tc>
          <w:tcPr>
            <w:tcW w:w="2793" w:type="dxa"/>
          </w:tcPr>
          <w:p w14:paraId="6EBBE392" w14:textId="6139C3F4" w:rsidR="001A4507" w:rsidRPr="003331EF" w:rsidRDefault="001A4507" w:rsidP="003331EF">
            <w:pPr>
              <w:pStyle w:val="Loendilik"/>
              <w:numPr>
                <w:ilvl w:val="0"/>
                <w:numId w:val="27"/>
              </w:numPr>
              <w:jc w:val="both"/>
              <w:rPr>
                <w:i/>
                <w:iCs/>
                <w:sz w:val="20"/>
                <w:szCs w:val="20"/>
              </w:rPr>
            </w:pPr>
            <w:r w:rsidRPr="003331EF">
              <w:rPr>
                <w:i/>
                <w:iCs/>
                <w:sz w:val="20"/>
                <w:szCs w:val="20"/>
              </w:rPr>
              <w:t>Juriidiline isik või muu ettevõtja</w:t>
            </w:r>
            <w:r w:rsidR="00693DD2" w:rsidRPr="003331EF">
              <w:rPr>
                <w:i/>
                <w:iCs/>
                <w:sz w:val="20"/>
                <w:szCs w:val="20"/>
              </w:rPr>
              <w:t>, kes pole alljärgnevalt nimetatud austus</w:t>
            </w:r>
          </w:p>
        </w:tc>
        <w:tc>
          <w:tcPr>
            <w:tcW w:w="6268" w:type="dxa"/>
            <w:gridSpan w:val="2"/>
          </w:tcPr>
          <w:p w14:paraId="391650AD" w14:textId="77777777" w:rsidR="001A4507" w:rsidRPr="003331EF" w:rsidRDefault="001A4507" w:rsidP="003331EF">
            <w:pPr>
              <w:pStyle w:val="Loendilik"/>
              <w:numPr>
                <w:ilvl w:val="0"/>
                <w:numId w:val="21"/>
              </w:numPr>
              <w:jc w:val="both"/>
              <w:rPr>
                <w:b/>
                <w:bCs/>
                <w:i/>
                <w:iCs/>
                <w:sz w:val="20"/>
                <w:szCs w:val="20"/>
              </w:rPr>
            </w:pPr>
            <w:r w:rsidRPr="003331EF">
              <w:rPr>
                <w:b/>
                <w:bCs/>
                <w:i/>
                <w:iCs/>
                <w:sz w:val="20"/>
                <w:szCs w:val="20"/>
              </w:rPr>
              <w:t>FI tegevusluba.</w:t>
            </w:r>
          </w:p>
          <w:p w14:paraId="2821C169" w14:textId="77777777" w:rsidR="001A4507" w:rsidRPr="003331EF" w:rsidRDefault="001A4507" w:rsidP="003331EF">
            <w:pPr>
              <w:spacing w:before="0"/>
              <w:rPr>
                <w:i/>
                <w:iCs/>
                <w:sz w:val="20"/>
                <w:szCs w:val="20"/>
              </w:rPr>
            </w:pPr>
          </w:p>
        </w:tc>
      </w:tr>
      <w:tr w:rsidR="003331EF" w:rsidRPr="003331EF" w14:paraId="54E67797" w14:textId="77777777" w:rsidTr="00E043AB">
        <w:tc>
          <w:tcPr>
            <w:tcW w:w="2793" w:type="dxa"/>
          </w:tcPr>
          <w:p w14:paraId="1B18941E" w14:textId="77777777" w:rsidR="001A4507" w:rsidRPr="003331EF" w:rsidRDefault="001A4507" w:rsidP="003331EF">
            <w:pPr>
              <w:pStyle w:val="Loendilik"/>
              <w:numPr>
                <w:ilvl w:val="0"/>
                <w:numId w:val="27"/>
              </w:numPr>
              <w:jc w:val="both"/>
              <w:rPr>
                <w:i/>
                <w:iCs/>
                <w:sz w:val="20"/>
                <w:szCs w:val="20"/>
              </w:rPr>
            </w:pPr>
            <w:r w:rsidRPr="003331EF">
              <w:rPr>
                <w:i/>
                <w:iCs/>
                <w:sz w:val="20"/>
                <w:szCs w:val="20"/>
              </w:rPr>
              <w:t>Krediidiasutus</w:t>
            </w:r>
          </w:p>
        </w:tc>
        <w:tc>
          <w:tcPr>
            <w:tcW w:w="6268" w:type="dxa"/>
            <w:gridSpan w:val="2"/>
          </w:tcPr>
          <w:p w14:paraId="18F6F374" w14:textId="77777777" w:rsidR="001A4507" w:rsidRPr="003331EF" w:rsidRDefault="001A4507" w:rsidP="003331EF">
            <w:pPr>
              <w:pStyle w:val="Loendilik"/>
              <w:numPr>
                <w:ilvl w:val="0"/>
                <w:numId w:val="27"/>
              </w:numPr>
              <w:jc w:val="both"/>
              <w:rPr>
                <w:i/>
                <w:iCs/>
                <w:sz w:val="20"/>
                <w:szCs w:val="20"/>
              </w:rPr>
            </w:pPr>
            <w:proofErr w:type="spellStart"/>
            <w:r w:rsidRPr="003331EF">
              <w:rPr>
                <w:i/>
                <w:iCs/>
                <w:sz w:val="20"/>
                <w:szCs w:val="20"/>
              </w:rPr>
              <w:t>FI-le</w:t>
            </w:r>
            <w:proofErr w:type="spellEnd"/>
            <w:r w:rsidRPr="003331EF">
              <w:rPr>
                <w:i/>
                <w:iCs/>
                <w:sz w:val="20"/>
                <w:szCs w:val="20"/>
              </w:rPr>
              <w:t xml:space="preserve"> 40 päeva enne teenuse osutamist ettenähtud teabe esitamine.</w:t>
            </w:r>
          </w:p>
        </w:tc>
      </w:tr>
      <w:tr w:rsidR="003331EF" w:rsidRPr="003331EF" w14:paraId="589343AE" w14:textId="77777777" w:rsidTr="00E043AB">
        <w:tc>
          <w:tcPr>
            <w:tcW w:w="2793" w:type="dxa"/>
          </w:tcPr>
          <w:p w14:paraId="2886BC84" w14:textId="77777777" w:rsidR="001A4507" w:rsidRPr="003331EF" w:rsidRDefault="001A4507" w:rsidP="003331EF">
            <w:pPr>
              <w:pStyle w:val="Loendilik"/>
              <w:numPr>
                <w:ilvl w:val="0"/>
                <w:numId w:val="27"/>
              </w:numPr>
              <w:jc w:val="both"/>
              <w:rPr>
                <w:i/>
                <w:iCs/>
                <w:sz w:val="20"/>
                <w:szCs w:val="20"/>
              </w:rPr>
            </w:pPr>
            <w:r w:rsidRPr="003331EF">
              <w:rPr>
                <w:i/>
                <w:iCs/>
                <w:sz w:val="20"/>
                <w:szCs w:val="20"/>
              </w:rPr>
              <w:t xml:space="preserve">Väärtpaberite </w:t>
            </w:r>
            <w:proofErr w:type="spellStart"/>
            <w:r w:rsidRPr="003331EF">
              <w:rPr>
                <w:i/>
                <w:iCs/>
                <w:sz w:val="20"/>
                <w:szCs w:val="20"/>
              </w:rPr>
              <w:t>keskdepositoorium</w:t>
            </w:r>
            <w:proofErr w:type="spellEnd"/>
          </w:p>
        </w:tc>
        <w:tc>
          <w:tcPr>
            <w:tcW w:w="6268" w:type="dxa"/>
            <w:gridSpan w:val="2"/>
          </w:tcPr>
          <w:p w14:paraId="53FAD391" w14:textId="77777777" w:rsidR="001A4507" w:rsidRPr="003331EF" w:rsidRDefault="001A4507" w:rsidP="003331EF">
            <w:pPr>
              <w:pStyle w:val="Loendilik"/>
              <w:numPr>
                <w:ilvl w:val="0"/>
                <w:numId w:val="27"/>
              </w:numPr>
              <w:jc w:val="both"/>
              <w:rPr>
                <w:i/>
                <w:iCs/>
                <w:sz w:val="20"/>
                <w:szCs w:val="20"/>
              </w:rPr>
            </w:pPr>
            <w:proofErr w:type="spellStart"/>
            <w:r w:rsidRPr="003331EF">
              <w:rPr>
                <w:i/>
                <w:iCs/>
                <w:sz w:val="20"/>
                <w:szCs w:val="20"/>
              </w:rPr>
              <w:t>FI-le</w:t>
            </w:r>
            <w:proofErr w:type="spellEnd"/>
            <w:r w:rsidRPr="003331EF">
              <w:rPr>
                <w:i/>
                <w:iCs/>
                <w:sz w:val="20"/>
                <w:szCs w:val="20"/>
              </w:rPr>
              <w:t xml:space="preserve"> 40 päeva enne teenuse osutamist ettenähtud teabe esitamine.</w:t>
            </w:r>
          </w:p>
        </w:tc>
      </w:tr>
      <w:tr w:rsidR="003331EF" w:rsidRPr="003331EF" w14:paraId="3CD6AB48" w14:textId="77777777" w:rsidTr="00E043AB">
        <w:tc>
          <w:tcPr>
            <w:tcW w:w="2793" w:type="dxa"/>
          </w:tcPr>
          <w:p w14:paraId="24985A88" w14:textId="77777777" w:rsidR="001A4507" w:rsidRPr="003331EF" w:rsidRDefault="001A4507" w:rsidP="003331EF">
            <w:pPr>
              <w:pStyle w:val="Loendilik"/>
              <w:numPr>
                <w:ilvl w:val="0"/>
                <w:numId w:val="27"/>
              </w:numPr>
              <w:jc w:val="both"/>
              <w:rPr>
                <w:i/>
                <w:iCs/>
                <w:sz w:val="20"/>
                <w:szCs w:val="20"/>
              </w:rPr>
            </w:pPr>
            <w:r w:rsidRPr="003331EF">
              <w:rPr>
                <w:i/>
                <w:iCs/>
                <w:sz w:val="20"/>
                <w:szCs w:val="20"/>
              </w:rPr>
              <w:t>Investeerimisühing</w:t>
            </w:r>
          </w:p>
        </w:tc>
        <w:tc>
          <w:tcPr>
            <w:tcW w:w="6268" w:type="dxa"/>
            <w:gridSpan w:val="2"/>
          </w:tcPr>
          <w:p w14:paraId="03D5D19A" w14:textId="77777777" w:rsidR="001A4507" w:rsidRPr="003331EF" w:rsidRDefault="001A4507" w:rsidP="003331EF">
            <w:pPr>
              <w:pStyle w:val="Loendilik"/>
              <w:numPr>
                <w:ilvl w:val="0"/>
                <w:numId w:val="27"/>
              </w:numPr>
              <w:jc w:val="both"/>
              <w:rPr>
                <w:i/>
                <w:iCs/>
                <w:sz w:val="20"/>
                <w:szCs w:val="20"/>
              </w:rPr>
            </w:pPr>
            <w:proofErr w:type="spellStart"/>
            <w:r w:rsidRPr="003331EF">
              <w:rPr>
                <w:i/>
                <w:iCs/>
                <w:sz w:val="20"/>
                <w:szCs w:val="20"/>
              </w:rPr>
              <w:t>FI-le</w:t>
            </w:r>
            <w:proofErr w:type="spellEnd"/>
            <w:r w:rsidRPr="003331EF">
              <w:rPr>
                <w:i/>
                <w:iCs/>
                <w:sz w:val="20"/>
                <w:szCs w:val="20"/>
              </w:rPr>
              <w:t xml:space="preserve"> 40 päeva enne teenuse osutamist ettenähtud teabe esitamine.</w:t>
            </w:r>
          </w:p>
        </w:tc>
      </w:tr>
      <w:tr w:rsidR="003331EF" w:rsidRPr="003331EF" w14:paraId="75F8E8F8" w14:textId="77777777" w:rsidTr="00E043AB">
        <w:tc>
          <w:tcPr>
            <w:tcW w:w="2793" w:type="dxa"/>
          </w:tcPr>
          <w:p w14:paraId="1275B4B0" w14:textId="77777777" w:rsidR="001A4507" w:rsidRPr="003331EF" w:rsidRDefault="001A4507" w:rsidP="003331EF">
            <w:pPr>
              <w:pStyle w:val="Loendilik"/>
              <w:numPr>
                <w:ilvl w:val="0"/>
                <w:numId w:val="27"/>
              </w:numPr>
              <w:jc w:val="both"/>
              <w:rPr>
                <w:i/>
                <w:iCs/>
                <w:sz w:val="20"/>
                <w:szCs w:val="20"/>
              </w:rPr>
            </w:pPr>
            <w:r w:rsidRPr="003331EF">
              <w:rPr>
                <w:i/>
                <w:iCs/>
                <w:sz w:val="20"/>
                <w:szCs w:val="20"/>
              </w:rPr>
              <w:t>Turukorraldaja</w:t>
            </w:r>
          </w:p>
        </w:tc>
        <w:tc>
          <w:tcPr>
            <w:tcW w:w="6268" w:type="dxa"/>
            <w:gridSpan w:val="2"/>
          </w:tcPr>
          <w:p w14:paraId="48A17B02" w14:textId="77777777" w:rsidR="001A4507" w:rsidRPr="003331EF" w:rsidRDefault="001A4507" w:rsidP="003331EF">
            <w:pPr>
              <w:pStyle w:val="Loendilik"/>
              <w:numPr>
                <w:ilvl w:val="0"/>
                <w:numId w:val="27"/>
              </w:numPr>
              <w:jc w:val="both"/>
              <w:rPr>
                <w:i/>
                <w:iCs/>
                <w:sz w:val="20"/>
                <w:szCs w:val="20"/>
              </w:rPr>
            </w:pPr>
            <w:proofErr w:type="spellStart"/>
            <w:r w:rsidRPr="003331EF">
              <w:rPr>
                <w:i/>
                <w:iCs/>
                <w:sz w:val="20"/>
                <w:szCs w:val="20"/>
              </w:rPr>
              <w:t>FI-le</w:t>
            </w:r>
            <w:proofErr w:type="spellEnd"/>
            <w:r w:rsidRPr="003331EF">
              <w:rPr>
                <w:i/>
                <w:iCs/>
                <w:sz w:val="20"/>
                <w:szCs w:val="20"/>
              </w:rPr>
              <w:t xml:space="preserve"> 40 päeva enne teenuse osutamist ettenähtud teabe esitamine.</w:t>
            </w:r>
          </w:p>
        </w:tc>
      </w:tr>
      <w:tr w:rsidR="003331EF" w:rsidRPr="003331EF" w14:paraId="339DB3D2" w14:textId="77777777" w:rsidTr="00E043AB">
        <w:tc>
          <w:tcPr>
            <w:tcW w:w="2793" w:type="dxa"/>
          </w:tcPr>
          <w:p w14:paraId="690E6BDA" w14:textId="77777777" w:rsidR="001A4507" w:rsidRPr="003331EF" w:rsidRDefault="001A4507" w:rsidP="003331EF">
            <w:pPr>
              <w:pStyle w:val="Loendilik"/>
              <w:numPr>
                <w:ilvl w:val="0"/>
                <w:numId w:val="27"/>
              </w:numPr>
              <w:jc w:val="both"/>
              <w:rPr>
                <w:i/>
                <w:iCs/>
                <w:sz w:val="20"/>
                <w:szCs w:val="20"/>
              </w:rPr>
            </w:pPr>
            <w:r w:rsidRPr="003331EF">
              <w:rPr>
                <w:i/>
                <w:iCs/>
                <w:sz w:val="20"/>
                <w:szCs w:val="20"/>
              </w:rPr>
              <w:lastRenderedPageBreak/>
              <w:t>E-raha asutus</w:t>
            </w:r>
          </w:p>
        </w:tc>
        <w:tc>
          <w:tcPr>
            <w:tcW w:w="6268" w:type="dxa"/>
            <w:gridSpan w:val="2"/>
          </w:tcPr>
          <w:p w14:paraId="694C6A7A" w14:textId="77777777" w:rsidR="001A4507" w:rsidRPr="003331EF" w:rsidRDefault="001A4507" w:rsidP="003331EF">
            <w:pPr>
              <w:pStyle w:val="Loendilik"/>
              <w:numPr>
                <w:ilvl w:val="0"/>
                <w:numId w:val="27"/>
              </w:numPr>
              <w:jc w:val="both"/>
              <w:rPr>
                <w:i/>
                <w:iCs/>
                <w:sz w:val="20"/>
                <w:szCs w:val="20"/>
              </w:rPr>
            </w:pPr>
            <w:proofErr w:type="spellStart"/>
            <w:r w:rsidRPr="003331EF">
              <w:rPr>
                <w:i/>
                <w:iCs/>
                <w:sz w:val="20"/>
                <w:szCs w:val="20"/>
              </w:rPr>
              <w:t>FI-le</w:t>
            </w:r>
            <w:proofErr w:type="spellEnd"/>
            <w:r w:rsidRPr="003331EF">
              <w:rPr>
                <w:i/>
                <w:iCs/>
                <w:sz w:val="20"/>
                <w:szCs w:val="20"/>
              </w:rPr>
              <w:t xml:space="preserve"> 40 päeva enne teenuse osutamist ettenähtud teabe esitamine.</w:t>
            </w:r>
          </w:p>
        </w:tc>
      </w:tr>
      <w:tr w:rsidR="003331EF" w:rsidRPr="003331EF" w14:paraId="6B99F2C7" w14:textId="77777777" w:rsidTr="00E043AB">
        <w:tc>
          <w:tcPr>
            <w:tcW w:w="2793" w:type="dxa"/>
          </w:tcPr>
          <w:p w14:paraId="44084F8A" w14:textId="77777777" w:rsidR="001A4507" w:rsidRPr="003331EF" w:rsidRDefault="001A4507" w:rsidP="003331EF">
            <w:pPr>
              <w:pStyle w:val="Loendilik"/>
              <w:numPr>
                <w:ilvl w:val="0"/>
                <w:numId w:val="27"/>
              </w:numPr>
              <w:jc w:val="both"/>
              <w:rPr>
                <w:i/>
                <w:iCs/>
                <w:sz w:val="20"/>
                <w:szCs w:val="20"/>
              </w:rPr>
            </w:pPr>
            <w:r w:rsidRPr="003331EF">
              <w:rPr>
                <w:i/>
                <w:iCs/>
                <w:sz w:val="20"/>
                <w:szCs w:val="20"/>
              </w:rPr>
              <w:t>Eurofondi valitseja ja alternatiivne investeerimisfond</w:t>
            </w:r>
          </w:p>
        </w:tc>
        <w:tc>
          <w:tcPr>
            <w:tcW w:w="6268" w:type="dxa"/>
            <w:gridSpan w:val="2"/>
          </w:tcPr>
          <w:p w14:paraId="0DE02938" w14:textId="77777777" w:rsidR="001A4507" w:rsidRPr="003331EF" w:rsidRDefault="001A4507" w:rsidP="003331EF">
            <w:pPr>
              <w:pStyle w:val="Loendilik"/>
              <w:numPr>
                <w:ilvl w:val="0"/>
                <w:numId w:val="27"/>
              </w:numPr>
              <w:jc w:val="both"/>
              <w:rPr>
                <w:i/>
                <w:iCs/>
                <w:sz w:val="20"/>
                <w:szCs w:val="20"/>
              </w:rPr>
            </w:pPr>
            <w:proofErr w:type="spellStart"/>
            <w:r w:rsidRPr="003331EF">
              <w:rPr>
                <w:i/>
                <w:iCs/>
                <w:sz w:val="20"/>
                <w:szCs w:val="20"/>
              </w:rPr>
              <w:t>FI-le</w:t>
            </w:r>
            <w:proofErr w:type="spellEnd"/>
            <w:r w:rsidRPr="003331EF">
              <w:rPr>
                <w:i/>
                <w:iCs/>
                <w:sz w:val="20"/>
                <w:szCs w:val="20"/>
              </w:rPr>
              <w:t xml:space="preserve"> 40 päeva enne teenuse osutamist ettenähtud teabe esitamine.</w:t>
            </w:r>
          </w:p>
        </w:tc>
      </w:tr>
      <w:tr w:rsidR="003331EF" w:rsidRPr="003331EF" w14:paraId="28D378B4" w14:textId="77777777" w:rsidTr="00E043AB">
        <w:tc>
          <w:tcPr>
            <w:tcW w:w="2793" w:type="dxa"/>
            <w:shd w:val="clear" w:color="auto" w:fill="D9E2F3" w:themeFill="accent5" w:themeFillTint="33"/>
          </w:tcPr>
          <w:p w14:paraId="0C03A74B" w14:textId="77777777" w:rsidR="001A4507" w:rsidRPr="003331EF" w:rsidRDefault="001A4507" w:rsidP="003331EF">
            <w:pPr>
              <w:spacing w:before="0"/>
              <w:jc w:val="center"/>
              <w:rPr>
                <w:i/>
                <w:iCs/>
                <w:sz w:val="20"/>
                <w:szCs w:val="20"/>
              </w:rPr>
            </w:pPr>
            <w:r w:rsidRPr="003331EF">
              <w:rPr>
                <w:b/>
                <w:bCs/>
                <w:i/>
                <w:iCs/>
                <w:sz w:val="20"/>
                <w:szCs w:val="20"/>
              </w:rPr>
              <w:t xml:space="preserve">Varapõhise </w:t>
            </w:r>
            <w:proofErr w:type="spellStart"/>
            <w:r w:rsidRPr="003331EF">
              <w:rPr>
                <w:b/>
                <w:bCs/>
                <w:i/>
                <w:iCs/>
                <w:sz w:val="20"/>
                <w:szCs w:val="20"/>
              </w:rPr>
              <w:t>tokeni</w:t>
            </w:r>
            <w:proofErr w:type="spellEnd"/>
            <w:r w:rsidRPr="003331EF">
              <w:rPr>
                <w:b/>
                <w:bCs/>
                <w:i/>
                <w:iCs/>
                <w:sz w:val="20"/>
                <w:szCs w:val="20"/>
              </w:rPr>
              <w:t xml:space="preserve"> emitent</w:t>
            </w:r>
          </w:p>
        </w:tc>
        <w:tc>
          <w:tcPr>
            <w:tcW w:w="3297" w:type="dxa"/>
            <w:shd w:val="clear" w:color="auto" w:fill="D9E2F3" w:themeFill="accent5" w:themeFillTint="33"/>
          </w:tcPr>
          <w:p w14:paraId="0335AA69" w14:textId="77777777" w:rsidR="001A4507" w:rsidRPr="003331EF" w:rsidRDefault="001A4507" w:rsidP="003331EF">
            <w:pPr>
              <w:spacing w:before="0"/>
              <w:jc w:val="center"/>
              <w:rPr>
                <w:b/>
                <w:bCs/>
                <w:i/>
                <w:iCs/>
                <w:sz w:val="20"/>
                <w:szCs w:val="20"/>
              </w:rPr>
            </w:pPr>
            <w:proofErr w:type="spellStart"/>
            <w:r w:rsidRPr="003331EF">
              <w:rPr>
                <w:b/>
                <w:bCs/>
                <w:i/>
                <w:iCs/>
                <w:sz w:val="20"/>
                <w:szCs w:val="20"/>
              </w:rPr>
              <w:t>Krüptovara</w:t>
            </w:r>
            <w:proofErr w:type="spellEnd"/>
            <w:r w:rsidRPr="003331EF">
              <w:rPr>
                <w:b/>
                <w:bCs/>
                <w:i/>
                <w:iCs/>
                <w:sz w:val="20"/>
                <w:szCs w:val="20"/>
              </w:rPr>
              <w:t xml:space="preserve"> pakkumise/ kauplemisele võtmise taotlemise õigus</w:t>
            </w:r>
          </w:p>
        </w:tc>
        <w:tc>
          <w:tcPr>
            <w:tcW w:w="2971" w:type="dxa"/>
            <w:shd w:val="clear" w:color="auto" w:fill="D9E2F3" w:themeFill="accent5" w:themeFillTint="33"/>
          </w:tcPr>
          <w:p w14:paraId="3CD74088" w14:textId="77777777" w:rsidR="001A4507" w:rsidRPr="003331EF" w:rsidRDefault="001A4507" w:rsidP="003331EF">
            <w:pPr>
              <w:spacing w:before="0"/>
              <w:jc w:val="center"/>
              <w:rPr>
                <w:i/>
                <w:iCs/>
                <w:sz w:val="20"/>
                <w:szCs w:val="20"/>
              </w:rPr>
            </w:pPr>
            <w:r w:rsidRPr="003331EF">
              <w:rPr>
                <w:b/>
                <w:bCs/>
                <w:i/>
                <w:iCs/>
                <w:sz w:val="20"/>
                <w:szCs w:val="20"/>
              </w:rPr>
              <w:t>Valge raamat</w:t>
            </w:r>
          </w:p>
        </w:tc>
      </w:tr>
      <w:tr w:rsidR="003331EF" w:rsidRPr="003331EF" w14:paraId="0E19D9D7" w14:textId="77777777" w:rsidTr="00E043AB">
        <w:tc>
          <w:tcPr>
            <w:tcW w:w="2793" w:type="dxa"/>
            <w:vMerge w:val="restart"/>
          </w:tcPr>
          <w:p w14:paraId="53CA4CF5" w14:textId="77777777" w:rsidR="001A4507" w:rsidRPr="003331EF" w:rsidRDefault="001A4507" w:rsidP="003331EF">
            <w:pPr>
              <w:pStyle w:val="Loendilik"/>
              <w:numPr>
                <w:ilvl w:val="0"/>
                <w:numId w:val="21"/>
              </w:numPr>
              <w:jc w:val="both"/>
              <w:rPr>
                <w:i/>
                <w:iCs/>
                <w:sz w:val="20"/>
                <w:szCs w:val="20"/>
              </w:rPr>
            </w:pPr>
            <w:r w:rsidRPr="003331EF">
              <w:rPr>
                <w:i/>
                <w:iCs/>
                <w:sz w:val="20"/>
                <w:szCs w:val="20"/>
              </w:rPr>
              <w:t>Juriidiline isik või muu ettevõtja</w:t>
            </w:r>
          </w:p>
        </w:tc>
        <w:tc>
          <w:tcPr>
            <w:tcW w:w="3297" w:type="dxa"/>
          </w:tcPr>
          <w:p w14:paraId="12F73C5B" w14:textId="77777777" w:rsidR="001A4507" w:rsidRPr="003331EF" w:rsidRDefault="001A4507" w:rsidP="003331EF">
            <w:pPr>
              <w:pStyle w:val="Loendilik"/>
              <w:numPr>
                <w:ilvl w:val="0"/>
                <w:numId w:val="21"/>
              </w:numPr>
              <w:jc w:val="both"/>
              <w:rPr>
                <w:b/>
                <w:bCs/>
                <w:i/>
                <w:iCs/>
                <w:sz w:val="20"/>
                <w:szCs w:val="20"/>
              </w:rPr>
            </w:pPr>
            <w:r w:rsidRPr="003331EF">
              <w:rPr>
                <w:b/>
                <w:bCs/>
                <w:i/>
                <w:iCs/>
                <w:sz w:val="20"/>
                <w:szCs w:val="20"/>
              </w:rPr>
              <w:t>FI tegevusluba.</w:t>
            </w:r>
          </w:p>
        </w:tc>
        <w:tc>
          <w:tcPr>
            <w:tcW w:w="2971" w:type="dxa"/>
          </w:tcPr>
          <w:p w14:paraId="31D3315F" w14:textId="77777777" w:rsidR="001A4507" w:rsidRPr="003331EF" w:rsidRDefault="001A4507" w:rsidP="003331EF">
            <w:pPr>
              <w:pStyle w:val="Loendilik"/>
              <w:numPr>
                <w:ilvl w:val="0"/>
                <w:numId w:val="21"/>
              </w:numPr>
              <w:jc w:val="both"/>
              <w:rPr>
                <w:i/>
                <w:iCs/>
                <w:sz w:val="20"/>
                <w:szCs w:val="20"/>
              </w:rPr>
            </w:pPr>
            <w:r w:rsidRPr="003331EF">
              <w:rPr>
                <w:i/>
                <w:iCs/>
                <w:sz w:val="20"/>
                <w:szCs w:val="20"/>
              </w:rPr>
              <w:t xml:space="preserve">Koos tegevusloa saamisega loetakse valge raamat samuti heaks kiidetuks (eraldi menetlust pole). </w:t>
            </w:r>
          </w:p>
        </w:tc>
      </w:tr>
      <w:tr w:rsidR="003331EF" w:rsidRPr="003331EF" w14:paraId="5B8A086B" w14:textId="77777777" w:rsidTr="00E043AB">
        <w:tc>
          <w:tcPr>
            <w:tcW w:w="2793" w:type="dxa"/>
            <w:vMerge/>
          </w:tcPr>
          <w:p w14:paraId="10C6B5CB" w14:textId="77777777" w:rsidR="001A4507" w:rsidRPr="003331EF" w:rsidRDefault="001A4507" w:rsidP="003331EF">
            <w:pPr>
              <w:pStyle w:val="Loendilik"/>
              <w:numPr>
                <w:ilvl w:val="0"/>
                <w:numId w:val="21"/>
              </w:numPr>
              <w:jc w:val="both"/>
              <w:rPr>
                <w:i/>
                <w:iCs/>
                <w:sz w:val="20"/>
                <w:szCs w:val="20"/>
              </w:rPr>
            </w:pPr>
          </w:p>
        </w:tc>
        <w:tc>
          <w:tcPr>
            <w:tcW w:w="3297" w:type="dxa"/>
          </w:tcPr>
          <w:p w14:paraId="3238F86D" w14:textId="77777777" w:rsidR="001A4507" w:rsidRPr="003331EF" w:rsidRDefault="001A4507" w:rsidP="003331EF">
            <w:pPr>
              <w:pStyle w:val="Loendilik"/>
              <w:numPr>
                <w:ilvl w:val="0"/>
                <w:numId w:val="21"/>
              </w:numPr>
              <w:jc w:val="both"/>
              <w:rPr>
                <w:i/>
                <w:iCs/>
                <w:sz w:val="20"/>
                <w:szCs w:val="20"/>
              </w:rPr>
            </w:pPr>
            <w:r w:rsidRPr="003331EF">
              <w:rPr>
                <w:i/>
                <w:iCs/>
                <w:sz w:val="20"/>
                <w:szCs w:val="20"/>
              </w:rPr>
              <w:t>FI tegevusluba ei ole vaja, kui:</w:t>
            </w:r>
          </w:p>
          <w:p w14:paraId="4E9F329B" w14:textId="77777777" w:rsidR="001A4507" w:rsidRPr="003331EF" w:rsidRDefault="001A4507" w:rsidP="003331EF">
            <w:pPr>
              <w:pStyle w:val="Loendilik"/>
              <w:numPr>
                <w:ilvl w:val="0"/>
                <w:numId w:val="22"/>
              </w:numPr>
              <w:jc w:val="both"/>
              <w:rPr>
                <w:i/>
                <w:iCs/>
                <w:sz w:val="20"/>
                <w:szCs w:val="20"/>
              </w:rPr>
            </w:pPr>
            <w:r w:rsidRPr="003331EF">
              <w:rPr>
                <w:i/>
                <w:iCs/>
                <w:sz w:val="20"/>
                <w:szCs w:val="20"/>
              </w:rPr>
              <w:t xml:space="preserve">ringluses olevate </w:t>
            </w:r>
            <w:proofErr w:type="spellStart"/>
            <w:r w:rsidRPr="003331EF">
              <w:rPr>
                <w:i/>
                <w:iCs/>
                <w:sz w:val="20"/>
                <w:szCs w:val="20"/>
              </w:rPr>
              <w:t>tokenite</w:t>
            </w:r>
            <w:proofErr w:type="spellEnd"/>
            <w:r w:rsidRPr="003331EF">
              <w:rPr>
                <w:i/>
                <w:iCs/>
                <w:sz w:val="20"/>
                <w:szCs w:val="20"/>
              </w:rPr>
              <w:t xml:space="preserve"> väärtus on alla 5 000 000 euro, või</w:t>
            </w:r>
          </w:p>
          <w:p w14:paraId="4C654950" w14:textId="77777777" w:rsidR="001A4507" w:rsidRPr="003331EF" w:rsidRDefault="001A4507" w:rsidP="003331EF">
            <w:pPr>
              <w:pStyle w:val="Loendilik"/>
              <w:numPr>
                <w:ilvl w:val="0"/>
                <w:numId w:val="22"/>
              </w:numPr>
              <w:jc w:val="both"/>
              <w:rPr>
                <w:i/>
                <w:iCs/>
                <w:sz w:val="20"/>
                <w:szCs w:val="20"/>
              </w:rPr>
            </w:pPr>
            <w:proofErr w:type="spellStart"/>
            <w:r w:rsidRPr="003331EF">
              <w:rPr>
                <w:i/>
                <w:iCs/>
                <w:sz w:val="20"/>
                <w:szCs w:val="20"/>
              </w:rPr>
              <w:t>tokeneid</w:t>
            </w:r>
            <w:proofErr w:type="spellEnd"/>
            <w:r w:rsidRPr="003331EF">
              <w:rPr>
                <w:i/>
                <w:iCs/>
                <w:sz w:val="20"/>
                <w:szCs w:val="20"/>
              </w:rPr>
              <w:t xml:space="preserve"> pakutakse ainult kutselistele investoritele.</w:t>
            </w:r>
          </w:p>
        </w:tc>
        <w:tc>
          <w:tcPr>
            <w:tcW w:w="2971" w:type="dxa"/>
          </w:tcPr>
          <w:p w14:paraId="64BA5634" w14:textId="77777777" w:rsidR="001A4507" w:rsidRPr="003331EF" w:rsidRDefault="001A4507" w:rsidP="003331EF">
            <w:pPr>
              <w:pStyle w:val="Loendilik"/>
              <w:numPr>
                <w:ilvl w:val="0"/>
                <w:numId w:val="23"/>
              </w:numPr>
              <w:jc w:val="both"/>
              <w:rPr>
                <w:i/>
                <w:iCs/>
                <w:sz w:val="20"/>
                <w:szCs w:val="20"/>
              </w:rPr>
            </w:pPr>
            <w:r w:rsidRPr="003331EF">
              <w:rPr>
                <w:i/>
                <w:iCs/>
                <w:sz w:val="20"/>
                <w:szCs w:val="20"/>
              </w:rPr>
              <w:t>FI teavitamine valgest raamatust.</w:t>
            </w:r>
          </w:p>
        </w:tc>
      </w:tr>
      <w:tr w:rsidR="003331EF" w:rsidRPr="003331EF" w14:paraId="1906D10C" w14:textId="77777777" w:rsidTr="00E043AB">
        <w:tc>
          <w:tcPr>
            <w:tcW w:w="2793" w:type="dxa"/>
          </w:tcPr>
          <w:p w14:paraId="5971D08E" w14:textId="77777777" w:rsidR="001A4507" w:rsidRPr="003331EF" w:rsidRDefault="001A4507" w:rsidP="003331EF">
            <w:pPr>
              <w:pStyle w:val="Loendilik"/>
              <w:numPr>
                <w:ilvl w:val="0"/>
                <w:numId w:val="21"/>
              </w:numPr>
              <w:jc w:val="both"/>
              <w:rPr>
                <w:i/>
                <w:iCs/>
                <w:sz w:val="20"/>
                <w:szCs w:val="20"/>
              </w:rPr>
            </w:pPr>
            <w:r w:rsidRPr="003331EF">
              <w:rPr>
                <w:i/>
                <w:iCs/>
                <w:sz w:val="20"/>
                <w:szCs w:val="20"/>
              </w:rPr>
              <w:t>Krediidiasutus</w:t>
            </w:r>
          </w:p>
        </w:tc>
        <w:tc>
          <w:tcPr>
            <w:tcW w:w="3297" w:type="dxa"/>
          </w:tcPr>
          <w:p w14:paraId="7E5AAFB3" w14:textId="77777777" w:rsidR="001A4507" w:rsidRPr="003331EF" w:rsidRDefault="001A4507" w:rsidP="003331EF">
            <w:pPr>
              <w:pStyle w:val="Loendilik"/>
              <w:numPr>
                <w:ilvl w:val="0"/>
                <w:numId w:val="21"/>
              </w:numPr>
              <w:jc w:val="both"/>
              <w:rPr>
                <w:i/>
                <w:iCs/>
                <w:sz w:val="20"/>
                <w:szCs w:val="20"/>
              </w:rPr>
            </w:pPr>
            <w:r w:rsidRPr="003331EF">
              <w:rPr>
                <w:i/>
                <w:iCs/>
                <w:sz w:val="20"/>
                <w:szCs w:val="20"/>
              </w:rPr>
              <w:t xml:space="preserve">FI teavitamine 90 päeva enne </w:t>
            </w:r>
            <w:proofErr w:type="spellStart"/>
            <w:r w:rsidRPr="003331EF">
              <w:rPr>
                <w:i/>
                <w:iCs/>
                <w:sz w:val="20"/>
                <w:szCs w:val="20"/>
              </w:rPr>
              <w:t>krüptovara</w:t>
            </w:r>
            <w:proofErr w:type="spellEnd"/>
            <w:r w:rsidRPr="003331EF">
              <w:rPr>
                <w:i/>
                <w:iCs/>
                <w:sz w:val="20"/>
                <w:szCs w:val="20"/>
              </w:rPr>
              <w:t xml:space="preserve"> emiteerimist ja teabe esitamine.</w:t>
            </w:r>
          </w:p>
        </w:tc>
        <w:tc>
          <w:tcPr>
            <w:tcW w:w="2971" w:type="dxa"/>
          </w:tcPr>
          <w:p w14:paraId="7813573E" w14:textId="77777777" w:rsidR="001A4507" w:rsidRPr="003331EF" w:rsidRDefault="001A4507" w:rsidP="003331EF">
            <w:pPr>
              <w:pStyle w:val="Loendilik"/>
              <w:numPr>
                <w:ilvl w:val="0"/>
                <w:numId w:val="21"/>
              </w:numPr>
              <w:jc w:val="both"/>
              <w:rPr>
                <w:b/>
                <w:bCs/>
                <w:i/>
                <w:iCs/>
                <w:sz w:val="20"/>
                <w:szCs w:val="20"/>
              </w:rPr>
            </w:pPr>
            <w:r w:rsidRPr="003331EF">
              <w:rPr>
                <w:b/>
                <w:bCs/>
                <w:i/>
                <w:iCs/>
                <w:sz w:val="20"/>
                <w:szCs w:val="20"/>
              </w:rPr>
              <w:t>FI kiidab valge raamatu heaks.</w:t>
            </w:r>
          </w:p>
        </w:tc>
      </w:tr>
      <w:tr w:rsidR="003331EF" w:rsidRPr="003331EF" w14:paraId="3787CFE9" w14:textId="77777777" w:rsidTr="00E043AB">
        <w:tc>
          <w:tcPr>
            <w:tcW w:w="2793" w:type="dxa"/>
          </w:tcPr>
          <w:p w14:paraId="358E8603" w14:textId="77777777" w:rsidR="001A4507" w:rsidRPr="003331EF" w:rsidRDefault="001A4507" w:rsidP="003331EF">
            <w:pPr>
              <w:spacing w:before="0"/>
              <w:rPr>
                <w:i/>
                <w:iCs/>
                <w:sz w:val="20"/>
                <w:szCs w:val="20"/>
              </w:rPr>
            </w:pPr>
          </w:p>
        </w:tc>
        <w:tc>
          <w:tcPr>
            <w:tcW w:w="3297" w:type="dxa"/>
          </w:tcPr>
          <w:p w14:paraId="37B7F3F6" w14:textId="77777777" w:rsidR="001A4507" w:rsidRPr="003331EF" w:rsidRDefault="001A4507" w:rsidP="003331EF">
            <w:pPr>
              <w:pStyle w:val="Loendilik"/>
              <w:numPr>
                <w:ilvl w:val="0"/>
                <w:numId w:val="21"/>
              </w:numPr>
              <w:jc w:val="both"/>
              <w:rPr>
                <w:i/>
                <w:iCs/>
                <w:sz w:val="20"/>
                <w:szCs w:val="20"/>
              </w:rPr>
            </w:pPr>
            <w:r w:rsidRPr="003331EF">
              <w:rPr>
                <w:i/>
                <w:iCs/>
                <w:sz w:val="20"/>
                <w:szCs w:val="20"/>
              </w:rPr>
              <w:t xml:space="preserve">Varapõhise </w:t>
            </w:r>
            <w:proofErr w:type="spellStart"/>
            <w:r w:rsidRPr="003331EF">
              <w:rPr>
                <w:i/>
                <w:iCs/>
                <w:sz w:val="20"/>
                <w:szCs w:val="20"/>
              </w:rPr>
              <w:t>tokeni</w:t>
            </w:r>
            <w:proofErr w:type="spellEnd"/>
            <w:r w:rsidRPr="003331EF">
              <w:rPr>
                <w:i/>
                <w:iCs/>
                <w:sz w:val="20"/>
                <w:szCs w:val="20"/>
              </w:rPr>
              <w:t xml:space="preserve"> emitendi kirjalikul nõusolekul võib </w:t>
            </w:r>
            <w:proofErr w:type="spellStart"/>
            <w:r w:rsidRPr="003331EF">
              <w:rPr>
                <w:i/>
                <w:iCs/>
                <w:sz w:val="20"/>
                <w:szCs w:val="20"/>
              </w:rPr>
              <w:t>krüptovara</w:t>
            </w:r>
            <w:proofErr w:type="spellEnd"/>
            <w:r w:rsidRPr="003331EF">
              <w:rPr>
                <w:i/>
                <w:iCs/>
                <w:sz w:val="20"/>
                <w:szCs w:val="20"/>
              </w:rPr>
              <w:t xml:space="preserve"> pakkuda või kauplemisele võtmist taotleda muu isik.</w:t>
            </w:r>
          </w:p>
        </w:tc>
        <w:tc>
          <w:tcPr>
            <w:tcW w:w="2971" w:type="dxa"/>
          </w:tcPr>
          <w:p w14:paraId="2716FA29" w14:textId="77777777" w:rsidR="001A4507" w:rsidRPr="003331EF" w:rsidRDefault="001A4507" w:rsidP="003331EF">
            <w:pPr>
              <w:spacing w:before="0"/>
              <w:rPr>
                <w:i/>
                <w:iCs/>
                <w:sz w:val="20"/>
                <w:szCs w:val="20"/>
              </w:rPr>
            </w:pPr>
          </w:p>
        </w:tc>
      </w:tr>
      <w:tr w:rsidR="003331EF" w:rsidRPr="003331EF" w14:paraId="67CDDADD" w14:textId="77777777" w:rsidTr="00E043AB">
        <w:tc>
          <w:tcPr>
            <w:tcW w:w="2793" w:type="dxa"/>
            <w:shd w:val="clear" w:color="auto" w:fill="D9E2F3" w:themeFill="accent5" w:themeFillTint="33"/>
          </w:tcPr>
          <w:p w14:paraId="703FEF64" w14:textId="77777777" w:rsidR="001A4507" w:rsidRPr="003331EF" w:rsidRDefault="001A4507" w:rsidP="003331EF">
            <w:pPr>
              <w:spacing w:before="0"/>
              <w:jc w:val="center"/>
              <w:rPr>
                <w:i/>
                <w:iCs/>
                <w:sz w:val="20"/>
                <w:szCs w:val="20"/>
              </w:rPr>
            </w:pPr>
            <w:r w:rsidRPr="003331EF">
              <w:rPr>
                <w:b/>
                <w:bCs/>
                <w:i/>
                <w:iCs/>
                <w:sz w:val="20"/>
                <w:szCs w:val="20"/>
              </w:rPr>
              <w:t xml:space="preserve">E-raha </w:t>
            </w:r>
            <w:proofErr w:type="spellStart"/>
            <w:r w:rsidRPr="003331EF">
              <w:rPr>
                <w:b/>
                <w:bCs/>
                <w:i/>
                <w:iCs/>
                <w:sz w:val="20"/>
                <w:szCs w:val="20"/>
              </w:rPr>
              <w:t>tokeni</w:t>
            </w:r>
            <w:proofErr w:type="spellEnd"/>
            <w:r w:rsidRPr="003331EF">
              <w:rPr>
                <w:b/>
                <w:bCs/>
                <w:i/>
                <w:iCs/>
                <w:sz w:val="20"/>
                <w:szCs w:val="20"/>
              </w:rPr>
              <w:t xml:space="preserve"> emitent</w:t>
            </w:r>
          </w:p>
        </w:tc>
        <w:tc>
          <w:tcPr>
            <w:tcW w:w="3297" w:type="dxa"/>
            <w:shd w:val="clear" w:color="auto" w:fill="D9E2F3" w:themeFill="accent5" w:themeFillTint="33"/>
          </w:tcPr>
          <w:p w14:paraId="5FCFAFAF" w14:textId="77777777" w:rsidR="001A4507" w:rsidRPr="003331EF" w:rsidRDefault="001A4507" w:rsidP="003331EF">
            <w:pPr>
              <w:spacing w:before="0"/>
              <w:jc w:val="center"/>
              <w:rPr>
                <w:b/>
                <w:bCs/>
                <w:i/>
                <w:iCs/>
                <w:sz w:val="20"/>
                <w:szCs w:val="20"/>
              </w:rPr>
            </w:pPr>
            <w:proofErr w:type="spellStart"/>
            <w:r w:rsidRPr="003331EF">
              <w:rPr>
                <w:b/>
                <w:bCs/>
                <w:i/>
                <w:iCs/>
                <w:sz w:val="20"/>
                <w:szCs w:val="20"/>
              </w:rPr>
              <w:t>Krüptovara</w:t>
            </w:r>
            <w:proofErr w:type="spellEnd"/>
            <w:r w:rsidRPr="003331EF">
              <w:rPr>
                <w:b/>
                <w:bCs/>
                <w:i/>
                <w:iCs/>
                <w:sz w:val="20"/>
                <w:szCs w:val="20"/>
              </w:rPr>
              <w:t xml:space="preserve"> pakkumise/ kauplemisele võtmise õigus</w:t>
            </w:r>
          </w:p>
        </w:tc>
        <w:tc>
          <w:tcPr>
            <w:tcW w:w="2971" w:type="dxa"/>
            <w:shd w:val="clear" w:color="auto" w:fill="D9E2F3" w:themeFill="accent5" w:themeFillTint="33"/>
          </w:tcPr>
          <w:p w14:paraId="3D93BD31" w14:textId="77777777" w:rsidR="001A4507" w:rsidRPr="003331EF" w:rsidRDefault="001A4507" w:rsidP="003331EF">
            <w:pPr>
              <w:spacing w:before="0"/>
              <w:jc w:val="center"/>
              <w:rPr>
                <w:i/>
                <w:iCs/>
                <w:sz w:val="20"/>
                <w:szCs w:val="20"/>
              </w:rPr>
            </w:pPr>
            <w:r w:rsidRPr="003331EF">
              <w:rPr>
                <w:b/>
                <w:bCs/>
                <w:i/>
                <w:iCs/>
                <w:sz w:val="20"/>
                <w:szCs w:val="20"/>
              </w:rPr>
              <w:t>Valge raamat</w:t>
            </w:r>
          </w:p>
        </w:tc>
      </w:tr>
      <w:tr w:rsidR="003331EF" w:rsidRPr="003331EF" w14:paraId="4CBE50C5" w14:textId="77777777" w:rsidTr="00E043AB">
        <w:tc>
          <w:tcPr>
            <w:tcW w:w="2793" w:type="dxa"/>
          </w:tcPr>
          <w:p w14:paraId="5F5236DC" w14:textId="77777777" w:rsidR="001A4507" w:rsidRPr="003331EF" w:rsidRDefault="001A4507" w:rsidP="003331EF">
            <w:pPr>
              <w:pStyle w:val="Loendilik"/>
              <w:numPr>
                <w:ilvl w:val="0"/>
                <w:numId w:val="24"/>
              </w:numPr>
              <w:jc w:val="both"/>
              <w:rPr>
                <w:i/>
                <w:iCs/>
                <w:sz w:val="20"/>
                <w:szCs w:val="20"/>
              </w:rPr>
            </w:pPr>
            <w:r w:rsidRPr="003331EF">
              <w:rPr>
                <w:i/>
                <w:iCs/>
                <w:sz w:val="20"/>
                <w:szCs w:val="20"/>
              </w:rPr>
              <w:t>Krediidiasutus</w:t>
            </w:r>
          </w:p>
        </w:tc>
        <w:tc>
          <w:tcPr>
            <w:tcW w:w="3297" w:type="dxa"/>
          </w:tcPr>
          <w:p w14:paraId="700F894F" w14:textId="77777777" w:rsidR="001A4507" w:rsidRPr="003331EF" w:rsidRDefault="001A4507" w:rsidP="003331EF">
            <w:pPr>
              <w:pStyle w:val="Loendilik"/>
              <w:numPr>
                <w:ilvl w:val="0"/>
                <w:numId w:val="21"/>
              </w:numPr>
              <w:jc w:val="both"/>
              <w:rPr>
                <w:i/>
                <w:iCs/>
                <w:sz w:val="20"/>
                <w:szCs w:val="20"/>
              </w:rPr>
            </w:pPr>
            <w:r w:rsidRPr="003331EF">
              <w:rPr>
                <w:i/>
                <w:iCs/>
                <w:sz w:val="20"/>
                <w:szCs w:val="20"/>
              </w:rPr>
              <w:t xml:space="preserve">FI teavitamine 40 päeva enne </w:t>
            </w:r>
            <w:proofErr w:type="spellStart"/>
            <w:r w:rsidRPr="003331EF">
              <w:rPr>
                <w:i/>
                <w:iCs/>
                <w:sz w:val="20"/>
                <w:szCs w:val="20"/>
              </w:rPr>
              <w:t>krüptovara</w:t>
            </w:r>
            <w:proofErr w:type="spellEnd"/>
            <w:r w:rsidRPr="003331EF">
              <w:rPr>
                <w:i/>
                <w:iCs/>
                <w:sz w:val="20"/>
                <w:szCs w:val="20"/>
              </w:rPr>
              <w:t xml:space="preserve"> pakkumist või kauplemisele võtmise taotlemist.</w:t>
            </w:r>
          </w:p>
        </w:tc>
        <w:tc>
          <w:tcPr>
            <w:tcW w:w="2971" w:type="dxa"/>
          </w:tcPr>
          <w:p w14:paraId="1F13916A" w14:textId="77777777" w:rsidR="001A4507" w:rsidRPr="003331EF" w:rsidRDefault="001A4507" w:rsidP="003331EF">
            <w:pPr>
              <w:pStyle w:val="Loendilik"/>
              <w:numPr>
                <w:ilvl w:val="0"/>
                <w:numId w:val="24"/>
              </w:numPr>
              <w:jc w:val="both"/>
              <w:rPr>
                <w:i/>
                <w:iCs/>
                <w:sz w:val="20"/>
                <w:szCs w:val="20"/>
              </w:rPr>
            </w:pPr>
            <w:r w:rsidRPr="003331EF">
              <w:rPr>
                <w:i/>
                <w:iCs/>
                <w:sz w:val="20"/>
                <w:szCs w:val="20"/>
              </w:rPr>
              <w:t>FI teavitamine valgest raamatust (FI ei või nõuda selle heakskiitmist)</w:t>
            </w:r>
          </w:p>
        </w:tc>
      </w:tr>
      <w:tr w:rsidR="003331EF" w:rsidRPr="003331EF" w14:paraId="15B72E55" w14:textId="77777777" w:rsidTr="00E043AB">
        <w:tc>
          <w:tcPr>
            <w:tcW w:w="2793" w:type="dxa"/>
          </w:tcPr>
          <w:p w14:paraId="3C2D776C" w14:textId="77777777" w:rsidR="001A4507" w:rsidRPr="003331EF" w:rsidRDefault="001A4507" w:rsidP="003331EF">
            <w:pPr>
              <w:pStyle w:val="Loendilik"/>
              <w:numPr>
                <w:ilvl w:val="0"/>
                <w:numId w:val="24"/>
              </w:numPr>
              <w:jc w:val="both"/>
              <w:rPr>
                <w:i/>
                <w:iCs/>
                <w:sz w:val="20"/>
                <w:szCs w:val="20"/>
              </w:rPr>
            </w:pPr>
            <w:r w:rsidRPr="003331EF">
              <w:rPr>
                <w:i/>
                <w:iCs/>
                <w:sz w:val="20"/>
                <w:szCs w:val="20"/>
              </w:rPr>
              <w:t xml:space="preserve">E-raha asutus </w:t>
            </w:r>
          </w:p>
        </w:tc>
        <w:tc>
          <w:tcPr>
            <w:tcW w:w="3297" w:type="dxa"/>
          </w:tcPr>
          <w:p w14:paraId="374B4C9E" w14:textId="77777777" w:rsidR="001A4507" w:rsidRPr="003331EF" w:rsidRDefault="001A4507" w:rsidP="003331EF">
            <w:pPr>
              <w:pStyle w:val="Loendilik"/>
              <w:numPr>
                <w:ilvl w:val="0"/>
                <w:numId w:val="24"/>
              </w:numPr>
              <w:jc w:val="both"/>
              <w:rPr>
                <w:i/>
                <w:iCs/>
                <w:sz w:val="20"/>
                <w:szCs w:val="20"/>
              </w:rPr>
            </w:pPr>
            <w:r w:rsidRPr="003331EF">
              <w:rPr>
                <w:i/>
                <w:iCs/>
                <w:sz w:val="20"/>
                <w:szCs w:val="20"/>
              </w:rPr>
              <w:t xml:space="preserve">FI teavitamine 40 päeva enne </w:t>
            </w:r>
            <w:proofErr w:type="spellStart"/>
            <w:r w:rsidRPr="003331EF">
              <w:rPr>
                <w:i/>
                <w:iCs/>
                <w:sz w:val="20"/>
                <w:szCs w:val="20"/>
              </w:rPr>
              <w:t>krüptovara</w:t>
            </w:r>
            <w:proofErr w:type="spellEnd"/>
            <w:r w:rsidRPr="003331EF">
              <w:rPr>
                <w:i/>
                <w:iCs/>
                <w:sz w:val="20"/>
                <w:szCs w:val="20"/>
              </w:rPr>
              <w:t xml:space="preserve"> pakkumist või kauplemisele võtmise taotlemist.</w:t>
            </w:r>
          </w:p>
        </w:tc>
        <w:tc>
          <w:tcPr>
            <w:tcW w:w="2971" w:type="dxa"/>
          </w:tcPr>
          <w:p w14:paraId="5EC70FD4" w14:textId="77777777" w:rsidR="001A4507" w:rsidRPr="003331EF" w:rsidRDefault="001A4507" w:rsidP="003331EF">
            <w:pPr>
              <w:pStyle w:val="Loendilik"/>
              <w:numPr>
                <w:ilvl w:val="0"/>
                <w:numId w:val="24"/>
              </w:numPr>
              <w:jc w:val="both"/>
              <w:rPr>
                <w:i/>
                <w:iCs/>
                <w:sz w:val="20"/>
                <w:szCs w:val="20"/>
              </w:rPr>
            </w:pPr>
            <w:r w:rsidRPr="003331EF">
              <w:rPr>
                <w:i/>
                <w:iCs/>
                <w:sz w:val="20"/>
                <w:szCs w:val="20"/>
              </w:rPr>
              <w:t>FI teavitamine valgest raamatust (FI ei või nõuda selle heakskiitmist).</w:t>
            </w:r>
          </w:p>
        </w:tc>
      </w:tr>
      <w:tr w:rsidR="003331EF" w:rsidRPr="003331EF" w14:paraId="0A98AFB6" w14:textId="77777777" w:rsidTr="00E043AB">
        <w:tc>
          <w:tcPr>
            <w:tcW w:w="2793" w:type="dxa"/>
          </w:tcPr>
          <w:p w14:paraId="2F791F17" w14:textId="77777777" w:rsidR="001A4507" w:rsidRPr="003331EF" w:rsidRDefault="001A4507" w:rsidP="003331EF">
            <w:pPr>
              <w:pStyle w:val="Loendilik"/>
              <w:numPr>
                <w:ilvl w:val="0"/>
                <w:numId w:val="24"/>
              </w:numPr>
              <w:jc w:val="both"/>
              <w:rPr>
                <w:i/>
                <w:iCs/>
                <w:sz w:val="20"/>
                <w:szCs w:val="20"/>
              </w:rPr>
            </w:pPr>
            <w:r w:rsidRPr="003331EF">
              <w:rPr>
                <w:i/>
                <w:iCs/>
                <w:sz w:val="20"/>
                <w:szCs w:val="20"/>
              </w:rPr>
              <w:t>MERAS § 12 kohaselt erandi alusel tegutsev e-raha asutus</w:t>
            </w:r>
          </w:p>
        </w:tc>
        <w:tc>
          <w:tcPr>
            <w:tcW w:w="3297" w:type="dxa"/>
          </w:tcPr>
          <w:p w14:paraId="54AA6F46" w14:textId="77777777" w:rsidR="001A4507" w:rsidRPr="003331EF" w:rsidRDefault="001A4507" w:rsidP="003331EF">
            <w:pPr>
              <w:pStyle w:val="Loendilik"/>
              <w:numPr>
                <w:ilvl w:val="0"/>
                <w:numId w:val="24"/>
              </w:numPr>
              <w:jc w:val="both"/>
              <w:rPr>
                <w:i/>
                <w:iCs/>
                <w:sz w:val="20"/>
                <w:szCs w:val="20"/>
              </w:rPr>
            </w:pPr>
            <w:r w:rsidRPr="003331EF">
              <w:rPr>
                <w:i/>
                <w:iCs/>
                <w:sz w:val="20"/>
                <w:szCs w:val="20"/>
              </w:rPr>
              <w:t xml:space="preserve">FI teavitamine 40 päeva enne </w:t>
            </w:r>
            <w:proofErr w:type="spellStart"/>
            <w:r w:rsidRPr="003331EF">
              <w:rPr>
                <w:i/>
                <w:iCs/>
                <w:sz w:val="20"/>
                <w:szCs w:val="20"/>
              </w:rPr>
              <w:t>krüptovara</w:t>
            </w:r>
            <w:proofErr w:type="spellEnd"/>
            <w:r w:rsidRPr="003331EF">
              <w:rPr>
                <w:i/>
                <w:iCs/>
                <w:sz w:val="20"/>
                <w:szCs w:val="20"/>
              </w:rPr>
              <w:t xml:space="preserve"> pakkumist.</w:t>
            </w:r>
          </w:p>
        </w:tc>
        <w:tc>
          <w:tcPr>
            <w:tcW w:w="2971" w:type="dxa"/>
          </w:tcPr>
          <w:p w14:paraId="297BB9EE" w14:textId="77777777" w:rsidR="001A4507" w:rsidRPr="003331EF" w:rsidRDefault="001A4507" w:rsidP="003331EF">
            <w:pPr>
              <w:pStyle w:val="Loendilik"/>
              <w:numPr>
                <w:ilvl w:val="0"/>
                <w:numId w:val="24"/>
              </w:numPr>
              <w:jc w:val="both"/>
              <w:rPr>
                <w:i/>
                <w:iCs/>
                <w:sz w:val="20"/>
                <w:szCs w:val="20"/>
              </w:rPr>
            </w:pPr>
            <w:r w:rsidRPr="003331EF">
              <w:rPr>
                <w:i/>
                <w:iCs/>
                <w:sz w:val="20"/>
                <w:szCs w:val="20"/>
              </w:rPr>
              <w:t>FI teavitamine valgest raamatust (FI ei või nõuda selle heakskiitmist).</w:t>
            </w:r>
          </w:p>
        </w:tc>
      </w:tr>
      <w:tr w:rsidR="003331EF" w:rsidRPr="003331EF" w14:paraId="7145E254" w14:textId="77777777" w:rsidTr="00E043AB">
        <w:tc>
          <w:tcPr>
            <w:tcW w:w="2793" w:type="dxa"/>
          </w:tcPr>
          <w:p w14:paraId="1E99A133" w14:textId="77777777" w:rsidR="001A4507" w:rsidRPr="003331EF" w:rsidRDefault="001A4507" w:rsidP="003331EF">
            <w:pPr>
              <w:pStyle w:val="Loendilik"/>
              <w:numPr>
                <w:ilvl w:val="0"/>
                <w:numId w:val="24"/>
              </w:numPr>
              <w:jc w:val="both"/>
              <w:rPr>
                <w:i/>
                <w:iCs/>
                <w:sz w:val="20"/>
                <w:szCs w:val="20"/>
              </w:rPr>
            </w:pPr>
            <w:r w:rsidRPr="003331EF">
              <w:rPr>
                <w:i/>
                <w:iCs/>
                <w:sz w:val="20"/>
                <w:szCs w:val="20"/>
              </w:rPr>
              <w:t xml:space="preserve">MERAS § 6 lg 3 </w:t>
            </w:r>
          </w:p>
        </w:tc>
        <w:tc>
          <w:tcPr>
            <w:tcW w:w="3297" w:type="dxa"/>
          </w:tcPr>
          <w:p w14:paraId="06C9F154" w14:textId="77777777" w:rsidR="001A4507" w:rsidRPr="003331EF" w:rsidRDefault="001A4507" w:rsidP="003331EF">
            <w:pPr>
              <w:pStyle w:val="Loendilik"/>
              <w:numPr>
                <w:ilvl w:val="0"/>
                <w:numId w:val="24"/>
              </w:numPr>
              <w:jc w:val="both"/>
              <w:rPr>
                <w:i/>
                <w:iCs/>
                <w:sz w:val="20"/>
                <w:szCs w:val="20"/>
              </w:rPr>
            </w:pPr>
            <w:proofErr w:type="spellStart"/>
            <w:r w:rsidRPr="003331EF">
              <w:rPr>
                <w:i/>
                <w:iCs/>
                <w:sz w:val="20"/>
                <w:szCs w:val="20"/>
              </w:rPr>
              <w:t>FI-d</w:t>
            </w:r>
            <w:proofErr w:type="spellEnd"/>
            <w:r w:rsidRPr="003331EF">
              <w:rPr>
                <w:i/>
                <w:iCs/>
                <w:sz w:val="20"/>
                <w:szCs w:val="20"/>
              </w:rPr>
              <w:t xml:space="preserve"> ei pea teavitama.</w:t>
            </w:r>
          </w:p>
        </w:tc>
        <w:tc>
          <w:tcPr>
            <w:tcW w:w="2971" w:type="dxa"/>
          </w:tcPr>
          <w:p w14:paraId="0C3BE827" w14:textId="77777777" w:rsidR="001A4507" w:rsidRPr="003331EF" w:rsidRDefault="001A4507" w:rsidP="003331EF">
            <w:pPr>
              <w:pStyle w:val="Loendilik"/>
              <w:numPr>
                <w:ilvl w:val="0"/>
                <w:numId w:val="24"/>
              </w:numPr>
              <w:jc w:val="both"/>
              <w:rPr>
                <w:i/>
                <w:iCs/>
                <w:sz w:val="20"/>
                <w:szCs w:val="20"/>
              </w:rPr>
            </w:pPr>
            <w:r w:rsidRPr="003331EF">
              <w:rPr>
                <w:i/>
                <w:iCs/>
                <w:sz w:val="20"/>
                <w:szCs w:val="20"/>
              </w:rPr>
              <w:t>FI teavitamine valgest raamatust (FI ei või nõuda selle heakskiitmist).</w:t>
            </w:r>
          </w:p>
        </w:tc>
      </w:tr>
      <w:tr w:rsidR="003331EF" w:rsidRPr="003331EF" w14:paraId="614F3382" w14:textId="77777777" w:rsidTr="00E043AB">
        <w:tc>
          <w:tcPr>
            <w:tcW w:w="2793" w:type="dxa"/>
          </w:tcPr>
          <w:p w14:paraId="21089945" w14:textId="77777777" w:rsidR="001A4507" w:rsidRPr="003331EF" w:rsidRDefault="001A4507" w:rsidP="003331EF">
            <w:pPr>
              <w:pStyle w:val="Loendilik"/>
              <w:ind w:left="360"/>
              <w:jc w:val="both"/>
              <w:rPr>
                <w:i/>
                <w:iCs/>
                <w:sz w:val="20"/>
                <w:szCs w:val="20"/>
              </w:rPr>
            </w:pPr>
          </w:p>
        </w:tc>
        <w:tc>
          <w:tcPr>
            <w:tcW w:w="3297" w:type="dxa"/>
          </w:tcPr>
          <w:p w14:paraId="61EC9D25" w14:textId="77777777" w:rsidR="001A4507" w:rsidRPr="003331EF" w:rsidRDefault="001A4507" w:rsidP="003331EF">
            <w:pPr>
              <w:pStyle w:val="Loendilik"/>
              <w:numPr>
                <w:ilvl w:val="0"/>
                <w:numId w:val="24"/>
              </w:numPr>
              <w:jc w:val="both"/>
              <w:rPr>
                <w:i/>
                <w:iCs/>
                <w:sz w:val="20"/>
                <w:szCs w:val="20"/>
              </w:rPr>
            </w:pPr>
            <w:r w:rsidRPr="003331EF">
              <w:rPr>
                <w:i/>
                <w:iCs/>
                <w:sz w:val="20"/>
                <w:szCs w:val="20"/>
              </w:rPr>
              <w:t xml:space="preserve">Emitendi, v.a MERAS § 6 lg 3 ja § 12 juhud, kirjalikul nõusolekul võib </w:t>
            </w:r>
            <w:proofErr w:type="spellStart"/>
            <w:r w:rsidRPr="003331EF">
              <w:rPr>
                <w:i/>
                <w:iCs/>
                <w:sz w:val="20"/>
                <w:szCs w:val="20"/>
              </w:rPr>
              <w:t>krüptovara</w:t>
            </w:r>
            <w:proofErr w:type="spellEnd"/>
            <w:r w:rsidRPr="003331EF">
              <w:rPr>
                <w:i/>
                <w:iCs/>
                <w:sz w:val="20"/>
                <w:szCs w:val="20"/>
              </w:rPr>
              <w:t xml:space="preserve"> pakkuda või kauplemisele võtmist taotleda muu isik.</w:t>
            </w:r>
          </w:p>
        </w:tc>
        <w:tc>
          <w:tcPr>
            <w:tcW w:w="2971" w:type="dxa"/>
          </w:tcPr>
          <w:p w14:paraId="4D556D4E" w14:textId="77777777" w:rsidR="001A4507" w:rsidRPr="003331EF" w:rsidRDefault="001A4507" w:rsidP="003331EF">
            <w:pPr>
              <w:pStyle w:val="Loendilik"/>
              <w:ind w:left="360"/>
              <w:jc w:val="both"/>
              <w:rPr>
                <w:i/>
                <w:iCs/>
                <w:sz w:val="20"/>
                <w:szCs w:val="20"/>
              </w:rPr>
            </w:pPr>
          </w:p>
        </w:tc>
      </w:tr>
      <w:tr w:rsidR="003331EF" w:rsidRPr="003331EF" w14:paraId="422E87E1" w14:textId="77777777" w:rsidTr="00E043AB">
        <w:tc>
          <w:tcPr>
            <w:tcW w:w="2793" w:type="dxa"/>
            <w:shd w:val="clear" w:color="auto" w:fill="D9E2F3" w:themeFill="accent5" w:themeFillTint="33"/>
          </w:tcPr>
          <w:p w14:paraId="3677EAD4" w14:textId="77777777" w:rsidR="001A4507" w:rsidRPr="003331EF" w:rsidRDefault="001A4507" w:rsidP="003331EF">
            <w:pPr>
              <w:spacing w:before="0"/>
              <w:jc w:val="center"/>
              <w:rPr>
                <w:i/>
                <w:iCs/>
                <w:sz w:val="20"/>
                <w:szCs w:val="20"/>
              </w:rPr>
            </w:pPr>
            <w:r w:rsidRPr="003331EF">
              <w:rPr>
                <w:b/>
                <w:bCs/>
                <w:i/>
                <w:iCs/>
                <w:sz w:val="20"/>
                <w:szCs w:val="20"/>
              </w:rPr>
              <w:t xml:space="preserve">Muu </w:t>
            </w:r>
            <w:proofErr w:type="spellStart"/>
            <w:r w:rsidRPr="003331EF">
              <w:rPr>
                <w:b/>
                <w:bCs/>
                <w:i/>
                <w:iCs/>
                <w:sz w:val="20"/>
                <w:szCs w:val="20"/>
              </w:rPr>
              <w:t>krüptovara</w:t>
            </w:r>
            <w:proofErr w:type="spellEnd"/>
            <w:r w:rsidRPr="003331EF">
              <w:rPr>
                <w:b/>
                <w:bCs/>
                <w:i/>
                <w:iCs/>
                <w:sz w:val="20"/>
                <w:szCs w:val="20"/>
              </w:rPr>
              <w:t xml:space="preserve"> pakkuja/kauplemisele võtmist taotlev isik</w:t>
            </w:r>
          </w:p>
        </w:tc>
        <w:tc>
          <w:tcPr>
            <w:tcW w:w="3297" w:type="dxa"/>
            <w:shd w:val="clear" w:color="auto" w:fill="D9E2F3" w:themeFill="accent5" w:themeFillTint="33"/>
          </w:tcPr>
          <w:p w14:paraId="3178905F" w14:textId="77777777" w:rsidR="001A4507" w:rsidRPr="003331EF" w:rsidRDefault="001A4507" w:rsidP="003331EF">
            <w:pPr>
              <w:spacing w:before="0"/>
              <w:jc w:val="center"/>
              <w:rPr>
                <w:b/>
                <w:bCs/>
                <w:i/>
                <w:iCs/>
                <w:sz w:val="20"/>
                <w:szCs w:val="20"/>
              </w:rPr>
            </w:pPr>
            <w:proofErr w:type="spellStart"/>
            <w:r w:rsidRPr="003331EF">
              <w:rPr>
                <w:b/>
                <w:bCs/>
                <w:i/>
                <w:iCs/>
                <w:sz w:val="20"/>
                <w:szCs w:val="20"/>
              </w:rPr>
              <w:t>Krüptovara</w:t>
            </w:r>
            <w:proofErr w:type="spellEnd"/>
            <w:r w:rsidRPr="003331EF">
              <w:rPr>
                <w:b/>
                <w:bCs/>
                <w:i/>
                <w:iCs/>
                <w:sz w:val="20"/>
                <w:szCs w:val="20"/>
              </w:rPr>
              <w:t xml:space="preserve"> pakkumise/ kauplemisele võtmise õigus</w:t>
            </w:r>
          </w:p>
        </w:tc>
        <w:tc>
          <w:tcPr>
            <w:tcW w:w="2971" w:type="dxa"/>
            <w:shd w:val="clear" w:color="auto" w:fill="D9E2F3" w:themeFill="accent5" w:themeFillTint="33"/>
          </w:tcPr>
          <w:p w14:paraId="79475FAE" w14:textId="77777777" w:rsidR="001A4507" w:rsidRPr="003331EF" w:rsidRDefault="001A4507" w:rsidP="003331EF">
            <w:pPr>
              <w:spacing w:before="0"/>
              <w:jc w:val="center"/>
              <w:rPr>
                <w:i/>
                <w:iCs/>
                <w:sz w:val="20"/>
                <w:szCs w:val="20"/>
              </w:rPr>
            </w:pPr>
            <w:r w:rsidRPr="003331EF">
              <w:rPr>
                <w:b/>
                <w:bCs/>
                <w:i/>
                <w:iCs/>
                <w:sz w:val="20"/>
                <w:szCs w:val="20"/>
              </w:rPr>
              <w:t>Valge raamat</w:t>
            </w:r>
          </w:p>
        </w:tc>
      </w:tr>
      <w:tr w:rsidR="003331EF" w:rsidRPr="003331EF" w14:paraId="3FE22EAA" w14:textId="77777777" w:rsidTr="00E043AB">
        <w:tc>
          <w:tcPr>
            <w:tcW w:w="2793" w:type="dxa"/>
          </w:tcPr>
          <w:p w14:paraId="0E1F8B59" w14:textId="77777777" w:rsidR="001A4507" w:rsidRPr="003331EF" w:rsidRDefault="001A4507" w:rsidP="003331EF">
            <w:pPr>
              <w:pStyle w:val="Loendilik"/>
              <w:numPr>
                <w:ilvl w:val="0"/>
                <w:numId w:val="25"/>
              </w:numPr>
              <w:jc w:val="both"/>
              <w:rPr>
                <w:i/>
                <w:iCs/>
                <w:sz w:val="20"/>
                <w:szCs w:val="20"/>
              </w:rPr>
            </w:pPr>
            <w:r w:rsidRPr="003331EF">
              <w:rPr>
                <w:i/>
                <w:iCs/>
                <w:sz w:val="20"/>
                <w:szCs w:val="20"/>
              </w:rPr>
              <w:t>Juriidiline isik</w:t>
            </w:r>
          </w:p>
          <w:p w14:paraId="6B31892E" w14:textId="77777777" w:rsidR="001A4507" w:rsidRPr="003331EF" w:rsidRDefault="001A4507" w:rsidP="003331EF">
            <w:pPr>
              <w:pStyle w:val="Loendilik"/>
              <w:ind w:left="360"/>
              <w:jc w:val="both"/>
              <w:rPr>
                <w:i/>
                <w:iCs/>
                <w:sz w:val="20"/>
                <w:szCs w:val="20"/>
              </w:rPr>
            </w:pPr>
          </w:p>
        </w:tc>
        <w:tc>
          <w:tcPr>
            <w:tcW w:w="3297" w:type="dxa"/>
          </w:tcPr>
          <w:p w14:paraId="66689E39" w14:textId="5447B92C" w:rsidR="001A4507" w:rsidRPr="003331EF" w:rsidRDefault="001A4507" w:rsidP="003331EF">
            <w:pPr>
              <w:pStyle w:val="Loendilik"/>
              <w:numPr>
                <w:ilvl w:val="0"/>
                <w:numId w:val="25"/>
              </w:numPr>
              <w:jc w:val="both"/>
              <w:rPr>
                <w:i/>
                <w:iCs/>
                <w:sz w:val="20"/>
                <w:szCs w:val="20"/>
              </w:rPr>
            </w:pPr>
            <w:proofErr w:type="spellStart"/>
            <w:r w:rsidRPr="003331EF">
              <w:rPr>
                <w:i/>
                <w:iCs/>
                <w:sz w:val="20"/>
                <w:szCs w:val="20"/>
              </w:rPr>
              <w:t>Krüptovara</w:t>
            </w:r>
            <w:proofErr w:type="spellEnd"/>
            <w:r w:rsidR="00E704BD">
              <w:rPr>
                <w:i/>
                <w:iCs/>
                <w:sz w:val="20"/>
                <w:szCs w:val="20"/>
              </w:rPr>
              <w:t xml:space="preserve"> </w:t>
            </w:r>
            <w:r w:rsidRPr="003331EF">
              <w:rPr>
                <w:i/>
                <w:iCs/>
                <w:sz w:val="20"/>
                <w:szCs w:val="20"/>
              </w:rPr>
              <w:t>pakkumise/kauplemisele võtmise taotlemise eelduseks on:</w:t>
            </w:r>
          </w:p>
          <w:p w14:paraId="568ADBEE" w14:textId="77777777" w:rsidR="001A4507" w:rsidRPr="003331EF" w:rsidRDefault="001A4507" w:rsidP="003331EF">
            <w:pPr>
              <w:pStyle w:val="Loendilik"/>
              <w:numPr>
                <w:ilvl w:val="0"/>
                <w:numId w:val="28"/>
              </w:numPr>
              <w:jc w:val="both"/>
              <w:rPr>
                <w:i/>
                <w:iCs/>
                <w:sz w:val="20"/>
                <w:szCs w:val="20"/>
              </w:rPr>
            </w:pPr>
            <w:r w:rsidRPr="003331EF">
              <w:rPr>
                <w:i/>
                <w:iCs/>
                <w:sz w:val="20"/>
                <w:szCs w:val="20"/>
              </w:rPr>
              <w:t>valge raamatu koostamine, FI teavitamine sellest ja selle avaldamine;</w:t>
            </w:r>
          </w:p>
          <w:p w14:paraId="28241088" w14:textId="77777777" w:rsidR="001A4507" w:rsidRPr="003331EF" w:rsidRDefault="001A4507" w:rsidP="003331EF">
            <w:pPr>
              <w:pStyle w:val="Loendilik"/>
              <w:numPr>
                <w:ilvl w:val="0"/>
                <w:numId w:val="28"/>
              </w:numPr>
              <w:jc w:val="both"/>
              <w:rPr>
                <w:i/>
                <w:iCs/>
                <w:sz w:val="20"/>
                <w:szCs w:val="20"/>
              </w:rPr>
            </w:pPr>
            <w:r w:rsidRPr="003331EF">
              <w:rPr>
                <w:i/>
                <w:iCs/>
                <w:sz w:val="20"/>
                <w:szCs w:val="20"/>
              </w:rPr>
              <w:t>Reklaamteate koostamine ja avaldamine;</w:t>
            </w:r>
          </w:p>
          <w:p w14:paraId="0A9AE76F" w14:textId="77777777" w:rsidR="001A4507" w:rsidRPr="003331EF" w:rsidRDefault="001A4507" w:rsidP="003331EF">
            <w:pPr>
              <w:pStyle w:val="Loendilik"/>
              <w:numPr>
                <w:ilvl w:val="0"/>
                <w:numId w:val="28"/>
              </w:numPr>
              <w:jc w:val="both"/>
              <w:rPr>
                <w:i/>
                <w:iCs/>
                <w:sz w:val="20"/>
                <w:szCs w:val="20"/>
              </w:rPr>
            </w:pPr>
            <w:r w:rsidRPr="003331EF">
              <w:rPr>
                <w:i/>
                <w:iCs/>
                <w:sz w:val="20"/>
                <w:szCs w:val="20"/>
              </w:rPr>
              <w:t>sobivusnõuetele vastamine.</w:t>
            </w:r>
          </w:p>
        </w:tc>
        <w:tc>
          <w:tcPr>
            <w:tcW w:w="2971" w:type="dxa"/>
          </w:tcPr>
          <w:p w14:paraId="73AD3F60" w14:textId="77777777" w:rsidR="001A4507" w:rsidRPr="003331EF" w:rsidRDefault="001A4507" w:rsidP="003331EF">
            <w:pPr>
              <w:pStyle w:val="Loendilik"/>
              <w:numPr>
                <w:ilvl w:val="0"/>
                <w:numId w:val="25"/>
              </w:numPr>
              <w:jc w:val="both"/>
              <w:rPr>
                <w:i/>
                <w:iCs/>
                <w:sz w:val="20"/>
                <w:szCs w:val="20"/>
              </w:rPr>
            </w:pPr>
            <w:r w:rsidRPr="003331EF">
              <w:rPr>
                <w:i/>
                <w:iCs/>
                <w:sz w:val="20"/>
                <w:szCs w:val="20"/>
              </w:rPr>
              <w:t>Valget raamatut ei pea koostama (avalik pakkumine):</w:t>
            </w:r>
          </w:p>
          <w:p w14:paraId="58652C9A" w14:textId="77777777" w:rsidR="001A4507" w:rsidRPr="003331EF" w:rsidRDefault="001A4507" w:rsidP="003331EF">
            <w:pPr>
              <w:pStyle w:val="Loendilik"/>
              <w:numPr>
                <w:ilvl w:val="0"/>
                <w:numId w:val="22"/>
              </w:numPr>
              <w:jc w:val="both"/>
              <w:rPr>
                <w:i/>
                <w:iCs/>
                <w:sz w:val="20"/>
                <w:szCs w:val="20"/>
              </w:rPr>
            </w:pPr>
            <w:r w:rsidRPr="003331EF">
              <w:rPr>
                <w:i/>
                <w:iCs/>
                <w:sz w:val="20"/>
                <w:szCs w:val="20"/>
              </w:rPr>
              <w:t>pakkumine vähem kui 150 isikule LR kohta, kui need isikud tegutsevad oma arvel.</w:t>
            </w:r>
          </w:p>
          <w:p w14:paraId="3C6CEAFC" w14:textId="77777777" w:rsidR="001A4507" w:rsidRPr="003331EF" w:rsidRDefault="001A4507" w:rsidP="003331EF">
            <w:pPr>
              <w:pStyle w:val="Loendilik"/>
              <w:numPr>
                <w:ilvl w:val="0"/>
                <w:numId w:val="22"/>
              </w:numPr>
              <w:jc w:val="both"/>
              <w:rPr>
                <w:i/>
                <w:iCs/>
                <w:sz w:val="20"/>
                <w:szCs w:val="20"/>
              </w:rPr>
            </w:pPr>
            <w:proofErr w:type="spellStart"/>
            <w:r w:rsidRPr="003331EF">
              <w:rPr>
                <w:i/>
                <w:iCs/>
                <w:sz w:val="20"/>
                <w:szCs w:val="20"/>
              </w:rPr>
              <w:t>krüptovara</w:t>
            </w:r>
            <w:proofErr w:type="spellEnd"/>
            <w:r w:rsidRPr="003331EF">
              <w:rPr>
                <w:i/>
                <w:iCs/>
                <w:sz w:val="20"/>
                <w:szCs w:val="20"/>
              </w:rPr>
              <w:t xml:space="preserve"> kogumaht 12 kuu jooksul ei ületa 1 000 000 eurot, või</w:t>
            </w:r>
          </w:p>
          <w:p w14:paraId="397F939F" w14:textId="77777777" w:rsidR="001A4507" w:rsidRPr="003331EF" w:rsidRDefault="001A4507" w:rsidP="003331EF">
            <w:pPr>
              <w:pStyle w:val="Loendilik"/>
              <w:numPr>
                <w:ilvl w:val="0"/>
                <w:numId w:val="22"/>
              </w:numPr>
              <w:jc w:val="both"/>
              <w:rPr>
                <w:i/>
                <w:iCs/>
                <w:sz w:val="20"/>
                <w:szCs w:val="20"/>
              </w:rPr>
            </w:pPr>
            <w:proofErr w:type="spellStart"/>
            <w:r w:rsidRPr="003331EF">
              <w:rPr>
                <w:i/>
                <w:iCs/>
                <w:sz w:val="20"/>
                <w:szCs w:val="20"/>
              </w:rPr>
              <w:t>tokeneid</w:t>
            </w:r>
            <w:proofErr w:type="spellEnd"/>
            <w:r w:rsidRPr="003331EF">
              <w:rPr>
                <w:i/>
                <w:iCs/>
                <w:sz w:val="20"/>
                <w:szCs w:val="20"/>
              </w:rPr>
              <w:t xml:space="preserve"> pakutakse ainult kutselistele investoritele.</w:t>
            </w:r>
          </w:p>
          <w:p w14:paraId="6E4F1EF0" w14:textId="77777777" w:rsidR="001A4507" w:rsidRPr="003331EF" w:rsidRDefault="001A4507" w:rsidP="003331EF">
            <w:pPr>
              <w:pStyle w:val="Loendilik"/>
              <w:numPr>
                <w:ilvl w:val="0"/>
                <w:numId w:val="25"/>
              </w:numPr>
              <w:jc w:val="both"/>
              <w:rPr>
                <w:i/>
                <w:iCs/>
                <w:sz w:val="20"/>
                <w:szCs w:val="20"/>
              </w:rPr>
            </w:pPr>
            <w:r w:rsidRPr="003331EF">
              <w:rPr>
                <w:i/>
                <w:iCs/>
                <w:sz w:val="20"/>
                <w:szCs w:val="20"/>
              </w:rPr>
              <w:t>Valget raamatut ei pea koostama (kauplemisele võtmine):</w:t>
            </w:r>
          </w:p>
          <w:p w14:paraId="6C62D7C5" w14:textId="77777777" w:rsidR="001A4507" w:rsidRPr="003331EF" w:rsidRDefault="001A4507" w:rsidP="003331EF">
            <w:pPr>
              <w:pStyle w:val="Loendilik"/>
              <w:numPr>
                <w:ilvl w:val="0"/>
                <w:numId w:val="26"/>
              </w:numPr>
              <w:jc w:val="both"/>
              <w:rPr>
                <w:i/>
                <w:iCs/>
                <w:sz w:val="20"/>
                <w:szCs w:val="20"/>
                <w:lang w:eastAsia="et-EE"/>
              </w:rPr>
            </w:pPr>
            <w:proofErr w:type="spellStart"/>
            <w:r w:rsidRPr="003331EF">
              <w:rPr>
                <w:i/>
                <w:iCs/>
                <w:sz w:val="20"/>
                <w:szCs w:val="20"/>
                <w:lang w:eastAsia="et-EE"/>
              </w:rPr>
              <w:lastRenderedPageBreak/>
              <w:t>krüptovara</w:t>
            </w:r>
            <w:proofErr w:type="spellEnd"/>
            <w:r w:rsidRPr="003331EF">
              <w:rPr>
                <w:i/>
                <w:iCs/>
                <w:sz w:val="20"/>
                <w:szCs w:val="20"/>
                <w:lang w:eastAsia="et-EE"/>
              </w:rPr>
              <w:t xml:space="preserve"> on kauplemisele võetud mõnel teisel LR </w:t>
            </w:r>
            <w:proofErr w:type="spellStart"/>
            <w:r w:rsidRPr="003331EF">
              <w:rPr>
                <w:i/>
                <w:iCs/>
                <w:sz w:val="20"/>
                <w:szCs w:val="20"/>
                <w:lang w:eastAsia="et-EE"/>
              </w:rPr>
              <w:t>krüptovaraga</w:t>
            </w:r>
            <w:proofErr w:type="spellEnd"/>
            <w:r w:rsidRPr="003331EF">
              <w:rPr>
                <w:i/>
                <w:iCs/>
                <w:sz w:val="20"/>
                <w:szCs w:val="20"/>
                <w:lang w:eastAsia="et-EE"/>
              </w:rPr>
              <w:t xml:space="preserve"> kauplemise platvormil;</w:t>
            </w:r>
          </w:p>
          <w:p w14:paraId="26FC80B4" w14:textId="77777777" w:rsidR="001A4507" w:rsidRPr="003331EF" w:rsidRDefault="001A4507" w:rsidP="003331EF">
            <w:pPr>
              <w:pStyle w:val="Loendilik"/>
              <w:numPr>
                <w:ilvl w:val="0"/>
                <w:numId w:val="26"/>
              </w:numPr>
              <w:jc w:val="both"/>
              <w:rPr>
                <w:i/>
                <w:iCs/>
                <w:sz w:val="20"/>
                <w:szCs w:val="20"/>
              </w:rPr>
            </w:pPr>
            <w:r w:rsidRPr="003331EF">
              <w:rPr>
                <w:i/>
                <w:iCs/>
                <w:sz w:val="20"/>
                <w:szCs w:val="20"/>
                <w:lang w:eastAsia="et-EE"/>
              </w:rPr>
              <w:t>valge raamatu on koostatud kauplemisplatvormi korraldaja.</w:t>
            </w:r>
          </w:p>
        </w:tc>
      </w:tr>
      <w:tr w:rsidR="001A4507" w:rsidRPr="003331EF" w14:paraId="41DC72CC" w14:textId="77777777" w:rsidTr="00E043AB">
        <w:tc>
          <w:tcPr>
            <w:tcW w:w="2793" w:type="dxa"/>
          </w:tcPr>
          <w:p w14:paraId="63250F37" w14:textId="10C86BB9" w:rsidR="001A4507" w:rsidRPr="003331EF" w:rsidRDefault="001A4507" w:rsidP="003331EF">
            <w:pPr>
              <w:pStyle w:val="Loendilik"/>
              <w:numPr>
                <w:ilvl w:val="0"/>
                <w:numId w:val="25"/>
              </w:numPr>
              <w:jc w:val="both"/>
              <w:rPr>
                <w:i/>
                <w:iCs/>
                <w:sz w:val="20"/>
                <w:szCs w:val="20"/>
              </w:rPr>
            </w:pPr>
            <w:proofErr w:type="spellStart"/>
            <w:r w:rsidRPr="003331EF">
              <w:rPr>
                <w:i/>
                <w:iCs/>
                <w:sz w:val="20"/>
                <w:szCs w:val="20"/>
              </w:rPr>
              <w:lastRenderedPageBreak/>
              <w:t>M</w:t>
            </w:r>
            <w:r w:rsidR="00A03096">
              <w:rPr>
                <w:i/>
                <w:iCs/>
                <w:sz w:val="20"/>
                <w:szCs w:val="20"/>
              </w:rPr>
              <w:t>i</w:t>
            </w:r>
            <w:r w:rsidRPr="003331EF">
              <w:rPr>
                <w:i/>
                <w:iCs/>
                <w:sz w:val="20"/>
                <w:szCs w:val="20"/>
              </w:rPr>
              <w:t>CA</w:t>
            </w:r>
            <w:proofErr w:type="spellEnd"/>
            <w:r w:rsidRPr="003331EF">
              <w:rPr>
                <w:i/>
                <w:iCs/>
                <w:sz w:val="20"/>
                <w:szCs w:val="20"/>
              </w:rPr>
              <w:t xml:space="preserve"> kohaldamise erand art 4 lg 3</w:t>
            </w:r>
          </w:p>
        </w:tc>
        <w:tc>
          <w:tcPr>
            <w:tcW w:w="3297" w:type="dxa"/>
          </w:tcPr>
          <w:p w14:paraId="1FC59A8F" w14:textId="77777777" w:rsidR="001A4507" w:rsidRPr="003331EF" w:rsidRDefault="001A4507" w:rsidP="003331EF">
            <w:pPr>
              <w:pStyle w:val="Loendilik"/>
              <w:numPr>
                <w:ilvl w:val="0"/>
                <w:numId w:val="24"/>
              </w:numPr>
              <w:jc w:val="both"/>
              <w:rPr>
                <w:i/>
                <w:iCs/>
                <w:sz w:val="20"/>
                <w:szCs w:val="20"/>
              </w:rPr>
            </w:pPr>
            <w:r w:rsidRPr="003331EF">
              <w:rPr>
                <w:i/>
                <w:iCs/>
                <w:sz w:val="20"/>
                <w:szCs w:val="20"/>
              </w:rPr>
              <w:t>-</w:t>
            </w:r>
          </w:p>
        </w:tc>
        <w:tc>
          <w:tcPr>
            <w:tcW w:w="2971" w:type="dxa"/>
          </w:tcPr>
          <w:p w14:paraId="7AC710CD" w14:textId="77777777" w:rsidR="001A4507" w:rsidRPr="003331EF" w:rsidRDefault="001A4507" w:rsidP="003331EF">
            <w:pPr>
              <w:pStyle w:val="Point1letter"/>
              <w:numPr>
                <w:ilvl w:val="0"/>
                <w:numId w:val="24"/>
              </w:numPr>
              <w:spacing w:before="0" w:after="0"/>
              <w:jc w:val="left"/>
              <w:rPr>
                <w:i/>
                <w:iCs/>
                <w:kern w:val="2"/>
                <w:sz w:val="20"/>
                <w:szCs w:val="20"/>
                <w14:ligatures w14:val="standardContextual"/>
              </w:rPr>
            </w:pPr>
            <w:r w:rsidRPr="003331EF">
              <w:rPr>
                <w:i/>
                <w:iCs/>
                <w:kern w:val="2"/>
                <w:sz w:val="20"/>
                <w:szCs w:val="20"/>
                <w14:ligatures w14:val="standardContextual"/>
              </w:rPr>
              <w:t>-</w:t>
            </w:r>
          </w:p>
        </w:tc>
      </w:tr>
    </w:tbl>
    <w:p w14:paraId="412CCC5C" w14:textId="77777777" w:rsidR="001A4507" w:rsidRPr="003331EF" w:rsidRDefault="001A4507" w:rsidP="003331EF">
      <w:pPr>
        <w:spacing w:before="0"/>
        <w:rPr>
          <w:b/>
          <w:i/>
          <w:iCs/>
        </w:rPr>
      </w:pPr>
    </w:p>
    <w:p w14:paraId="5814FDA9" w14:textId="77777777" w:rsidR="001A4507" w:rsidRPr="003331EF" w:rsidRDefault="001A4507" w:rsidP="003331EF">
      <w:pPr>
        <w:spacing w:before="0"/>
        <w:rPr>
          <w:b/>
        </w:rPr>
      </w:pPr>
    </w:p>
    <w:p w14:paraId="38542778" w14:textId="7172F32B" w:rsidR="001A4507" w:rsidRPr="003331EF" w:rsidRDefault="001A4507" w:rsidP="003331EF">
      <w:pPr>
        <w:spacing w:before="0"/>
        <w:rPr>
          <w:iCs/>
          <w:spacing w:val="-5"/>
          <w:lang w:eastAsia="en-US"/>
        </w:rPr>
      </w:pPr>
      <w:r w:rsidRPr="003331EF">
        <w:rPr>
          <w:b/>
        </w:rPr>
        <w:t>Lõikes 2</w:t>
      </w:r>
      <w:r w:rsidRPr="003331EF">
        <w:t xml:space="preserve"> </w:t>
      </w:r>
      <w:r w:rsidRPr="003331EF">
        <w:rPr>
          <w:iCs/>
          <w:spacing w:val="-5"/>
          <w:lang w:eastAsia="en-US"/>
        </w:rPr>
        <w:t xml:space="preserve">toodu kohaselt väljastab </w:t>
      </w:r>
      <w:proofErr w:type="spellStart"/>
      <w:r w:rsidR="00CA199D" w:rsidRPr="003331EF">
        <w:rPr>
          <w:iCs/>
          <w:spacing w:val="-5"/>
          <w:lang w:eastAsia="en-US"/>
        </w:rPr>
        <w:t>krüptovaraturul</w:t>
      </w:r>
      <w:proofErr w:type="spellEnd"/>
      <w:r w:rsidR="00CA199D" w:rsidRPr="003331EF">
        <w:rPr>
          <w:iCs/>
          <w:spacing w:val="-5"/>
          <w:lang w:eastAsia="en-US"/>
        </w:rPr>
        <w:t xml:space="preserve"> tegutsemise </w:t>
      </w:r>
      <w:r w:rsidRPr="003331EF">
        <w:rPr>
          <w:iCs/>
          <w:spacing w:val="-5"/>
          <w:lang w:eastAsia="en-US"/>
        </w:rPr>
        <w:t>tegevusloa ja tunnistab selle kehtetuks Finantsinspektsioon oma otsusega.</w:t>
      </w:r>
      <w:r w:rsidR="00CA199D" w:rsidRPr="003331EF">
        <w:rPr>
          <w:iCs/>
          <w:spacing w:val="-5"/>
          <w:lang w:eastAsia="en-US"/>
        </w:rPr>
        <w:t xml:space="preserve"> Tegevusloa </w:t>
      </w:r>
      <w:r w:rsidR="00693DD2" w:rsidRPr="003331EF">
        <w:rPr>
          <w:iCs/>
          <w:spacing w:val="-5"/>
          <w:lang w:eastAsia="en-US"/>
        </w:rPr>
        <w:t xml:space="preserve">andmise ja kehtetuks tunnistamise </w:t>
      </w:r>
      <w:r w:rsidR="00CA199D" w:rsidRPr="003331EF">
        <w:rPr>
          <w:iCs/>
          <w:spacing w:val="-5"/>
          <w:lang w:eastAsia="en-US"/>
        </w:rPr>
        <w:t xml:space="preserve">sätted on reguleeritud </w:t>
      </w:r>
      <w:proofErr w:type="spellStart"/>
      <w:r w:rsidR="00CA199D" w:rsidRPr="003331EF">
        <w:rPr>
          <w:iCs/>
          <w:spacing w:val="-5"/>
          <w:lang w:eastAsia="en-US"/>
        </w:rPr>
        <w:t>M</w:t>
      </w:r>
      <w:r w:rsidR="00A03096">
        <w:rPr>
          <w:iCs/>
          <w:spacing w:val="-5"/>
          <w:lang w:eastAsia="en-US"/>
        </w:rPr>
        <w:t>i</w:t>
      </w:r>
      <w:r w:rsidR="00CA199D" w:rsidRPr="003331EF">
        <w:rPr>
          <w:iCs/>
          <w:spacing w:val="-5"/>
          <w:lang w:eastAsia="en-US"/>
        </w:rPr>
        <w:t>CA</w:t>
      </w:r>
      <w:proofErr w:type="spellEnd"/>
      <w:r w:rsidR="00CA199D" w:rsidRPr="003331EF">
        <w:rPr>
          <w:iCs/>
          <w:spacing w:val="-5"/>
          <w:lang w:eastAsia="en-US"/>
        </w:rPr>
        <w:t xml:space="preserve"> määruse artiklites 20, 21, 23, 63 ja 64. </w:t>
      </w:r>
      <w:r w:rsidRPr="003331EF">
        <w:rPr>
          <w:iCs/>
          <w:spacing w:val="-5"/>
          <w:lang w:eastAsia="en-US"/>
        </w:rPr>
        <w:t xml:space="preserve"> </w:t>
      </w:r>
    </w:p>
    <w:p w14:paraId="0F7AEFBA" w14:textId="77777777" w:rsidR="001A4507" w:rsidRPr="003331EF" w:rsidRDefault="001A4507" w:rsidP="003331EF">
      <w:pPr>
        <w:spacing w:before="0"/>
        <w:rPr>
          <w:b/>
        </w:rPr>
      </w:pPr>
    </w:p>
    <w:p w14:paraId="7A4B70D5" w14:textId="0E3AAFFA" w:rsidR="001A4507" w:rsidRPr="003331EF" w:rsidRDefault="001A4507" w:rsidP="003331EF">
      <w:pPr>
        <w:spacing w:before="0"/>
        <w:rPr>
          <w:b/>
        </w:rPr>
      </w:pPr>
      <w:r w:rsidRPr="003331EF">
        <w:rPr>
          <w:b/>
        </w:rPr>
        <w:t xml:space="preserve">Lõike 3 </w:t>
      </w:r>
      <w:r w:rsidRPr="003331EF">
        <w:rPr>
          <w:iCs/>
          <w:spacing w:val="-5"/>
          <w:lang w:eastAsia="en-US"/>
        </w:rPr>
        <w:t xml:space="preserve">kohaselt on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 alusel antud tegevusluba tähtajatu ja ei ole üleantav teisele isikule.</w:t>
      </w:r>
      <w:r w:rsidRPr="003331EF">
        <w:t xml:space="preserve"> </w:t>
      </w:r>
      <w:r w:rsidRPr="003331EF">
        <w:rPr>
          <w:b/>
        </w:rPr>
        <w:t xml:space="preserve"> </w:t>
      </w:r>
    </w:p>
    <w:p w14:paraId="3B349969" w14:textId="77777777" w:rsidR="001A4507" w:rsidRPr="003331EF" w:rsidRDefault="001A4507" w:rsidP="003331EF">
      <w:pPr>
        <w:spacing w:before="0"/>
      </w:pPr>
    </w:p>
    <w:p w14:paraId="4C776B90" w14:textId="5BB8010F" w:rsidR="001A4507" w:rsidRPr="003331EF" w:rsidRDefault="001A4507" w:rsidP="003331EF">
      <w:pPr>
        <w:pStyle w:val="Normal2"/>
        <w:rPr>
          <w:sz w:val="24"/>
        </w:rPr>
      </w:pPr>
      <w:r w:rsidRPr="003331EF">
        <w:rPr>
          <w:b/>
          <w:sz w:val="24"/>
        </w:rPr>
        <w:t>Lõike 4</w:t>
      </w:r>
      <w:r w:rsidRPr="003331EF">
        <w:rPr>
          <w:sz w:val="24"/>
        </w:rPr>
        <w:t xml:space="preserve"> </w:t>
      </w:r>
      <w:r w:rsidRPr="003331EF">
        <w:rPr>
          <w:rFonts w:eastAsia="Times New Roman"/>
          <w:bCs w:val="0"/>
          <w:iCs/>
          <w:spacing w:val="-5"/>
          <w:sz w:val="24"/>
          <w:lang w:eastAsia="en-US"/>
        </w:rPr>
        <w:t xml:space="preserve">kohaselt peab Eestis äriregistrisse kantud ja Finantsinspektsioonilt tegevusloa saanud </w:t>
      </w:r>
      <w:proofErr w:type="spellStart"/>
      <w:r w:rsidRPr="003331EF">
        <w:rPr>
          <w:rFonts w:eastAsia="Times New Roman"/>
          <w:bCs w:val="0"/>
          <w:iCs/>
          <w:spacing w:val="-5"/>
          <w:sz w:val="24"/>
          <w:lang w:eastAsia="en-US"/>
        </w:rPr>
        <w:t>krüptovaraturu</w:t>
      </w:r>
      <w:proofErr w:type="spellEnd"/>
      <w:r w:rsidRPr="003331EF">
        <w:rPr>
          <w:rFonts w:eastAsia="Times New Roman"/>
          <w:bCs w:val="0"/>
          <w:iCs/>
          <w:spacing w:val="-5"/>
          <w:sz w:val="24"/>
          <w:lang w:eastAsia="en-US"/>
        </w:rPr>
        <w:t xml:space="preserve"> osalise registrijärgne asukoht olema Eestis. </w:t>
      </w:r>
      <w:proofErr w:type="spellStart"/>
      <w:r w:rsidRPr="003331EF">
        <w:rPr>
          <w:rFonts w:eastAsia="Times New Roman"/>
          <w:bCs w:val="0"/>
          <w:iCs/>
          <w:spacing w:val="-5"/>
          <w:sz w:val="24"/>
          <w:lang w:eastAsia="en-US"/>
        </w:rPr>
        <w:t>Krüptovarateenuse</w:t>
      </w:r>
      <w:proofErr w:type="spellEnd"/>
      <w:r w:rsidRPr="003331EF">
        <w:rPr>
          <w:rFonts w:eastAsia="Times New Roman"/>
          <w:bCs w:val="0"/>
          <w:iCs/>
          <w:spacing w:val="-5"/>
          <w:sz w:val="24"/>
          <w:lang w:eastAsia="en-US"/>
        </w:rPr>
        <w:t xml:space="preserve"> osutaja puhul on </w:t>
      </w:r>
      <w:proofErr w:type="spellStart"/>
      <w:r w:rsidRPr="003331EF">
        <w:rPr>
          <w:rFonts w:eastAsia="Times New Roman"/>
          <w:bCs w:val="0"/>
          <w:iCs/>
          <w:spacing w:val="-5"/>
          <w:sz w:val="24"/>
          <w:lang w:eastAsia="en-US"/>
        </w:rPr>
        <w:t>M</w:t>
      </w:r>
      <w:r w:rsidR="00785EAB" w:rsidRPr="003331EF">
        <w:rPr>
          <w:rFonts w:eastAsia="Times New Roman"/>
          <w:bCs w:val="0"/>
          <w:iCs/>
          <w:spacing w:val="-5"/>
          <w:sz w:val="24"/>
          <w:lang w:eastAsia="en-US"/>
        </w:rPr>
        <w:t>i</w:t>
      </w:r>
      <w:r w:rsidRPr="003331EF">
        <w:rPr>
          <w:rFonts w:eastAsia="Times New Roman"/>
          <w:bCs w:val="0"/>
          <w:iCs/>
          <w:spacing w:val="-5"/>
          <w:sz w:val="24"/>
          <w:lang w:eastAsia="en-US"/>
        </w:rPr>
        <w:t>CA</w:t>
      </w:r>
      <w:proofErr w:type="spellEnd"/>
      <w:r w:rsidRPr="003331EF">
        <w:rPr>
          <w:rFonts w:eastAsia="Times New Roman"/>
          <w:bCs w:val="0"/>
          <w:iCs/>
          <w:spacing w:val="-5"/>
          <w:sz w:val="24"/>
          <w:lang w:eastAsia="en-US"/>
        </w:rPr>
        <w:t xml:space="preserve"> määruse artikli 59 lõikes 2</w:t>
      </w:r>
      <w:r w:rsidR="00693DD2" w:rsidRPr="003331EF">
        <w:rPr>
          <w:rFonts w:eastAsia="Times New Roman"/>
          <w:bCs w:val="0"/>
          <w:iCs/>
          <w:spacing w:val="-5"/>
          <w:sz w:val="24"/>
          <w:lang w:eastAsia="en-US"/>
        </w:rPr>
        <w:t xml:space="preserve"> </w:t>
      </w:r>
      <w:r w:rsidRPr="003331EF">
        <w:rPr>
          <w:rFonts w:eastAsia="Times New Roman"/>
          <w:bCs w:val="0"/>
          <w:iCs/>
          <w:spacing w:val="-5"/>
          <w:sz w:val="24"/>
          <w:lang w:eastAsia="en-US"/>
        </w:rPr>
        <w:t xml:space="preserve">sätestatud, et artikli 63 kohaselt tegevusloa saanud </w:t>
      </w:r>
      <w:proofErr w:type="spellStart"/>
      <w:r w:rsidRPr="003331EF">
        <w:rPr>
          <w:rFonts w:eastAsia="Times New Roman"/>
          <w:bCs w:val="0"/>
          <w:iCs/>
          <w:spacing w:val="-5"/>
          <w:sz w:val="24"/>
          <w:lang w:eastAsia="en-US"/>
        </w:rPr>
        <w:t>krüptovarateenuse</w:t>
      </w:r>
      <w:proofErr w:type="spellEnd"/>
      <w:r w:rsidRPr="003331EF">
        <w:rPr>
          <w:rFonts w:eastAsia="Times New Roman"/>
          <w:bCs w:val="0"/>
          <w:iCs/>
          <w:spacing w:val="-5"/>
          <w:sz w:val="24"/>
          <w:lang w:eastAsia="en-US"/>
        </w:rPr>
        <w:t xml:space="preserve"> osutaja registrijärgne asukoht peab olema liikmesriigis, kus ta osutab vähemalt osa oma </w:t>
      </w:r>
      <w:proofErr w:type="spellStart"/>
      <w:r w:rsidRPr="003331EF">
        <w:rPr>
          <w:rFonts w:eastAsia="Times New Roman"/>
          <w:bCs w:val="0"/>
          <w:iCs/>
          <w:spacing w:val="-5"/>
          <w:sz w:val="24"/>
          <w:lang w:eastAsia="en-US"/>
        </w:rPr>
        <w:t>krüptovarateenustest</w:t>
      </w:r>
      <w:proofErr w:type="spellEnd"/>
      <w:r w:rsidRPr="003331EF">
        <w:rPr>
          <w:rFonts w:eastAsia="Times New Roman"/>
          <w:bCs w:val="0"/>
          <w:iCs/>
          <w:spacing w:val="-5"/>
          <w:sz w:val="24"/>
          <w:lang w:eastAsia="en-US"/>
        </w:rPr>
        <w:t xml:space="preserve">. </w:t>
      </w:r>
      <w:r w:rsidR="00CA199D" w:rsidRPr="003331EF">
        <w:rPr>
          <w:rFonts w:eastAsia="Times New Roman"/>
          <w:bCs w:val="0"/>
          <w:iCs/>
          <w:spacing w:val="-5"/>
          <w:sz w:val="24"/>
          <w:lang w:eastAsia="en-US"/>
        </w:rPr>
        <w:t xml:space="preserve">Finantsinspektsioonilt tegevusloa saamise eelduseks on, et </w:t>
      </w:r>
      <w:r w:rsidR="00693DD2" w:rsidRPr="003331EF">
        <w:rPr>
          <w:rFonts w:eastAsia="Times New Roman"/>
          <w:bCs w:val="0"/>
          <w:iCs/>
          <w:spacing w:val="-5"/>
          <w:sz w:val="24"/>
          <w:lang w:eastAsia="en-US"/>
        </w:rPr>
        <w:t xml:space="preserve">ta </w:t>
      </w:r>
      <w:r w:rsidR="00CA199D" w:rsidRPr="003331EF">
        <w:rPr>
          <w:rFonts w:eastAsia="Times New Roman"/>
          <w:bCs w:val="0"/>
          <w:iCs/>
          <w:spacing w:val="-5"/>
          <w:sz w:val="24"/>
          <w:lang w:eastAsia="en-US"/>
        </w:rPr>
        <w:t xml:space="preserve">osutab vähemalt osa oma </w:t>
      </w:r>
      <w:proofErr w:type="spellStart"/>
      <w:r w:rsidR="00CA199D" w:rsidRPr="003331EF">
        <w:rPr>
          <w:rFonts w:eastAsia="Times New Roman"/>
          <w:bCs w:val="0"/>
          <w:iCs/>
          <w:spacing w:val="-5"/>
          <w:sz w:val="24"/>
          <w:lang w:eastAsia="en-US"/>
        </w:rPr>
        <w:t>krüptovarateenustest</w:t>
      </w:r>
      <w:proofErr w:type="spellEnd"/>
      <w:r w:rsidR="00CA199D" w:rsidRPr="003331EF">
        <w:rPr>
          <w:rFonts w:eastAsia="Times New Roman"/>
          <w:bCs w:val="0"/>
          <w:iCs/>
          <w:spacing w:val="-5"/>
          <w:sz w:val="24"/>
          <w:lang w:eastAsia="en-US"/>
        </w:rPr>
        <w:t xml:space="preserve"> Eestis ehk tema registrijärgne asukoht </w:t>
      </w:r>
      <w:r w:rsidR="005A1EF9" w:rsidRPr="003331EF">
        <w:rPr>
          <w:rFonts w:eastAsia="Times New Roman"/>
          <w:bCs w:val="0"/>
          <w:iCs/>
          <w:spacing w:val="-5"/>
          <w:sz w:val="24"/>
          <w:lang w:eastAsia="en-US"/>
        </w:rPr>
        <w:t>peaks ka</w:t>
      </w:r>
      <w:r w:rsidR="00CA199D" w:rsidRPr="003331EF">
        <w:rPr>
          <w:rFonts w:eastAsia="Times New Roman"/>
          <w:bCs w:val="0"/>
          <w:iCs/>
          <w:spacing w:val="-5"/>
          <w:sz w:val="24"/>
          <w:lang w:eastAsia="en-US"/>
        </w:rPr>
        <w:t xml:space="preserve"> Eestis</w:t>
      </w:r>
      <w:r w:rsidR="005A1EF9" w:rsidRPr="003331EF">
        <w:rPr>
          <w:rFonts w:eastAsia="Times New Roman"/>
          <w:bCs w:val="0"/>
          <w:iCs/>
          <w:spacing w:val="-5"/>
          <w:sz w:val="24"/>
          <w:lang w:eastAsia="en-US"/>
        </w:rPr>
        <w:t xml:space="preserve"> olema</w:t>
      </w:r>
      <w:r w:rsidR="00CA199D" w:rsidRPr="003331EF">
        <w:rPr>
          <w:rFonts w:eastAsia="Times New Roman"/>
          <w:bCs w:val="0"/>
          <w:iCs/>
          <w:spacing w:val="-5"/>
          <w:sz w:val="24"/>
          <w:lang w:eastAsia="en-US"/>
        </w:rPr>
        <w:t xml:space="preserve">. </w:t>
      </w:r>
      <w:proofErr w:type="spellStart"/>
      <w:r w:rsidR="00CA199D" w:rsidRPr="003331EF">
        <w:rPr>
          <w:rFonts w:eastAsia="Times New Roman"/>
          <w:bCs w:val="0"/>
          <w:iCs/>
          <w:spacing w:val="-5"/>
          <w:sz w:val="24"/>
          <w:lang w:eastAsia="en-US"/>
        </w:rPr>
        <w:t>M</w:t>
      </w:r>
      <w:r w:rsidR="00785EAB" w:rsidRPr="003331EF">
        <w:rPr>
          <w:rFonts w:eastAsia="Times New Roman"/>
          <w:bCs w:val="0"/>
          <w:iCs/>
          <w:spacing w:val="-5"/>
          <w:sz w:val="24"/>
          <w:lang w:eastAsia="en-US"/>
        </w:rPr>
        <w:t>i</w:t>
      </w:r>
      <w:r w:rsidR="00CA199D" w:rsidRPr="003331EF">
        <w:rPr>
          <w:rFonts w:eastAsia="Times New Roman"/>
          <w:bCs w:val="0"/>
          <w:iCs/>
          <w:spacing w:val="-5"/>
          <w:sz w:val="24"/>
          <w:lang w:eastAsia="en-US"/>
        </w:rPr>
        <w:t>CA</w:t>
      </w:r>
      <w:proofErr w:type="spellEnd"/>
      <w:r w:rsidR="00CA199D" w:rsidRPr="003331EF">
        <w:rPr>
          <w:rFonts w:eastAsia="Times New Roman"/>
          <w:bCs w:val="0"/>
          <w:iCs/>
          <w:spacing w:val="-5"/>
          <w:sz w:val="24"/>
          <w:lang w:eastAsia="en-US"/>
        </w:rPr>
        <w:t xml:space="preserve"> määruses on ka täpsustus, et t</w:t>
      </w:r>
      <w:r w:rsidRPr="003331EF">
        <w:rPr>
          <w:rFonts w:eastAsia="Times New Roman"/>
          <w:bCs w:val="0"/>
          <w:iCs/>
          <w:spacing w:val="-5"/>
          <w:sz w:val="24"/>
          <w:lang w:eastAsia="en-US"/>
        </w:rPr>
        <w:t>ema tegeliku juhtimise koht peab olema liidus ja vähemalt üks juhtidest peab olema liidu resident.</w:t>
      </w:r>
      <w:r w:rsidR="009B26A5" w:rsidRPr="003331EF">
        <w:rPr>
          <w:b/>
          <w:sz w:val="24"/>
        </w:rPr>
        <w:t xml:space="preserve"> </w:t>
      </w:r>
      <w:proofErr w:type="spellStart"/>
      <w:r w:rsidR="009B26A5" w:rsidRPr="003331EF">
        <w:rPr>
          <w:rFonts w:eastAsia="Times New Roman"/>
          <w:bCs w:val="0"/>
          <w:iCs/>
          <w:spacing w:val="-5"/>
          <w:sz w:val="24"/>
          <w:lang w:eastAsia="en-US"/>
        </w:rPr>
        <w:t>K</w:t>
      </w:r>
      <w:r w:rsidRPr="003331EF">
        <w:rPr>
          <w:rFonts w:eastAsia="Times New Roman"/>
          <w:bCs w:val="0"/>
          <w:iCs/>
          <w:spacing w:val="-5"/>
          <w:sz w:val="24"/>
          <w:lang w:eastAsia="en-US"/>
        </w:rPr>
        <w:t>rüptovaraturu</w:t>
      </w:r>
      <w:proofErr w:type="spellEnd"/>
      <w:r w:rsidRPr="003331EF">
        <w:rPr>
          <w:rFonts w:eastAsia="Times New Roman"/>
          <w:bCs w:val="0"/>
          <w:iCs/>
          <w:spacing w:val="-5"/>
          <w:sz w:val="24"/>
          <w:lang w:eastAsia="en-US"/>
        </w:rPr>
        <w:t xml:space="preserve"> osalise </w:t>
      </w:r>
      <w:r w:rsidR="00693DD2" w:rsidRPr="003331EF">
        <w:rPr>
          <w:rFonts w:eastAsia="Times New Roman"/>
          <w:bCs w:val="0"/>
          <w:iCs/>
          <w:spacing w:val="-5"/>
          <w:sz w:val="24"/>
          <w:lang w:eastAsia="en-US"/>
        </w:rPr>
        <w:t xml:space="preserve">asutamisleping </w:t>
      </w:r>
      <w:r w:rsidRPr="003331EF">
        <w:rPr>
          <w:rFonts w:eastAsia="Times New Roman"/>
          <w:bCs w:val="0"/>
          <w:iCs/>
          <w:spacing w:val="-5"/>
          <w:sz w:val="24"/>
          <w:lang w:eastAsia="en-US"/>
        </w:rPr>
        <w:t>või põhikiri kindlaks määrama, et tema registrijärgne asukoht on Eestis.</w:t>
      </w:r>
    </w:p>
    <w:p w14:paraId="1C6640CA" w14:textId="77777777" w:rsidR="001A4507" w:rsidRPr="003331EF" w:rsidRDefault="001A4507" w:rsidP="003331EF">
      <w:pPr>
        <w:pStyle w:val="Normal2"/>
        <w:rPr>
          <w:b/>
          <w:i/>
          <w:iCs/>
          <w:sz w:val="24"/>
        </w:rPr>
      </w:pPr>
    </w:p>
    <w:p w14:paraId="19D0582E" w14:textId="3D0D92E9" w:rsidR="001A4507" w:rsidRPr="003331EF" w:rsidRDefault="001A4507" w:rsidP="003331EF">
      <w:pPr>
        <w:spacing w:before="0"/>
      </w:pPr>
      <w:r w:rsidRPr="003331EF">
        <w:rPr>
          <w:b/>
        </w:rPr>
        <w:t xml:space="preserve">Lõikes </w:t>
      </w:r>
      <w:r w:rsidR="009B26A5" w:rsidRPr="003331EF">
        <w:rPr>
          <w:b/>
        </w:rPr>
        <w:t>5</w:t>
      </w:r>
      <w:r w:rsidRPr="003331EF">
        <w:rPr>
          <w:b/>
        </w:rPr>
        <w:t xml:space="preserve"> </w:t>
      </w:r>
      <w:r w:rsidRPr="003331EF">
        <w:rPr>
          <w:iCs/>
          <w:spacing w:val="-5"/>
          <w:lang w:eastAsia="en-US"/>
        </w:rPr>
        <w:t xml:space="preserve">on loetletud tegevusloa kehtivuse lõppemise alused. Nendeks on </w:t>
      </w:r>
      <w:proofErr w:type="spellStart"/>
      <w:r w:rsidRPr="003331EF">
        <w:rPr>
          <w:iCs/>
          <w:spacing w:val="-5"/>
          <w:lang w:eastAsia="en-US"/>
        </w:rPr>
        <w:t>krüptovaraturu</w:t>
      </w:r>
      <w:proofErr w:type="spellEnd"/>
      <w:r w:rsidRPr="003331EF">
        <w:rPr>
          <w:iCs/>
          <w:spacing w:val="-5"/>
          <w:lang w:eastAsia="en-US"/>
        </w:rPr>
        <w:t xml:space="preserve"> osalise lõpetamise otsuse tegemisel (punkt 1), tegevusloa kehtetuks tunnistamisel (punkt 2), ühendamisel (misjärel muutub tegevusluba kehtetuks ühendataval isikul; punkt 3), uue </w:t>
      </w:r>
      <w:proofErr w:type="spellStart"/>
      <w:r w:rsidR="00CA199D" w:rsidRPr="003331EF">
        <w:rPr>
          <w:iCs/>
          <w:spacing w:val="-5"/>
          <w:lang w:eastAsia="en-US"/>
        </w:rPr>
        <w:t>krüptovaraturu</w:t>
      </w:r>
      <w:proofErr w:type="spellEnd"/>
      <w:r w:rsidR="00CA199D" w:rsidRPr="003331EF">
        <w:rPr>
          <w:iCs/>
          <w:spacing w:val="-5"/>
          <w:lang w:eastAsia="en-US"/>
        </w:rPr>
        <w:t xml:space="preserve"> osalise </w:t>
      </w:r>
      <w:r w:rsidRPr="003331EF">
        <w:rPr>
          <w:iCs/>
          <w:spacing w:val="-5"/>
          <w:lang w:eastAsia="en-US"/>
        </w:rPr>
        <w:t xml:space="preserve">asutamisel ühinemise teel (ühinevatel isikutel; punkt 4) ning </w:t>
      </w:r>
      <w:proofErr w:type="spellStart"/>
      <w:r w:rsidR="005A1EF9" w:rsidRPr="003331EF">
        <w:rPr>
          <w:iCs/>
          <w:spacing w:val="-5"/>
          <w:lang w:eastAsia="en-US"/>
        </w:rPr>
        <w:t>krüptovaraturu</w:t>
      </w:r>
      <w:proofErr w:type="spellEnd"/>
      <w:r w:rsidR="005A1EF9" w:rsidRPr="003331EF">
        <w:rPr>
          <w:iCs/>
          <w:spacing w:val="-5"/>
          <w:lang w:eastAsia="en-US"/>
        </w:rPr>
        <w:t xml:space="preserve"> osalise</w:t>
      </w:r>
      <w:r w:rsidRPr="003331EF">
        <w:rPr>
          <w:iCs/>
          <w:spacing w:val="-5"/>
          <w:lang w:eastAsia="en-US"/>
        </w:rPr>
        <w:t xml:space="preserve"> pankroti väljakuulutamisel (punkt 5).</w:t>
      </w:r>
      <w:r w:rsidRPr="003331EF">
        <w:t xml:space="preserve"> </w:t>
      </w:r>
    </w:p>
    <w:p w14:paraId="68D3AB89" w14:textId="77777777" w:rsidR="001A4507" w:rsidRPr="003331EF" w:rsidRDefault="001A4507" w:rsidP="003331EF">
      <w:pPr>
        <w:spacing w:before="0"/>
        <w:rPr>
          <w:i/>
          <w:iCs/>
        </w:rPr>
      </w:pPr>
    </w:p>
    <w:p w14:paraId="1B6883E8" w14:textId="5C89B50C" w:rsidR="001A4507" w:rsidRPr="003331EF" w:rsidRDefault="001A4507" w:rsidP="003331EF">
      <w:pPr>
        <w:spacing w:before="0"/>
      </w:pPr>
      <w:r w:rsidRPr="003331EF">
        <w:rPr>
          <w:b/>
        </w:rPr>
        <w:t xml:space="preserve">Lõike </w:t>
      </w:r>
      <w:r w:rsidR="009B26A5" w:rsidRPr="003331EF">
        <w:rPr>
          <w:b/>
        </w:rPr>
        <w:t>6</w:t>
      </w:r>
      <w:r w:rsidRPr="003331EF">
        <w:rPr>
          <w:b/>
        </w:rPr>
        <w:t xml:space="preserve"> </w:t>
      </w:r>
      <w:r w:rsidRPr="003331EF">
        <w:rPr>
          <w:iCs/>
          <w:spacing w:val="-5"/>
          <w:lang w:eastAsia="en-US"/>
        </w:rPr>
        <w:t xml:space="preserve">järgi kaotab tegevusloa lõppemisel </w:t>
      </w:r>
      <w:proofErr w:type="spellStart"/>
      <w:r w:rsidRPr="003331EF">
        <w:rPr>
          <w:iCs/>
          <w:spacing w:val="-5"/>
          <w:lang w:eastAsia="en-US"/>
        </w:rPr>
        <w:t>krüptovaraturu</w:t>
      </w:r>
      <w:proofErr w:type="spellEnd"/>
      <w:r w:rsidRPr="003331EF">
        <w:rPr>
          <w:iCs/>
          <w:spacing w:val="-5"/>
          <w:lang w:eastAsia="en-US"/>
        </w:rPr>
        <w:t xml:space="preserve"> osaline </w:t>
      </w:r>
      <w:r w:rsidR="005A1EF9" w:rsidRPr="003331EF">
        <w:rPr>
          <w:iCs/>
          <w:spacing w:val="-5"/>
          <w:lang w:eastAsia="en-US"/>
        </w:rPr>
        <w:t xml:space="preserve">õiguse </w:t>
      </w:r>
      <w:r w:rsidRPr="003331EF">
        <w:rPr>
          <w:iCs/>
          <w:spacing w:val="-5"/>
          <w:lang w:eastAsia="en-US"/>
        </w:rPr>
        <w:t xml:space="preserve">osutada teenust või pakkuda </w:t>
      </w:r>
      <w:proofErr w:type="spellStart"/>
      <w:r w:rsidRPr="003331EF">
        <w:rPr>
          <w:iCs/>
          <w:spacing w:val="-5"/>
          <w:lang w:eastAsia="en-US"/>
        </w:rPr>
        <w:t>krüptovara</w:t>
      </w:r>
      <w:proofErr w:type="spellEnd"/>
      <w:r w:rsidR="00CA199D" w:rsidRPr="003331EF">
        <w:rPr>
          <w:iCs/>
          <w:spacing w:val="-5"/>
          <w:lang w:eastAsia="en-US"/>
        </w:rPr>
        <w:t xml:space="preserve"> või taotleda selle kauplemisele võtmist</w:t>
      </w:r>
      <w:r w:rsidRPr="003331EF">
        <w:rPr>
          <w:iCs/>
          <w:spacing w:val="-5"/>
          <w:lang w:eastAsia="en-US"/>
        </w:rPr>
        <w:t>, milleks talle oli antud tegevusluba.</w:t>
      </w:r>
      <w:r w:rsidR="0002125B" w:rsidRPr="003331EF">
        <w:rPr>
          <w:iCs/>
          <w:spacing w:val="-5"/>
          <w:lang w:eastAsia="en-US"/>
        </w:rPr>
        <w:t xml:space="preserve"> Koos tegevusloa lõppemisega kaotab </w:t>
      </w:r>
      <w:proofErr w:type="spellStart"/>
      <w:r w:rsidR="0002125B" w:rsidRPr="003331EF">
        <w:rPr>
          <w:iCs/>
          <w:spacing w:val="-5"/>
          <w:lang w:eastAsia="en-US"/>
        </w:rPr>
        <w:t>krüptovaraturu</w:t>
      </w:r>
      <w:proofErr w:type="spellEnd"/>
      <w:r w:rsidR="0002125B" w:rsidRPr="003331EF">
        <w:rPr>
          <w:iCs/>
          <w:spacing w:val="-5"/>
          <w:lang w:eastAsia="en-US"/>
        </w:rPr>
        <w:t xml:space="preserve"> osaline õiguse tegutseda </w:t>
      </w:r>
      <w:r w:rsidR="00434363" w:rsidRPr="003331EF">
        <w:rPr>
          <w:iCs/>
          <w:spacing w:val="-5"/>
          <w:lang w:eastAsia="en-US"/>
        </w:rPr>
        <w:t xml:space="preserve">välisriigis, sh </w:t>
      </w:r>
      <w:r w:rsidR="0002125B" w:rsidRPr="003331EF">
        <w:rPr>
          <w:iCs/>
          <w:spacing w:val="-5"/>
          <w:lang w:eastAsia="en-US"/>
        </w:rPr>
        <w:t>kolmandas riigis, kui tal</w:t>
      </w:r>
      <w:r w:rsidR="00BB7D96" w:rsidRPr="003331EF">
        <w:rPr>
          <w:iCs/>
          <w:spacing w:val="-5"/>
          <w:lang w:eastAsia="en-US"/>
        </w:rPr>
        <w:t>le oli</w:t>
      </w:r>
      <w:r w:rsidR="0002125B" w:rsidRPr="003331EF">
        <w:rPr>
          <w:iCs/>
          <w:spacing w:val="-5"/>
          <w:lang w:eastAsia="en-US"/>
        </w:rPr>
        <w:t xml:space="preserve"> selleks § 10 kohaselt luba antud.</w:t>
      </w:r>
    </w:p>
    <w:p w14:paraId="13992CA8" w14:textId="77777777" w:rsidR="001A4507" w:rsidRPr="003331EF" w:rsidRDefault="001A4507" w:rsidP="003331EF">
      <w:pPr>
        <w:spacing w:before="0"/>
      </w:pPr>
    </w:p>
    <w:p w14:paraId="7652E68B" w14:textId="29F37FA0" w:rsidR="001A4507" w:rsidRPr="003331EF" w:rsidRDefault="001A4507" w:rsidP="003331EF">
      <w:pPr>
        <w:spacing w:before="0"/>
        <w:ind w:right="-62"/>
        <w:rPr>
          <w:iCs/>
          <w:spacing w:val="-5"/>
          <w:lang w:eastAsia="en-US"/>
        </w:rPr>
      </w:pPr>
      <w:r w:rsidRPr="003331EF">
        <w:rPr>
          <w:b/>
        </w:rPr>
        <w:t xml:space="preserve">Lõige </w:t>
      </w:r>
      <w:r w:rsidR="009B26A5" w:rsidRPr="003331EF">
        <w:rPr>
          <w:b/>
        </w:rPr>
        <w:t>7</w:t>
      </w:r>
      <w:r w:rsidRPr="003331EF">
        <w:t xml:space="preserve"> </w:t>
      </w:r>
      <w:r w:rsidRPr="003331EF">
        <w:rPr>
          <w:iCs/>
          <w:spacing w:val="-5"/>
          <w:lang w:eastAsia="en-US"/>
        </w:rPr>
        <w:t>kohustab Finantsinspektsioon avalikustama informatsiooni tegevusloa andmise või kehtetuks tunnistamise otsuste kohta oma veebilehel hiljemalt otsuse jõustumisele järgneval tööpäeval.</w:t>
      </w:r>
    </w:p>
    <w:p w14:paraId="71ABDA63" w14:textId="77777777" w:rsidR="00CA199D" w:rsidRPr="003331EF" w:rsidRDefault="00CA199D" w:rsidP="003331EF">
      <w:pPr>
        <w:spacing w:before="0"/>
        <w:ind w:right="-62"/>
      </w:pPr>
    </w:p>
    <w:p w14:paraId="361075AC" w14:textId="5B6EC249" w:rsidR="00CA199D" w:rsidRPr="003331EF" w:rsidRDefault="0017779E" w:rsidP="003331EF">
      <w:pPr>
        <w:spacing w:before="0"/>
        <w:ind w:right="-62"/>
      </w:pPr>
      <w:r w:rsidRPr="003331EF">
        <w:rPr>
          <w:b/>
          <w:bCs/>
        </w:rPr>
        <w:t>Paragrahv 6.</w:t>
      </w:r>
      <w:r w:rsidR="00CA199D" w:rsidRPr="003331EF">
        <w:rPr>
          <w:b/>
          <w:bCs/>
        </w:rPr>
        <w:t xml:space="preserve"> </w:t>
      </w:r>
      <w:r w:rsidR="00EA593F" w:rsidRPr="003331EF">
        <w:rPr>
          <w:iCs/>
          <w:spacing w:val="-5"/>
          <w:lang w:eastAsia="en-US"/>
        </w:rPr>
        <w:t xml:space="preserve">Nagu </w:t>
      </w:r>
      <w:r w:rsidR="00170538" w:rsidRPr="003331EF">
        <w:rPr>
          <w:iCs/>
          <w:spacing w:val="-5"/>
          <w:lang w:eastAsia="en-US"/>
        </w:rPr>
        <w:t xml:space="preserve">§ 5 </w:t>
      </w:r>
      <w:r w:rsidR="00EA593F" w:rsidRPr="003331EF">
        <w:rPr>
          <w:iCs/>
          <w:spacing w:val="-5"/>
          <w:lang w:eastAsia="en-US"/>
        </w:rPr>
        <w:t xml:space="preserve">lõikes 1 selgitatud, siis </w:t>
      </w:r>
      <w:proofErr w:type="spellStart"/>
      <w:r w:rsidR="00EA593F" w:rsidRPr="003331EF">
        <w:rPr>
          <w:iCs/>
          <w:spacing w:val="-5"/>
          <w:lang w:eastAsia="en-US"/>
        </w:rPr>
        <w:t>M</w:t>
      </w:r>
      <w:r w:rsidR="00A03096">
        <w:rPr>
          <w:iCs/>
          <w:spacing w:val="-5"/>
          <w:lang w:eastAsia="en-US"/>
        </w:rPr>
        <w:t>i</w:t>
      </w:r>
      <w:r w:rsidR="00EA593F" w:rsidRPr="003331EF">
        <w:rPr>
          <w:iCs/>
          <w:spacing w:val="-5"/>
          <w:lang w:eastAsia="en-US"/>
        </w:rPr>
        <w:t>CA</w:t>
      </w:r>
      <w:proofErr w:type="spellEnd"/>
      <w:r w:rsidR="00EA593F" w:rsidRPr="003331EF">
        <w:rPr>
          <w:iCs/>
          <w:spacing w:val="-5"/>
          <w:lang w:eastAsia="en-US"/>
        </w:rPr>
        <w:t xml:space="preserve"> määruse kohaselt ei pea alati tegevusluba taotlema ning piisab ka Finantsinspektsiooni teavitamisest. Kuid selleks, et ka teavituse puhul oleks nö </w:t>
      </w:r>
      <w:r w:rsidR="00393E9C" w:rsidRPr="003331EF">
        <w:rPr>
          <w:iCs/>
          <w:spacing w:val="-5"/>
          <w:lang w:eastAsia="en-US"/>
        </w:rPr>
        <w:t>õigus</w:t>
      </w:r>
      <w:r w:rsidR="00EA593F" w:rsidRPr="003331EF">
        <w:rPr>
          <w:iCs/>
          <w:spacing w:val="-5"/>
          <w:lang w:eastAsia="en-US"/>
        </w:rPr>
        <w:t xml:space="preserve"> </w:t>
      </w:r>
      <w:proofErr w:type="spellStart"/>
      <w:r w:rsidR="005725C8" w:rsidRPr="003331EF">
        <w:rPr>
          <w:iCs/>
          <w:spacing w:val="-5"/>
          <w:lang w:eastAsia="en-US"/>
        </w:rPr>
        <w:t>krüptovaraturul</w:t>
      </w:r>
      <w:proofErr w:type="spellEnd"/>
      <w:r w:rsidR="005725C8" w:rsidRPr="003331EF">
        <w:rPr>
          <w:iCs/>
          <w:spacing w:val="-5"/>
          <w:lang w:eastAsia="en-US"/>
        </w:rPr>
        <w:t xml:space="preserve"> tegutsemiseks</w:t>
      </w:r>
      <w:r w:rsidR="00EA593F" w:rsidRPr="003331EF">
        <w:rPr>
          <w:iCs/>
          <w:spacing w:val="-5"/>
          <w:lang w:eastAsia="en-US"/>
        </w:rPr>
        <w:t>, kinnitab Finantsinspektsioon otsusega, et talle esitatud teave on nõuetekohane</w:t>
      </w:r>
      <w:r w:rsidR="005725C8" w:rsidRPr="003331EF">
        <w:rPr>
          <w:iCs/>
          <w:spacing w:val="-5"/>
          <w:lang w:eastAsia="en-US"/>
        </w:rPr>
        <w:t xml:space="preserve">, </w:t>
      </w:r>
      <w:proofErr w:type="spellStart"/>
      <w:r w:rsidR="005725C8" w:rsidRPr="003331EF">
        <w:rPr>
          <w:iCs/>
          <w:spacing w:val="-5"/>
          <w:lang w:eastAsia="en-US"/>
        </w:rPr>
        <w:t>M</w:t>
      </w:r>
      <w:r w:rsidR="00A03096">
        <w:rPr>
          <w:iCs/>
          <w:spacing w:val="-5"/>
          <w:lang w:eastAsia="en-US"/>
        </w:rPr>
        <w:t>i</w:t>
      </w:r>
      <w:r w:rsidR="005725C8" w:rsidRPr="003331EF">
        <w:rPr>
          <w:iCs/>
          <w:spacing w:val="-5"/>
          <w:lang w:eastAsia="en-US"/>
        </w:rPr>
        <w:t>CA</w:t>
      </w:r>
      <w:proofErr w:type="spellEnd"/>
      <w:r w:rsidR="005725C8" w:rsidRPr="003331EF">
        <w:rPr>
          <w:iCs/>
          <w:spacing w:val="-5"/>
          <w:lang w:eastAsia="en-US"/>
        </w:rPr>
        <w:t xml:space="preserve"> määruses</w:t>
      </w:r>
      <w:r w:rsidR="003A3581" w:rsidRPr="003331EF">
        <w:rPr>
          <w:iCs/>
          <w:spacing w:val="-5"/>
          <w:lang w:eastAsia="en-US"/>
        </w:rPr>
        <w:t>t</w:t>
      </w:r>
      <w:r w:rsidR="005725C8" w:rsidRPr="003331EF">
        <w:rPr>
          <w:iCs/>
          <w:spacing w:val="-5"/>
          <w:lang w:eastAsia="en-US"/>
        </w:rPr>
        <w:t xml:space="preserve"> tulenevad tingimused (sh valge raamatu koostamise ja teavitamise/heakskiitmise nõue) täidetud </w:t>
      </w:r>
      <w:r w:rsidR="00EA593F" w:rsidRPr="003331EF">
        <w:rPr>
          <w:iCs/>
          <w:spacing w:val="-5"/>
          <w:lang w:eastAsia="en-US"/>
        </w:rPr>
        <w:t xml:space="preserve">ning õigus </w:t>
      </w:r>
      <w:proofErr w:type="spellStart"/>
      <w:r w:rsidR="00EA593F" w:rsidRPr="003331EF">
        <w:rPr>
          <w:iCs/>
          <w:spacing w:val="-5"/>
          <w:lang w:eastAsia="en-US"/>
        </w:rPr>
        <w:t>krüptovaraturul</w:t>
      </w:r>
      <w:proofErr w:type="spellEnd"/>
      <w:r w:rsidR="00EA593F" w:rsidRPr="003331EF">
        <w:rPr>
          <w:iCs/>
          <w:spacing w:val="-5"/>
          <w:lang w:eastAsia="en-US"/>
        </w:rPr>
        <w:t xml:space="preserve"> tegutsemiseks on </w:t>
      </w:r>
      <w:r w:rsidR="006C1468" w:rsidRPr="003331EF">
        <w:rPr>
          <w:iCs/>
          <w:spacing w:val="-5"/>
          <w:lang w:eastAsia="en-US"/>
        </w:rPr>
        <w:t xml:space="preserve">seega </w:t>
      </w:r>
      <w:r w:rsidR="00EA593F" w:rsidRPr="003331EF">
        <w:rPr>
          <w:iCs/>
          <w:spacing w:val="-5"/>
          <w:lang w:eastAsia="en-US"/>
        </w:rPr>
        <w:t>olemas.</w:t>
      </w:r>
      <w:r w:rsidR="00EA593F" w:rsidRPr="003331EF">
        <w:t xml:space="preserve">  </w:t>
      </w:r>
    </w:p>
    <w:p w14:paraId="69175AA6" w14:textId="77777777" w:rsidR="00243960" w:rsidRPr="003331EF" w:rsidRDefault="00243960" w:rsidP="003331EF">
      <w:pPr>
        <w:spacing w:before="0"/>
        <w:ind w:right="-62"/>
      </w:pPr>
    </w:p>
    <w:p w14:paraId="43C986F0" w14:textId="74260E0D" w:rsidR="00243960" w:rsidRPr="003331EF" w:rsidRDefault="00243960" w:rsidP="003331EF">
      <w:pPr>
        <w:spacing w:before="0"/>
        <w:ind w:right="-62"/>
      </w:pPr>
      <w:r w:rsidRPr="003331EF">
        <w:t xml:space="preserve">Muu </w:t>
      </w:r>
      <w:proofErr w:type="spellStart"/>
      <w:r w:rsidRPr="003331EF">
        <w:t>krüptovara</w:t>
      </w:r>
      <w:proofErr w:type="spellEnd"/>
      <w:r w:rsidRPr="003331EF">
        <w:t xml:space="preserve"> </w:t>
      </w:r>
      <w:r w:rsidR="004A30AF" w:rsidRPr="003331EF">
        <w:t>pakkumise</w:t>
      </w:r>
      <w:r w:rsidR="001D72D3" w:rsidRPr="003331EF">
        <w:t xml:space="preserve"> või kauplemisele </w:t>
      </w:r>
      <w:r w:rsidR="00BB7D96" w:rsidRPr="003331EF">
        <w:t xml:space="preserve">võtmisele </w:t>
      </w:r>
      <w:r w:rsidR="001D72D3" w:rsidRPr="003331EF">
        <w:t xml:space="preserve">taotlemise õigus tekib isikul siis, kui ta vastab vastavalt </w:t>
      </w:r>
      <w:proofErr w:type="spellStart"/>
      <w:r w:rsidR="004A30AF" w:rsidRPr="003331EF">
        <w:t>MiCA</w:t>
      </w:r>
      <w:proofErr w:type="spellEnd"/>
      <w:r w:rsidR="004A30AF" w:rsidRPr="003331EF">
        <w:t xml:space="preserve"> määruse artiklis 4 </w:t>
      </w:r>
      <w:r w:rsidR="001D72D3" w:rsidRPr="003331EF">
        <w:t xml:space="preserve">või 5 </w:t>
      </w:r>
      <w:r w:rsidR="004A30AF" w:rsidRPr="003331EF">
        <w:t>sätestatud tingimus</w:t>
      </w:r>
      <w:r w:rsidR="001D72D3" w:rsidRPr="003331EF">
        <w:t>tele.</w:t>
      </w:r>
    </w:p>
    <w:p w14:paraId="65636791" w14:textId="77777777" w:rsidR="001A4507" w:rsidRPr="003331EF" w:rsidRDefault="001A4507" w:rsidP="003331EF">
      <w:pPr>
        <w:spacing w:before="0"/>
        <w:rPr>
          <w:b/>
        </w:rPr>
      </w:pPr>
    </w:p>
    <w:p w14:paraId="3189164B" w14:textId="07463680" w:rsidR="001A4507" w:rsidRPr="003331EF" w:rsidRDefault="001A4507" w:rsidP="003331EF">
      <w:pPr>
        <w:spacing w:before="0"/>
      </w:pPr>
      <w:r w:rsidRPr="003331EF">
        <w:rPr>
          <w:b/>
          <w:bCs/>
        </w:rPr>
        <w:lastRenderedPageBreak/>
        <w:t xml:space="preserve">Paragrahv </w:t>
      </w:r>
      <w:r w:rsidR="003F18D6" w:rsidRPr="003331EF">
        <w:rPr>
          <w:b/>
          <w:bCs/>
        </w:rPr>
        <w:t>7</w:t>
      </w:r>
      <w:r w:rsidR="003A3581" w:rsidRPr="003331EF">
        <w:t xml:space="preserve"> </w:t>
      </w:r>
      <w:r w:rsidRPr="003331EF">
        <w:t xml:space="preserve">reguleerib </w:t>
      </w:r>
      <w:proofErr w:type="spellStart"/>
      <w:r w:rsidRPr="003331EF">
        <w:rPr>
          <w:b/>
          <w:bCs/>
        </w:rPr>
        <w:t>krüptovaraturul</w:t>
      </w:r>
      <w:proofErr w:type="spellEnd"/>
      <w:r w:rsidRPr="003331EF">
        <w:rPr>
          <w:b/>
          <w:bCs/>
        </w:rPr>
        <w:t xml:space="preserve"> tegutsemise nõudeid</w:t>
      </w:r>
      <w:r w:rsidRPr="003331EF">
        <w:t>.</w:t>
      </w:r>
    </w:p>
    <w:p w14:paraId="7329154F" w14:textId="77777777" w:rsidR="001A4507" w:rsidRPr="003331EF" w:rsidRDefault="001A4507" w:rsidP="003331EF">
      <w:pPr>
        <w:spacing w:before="0"/>
        <w:rPr>
          <w:iCs/>
          <w:spacing w:val="-5"/>
          <w:lang w:eastAsia="en-US"/>
        </w:rPr>
      </w:pPr>
    </w:p>
    <w:p w14:paraId="0643161B" w14:textId="060B06FF" w:rsidR="003A3581" w:rsidRPr="003331EF" w:rsidRDefault="003A3581" w:rsidP="003331EF">
      <w:pPr>
        <w:spacing w:before="0"/>
        <w:rPr>
          <w:iCs/>
          <w:spacing w:val="-5"/>
          <w:lang w:eastAsia="en-US"/>
        </w:rPr>
      </w:pPr>
      <w:r w:rsidRPr="003331EF">
        <w:rPr>
          <w:iCs/>
          <w:spacing w:val="-5"/>
          <w:lang w:eastAsia="en-US"/>
        </w:rPr>
        <w:t xml:space="preserve">Lõiked 1–3 ei kohaldu </w:t>
      </w:r>
      <w:r w:rsidR="006C1468" w:rsidRPr="003331EF">
        <w:rPr>
          <w:iCs/>
          <w:spacing w:val="-5"/>
          <w:lang w:eastAsia="en-US"/>
        </w:rPr>
        <w:t xml:space="preserve">muudele </w:t>
      </w:r>
      <w:r w:rsidRPr="003331EF">
        <w:rPr>
          <w:iCs/>
          <w:spacing w:val="-5"/>
          <w:lang w:eastAsia="en-US"/>
        </w:rPr>
        <w:t xml:space="preserve">finantssektori ettevõtjatele, kelle suhtes kohalduvad eriseadustest tulenevad nõuded äriühingu vormile ja juhtimisstruktuurile. </w:t>
      </w:r>
    </w:p>
    <w:p w14:paraId="7B2E0DCE" w14:textId="374C5419" w:rsidR="003A3581" w:rsidRPr="003331EF" w:rsidRDefault="003A3581" w:rsidP="003331EF">
      <w:pPr>
        <w:spacing w:before="0"/>
        <w:rPr>
          <w:b/>
          <w:bCs/>
        </w:rPr>
      </w:pPr>
      <w:r w:rsidRPr="003331EF">
        <w:rPr>
          <w:b/>
          <w:bCs/>
        </w:rPr>
        <w:t xml:space="preserve"> </w:t>
      </w:r>
    </w:p>
    <w:p w14:paraId="0A235E48" w14:textId="7C8C2CB0" w:rsidR="001A4507" w:rsidRPr="003331EF" w:rsidRDefault="001A4507" w:rsidP="003331EF">
      <w:pPr>
        <w:spacing w:before="0"/>
      </w:pPr>
      <w:r w:rsidRPr="003331EF">
        <w:rPr>
          <w:b/>
          <w:bCs/>
        </w:rPr>
        <w:t xml:space="preserve">Lõike 1 </w:t>
      </w:r>
      <w:r w:rsidRPr="003331EF">
        <w:rPr>
          <w:iCs/>
          <w:spacing w:val="-5"/>
          <w:lang w:eastAsia="en-US"/>
        </w:rPr>
        <w:t xml:space="preserve">kohaselt võib </w:t>
      </w:r>
      <w:proofErr w:type="spellStart"/>
      <w:r w:rsidRPr="003331EF">
        <w:rPr>
          <w:iCs/>
          <w:spacing w:val="-5"/>
          <w:lang w:eastAsia="en-US"/>
        </w:rPr>
        <w:t>krüptovaraturu</w:t>
      </w:r>
      <w:proofErr w:type="spellEnd"/>
      <w:r w:rsidRPr="003331EF">
        <w:rPr>
          <w:iCs/>
          <w:spacing w:val="-5"/>
          <w:lang w:eastAsia="en-US"/>
        </w:rPr>
        <w:t xml:space="preserve"> osaline tegutseda üksnes osaühingu või aktsiaseltsina. Sarnaselt teiste finantssektori ettevõtjatega ning eeskätt Finantsinspektsiooni järelevalve alla kuuluvate turuosalistega on kasutatav äriühingu vorm piiratud osaühingu ja aktsiaseltsiga, kuivõrd nimetatud äriühingute puhul on kõige täpsemini ja finantssektori ettevõtjale kohasemalt kindlaks määratud kohustuslikud juhtimise alused, osaluse omandamise ja osalusega seotud õiguste teostamine, vastutuse klauslid jm sätted.</w:t>
      </w:r>
    </w:p>
    <w:p w14:paraId="09E496E6" w14:textId="77777777" w:rsidR="001A4507" w:rsidRPr="003331EF" w:rsidRDefault="001A4507" w:rsidP="003331EF">
      <w:pPr>
        <w:spacing w:before="0"/>
      </w:pPr>
    </w:p>
    <w:p w14:paraId="39A8CF09" w14:textId="607911FA" w:rsidR="004D6B04" w:rsidRPr="003331EF" w:rsidRDefault="003A3581" w:rsidP="003331EF">
      <w:pPr>
        <w:spacing w:before="0"/>
        <w:rPr>
          <w:iCs/>
          <w:spacing w:val="-5"/>
          <w:lang w:eastAsia="en-US"/>
        </w:rPr>
      </w:pPr>
      <w:r w:rsidRPr="003331EF">
        <w:rPr>
          <w:b/>
          <w:bCs/>
        </w:rPr>
        <w:t xml:space="preserve">Lõige 2. </w:t>
      </w:r>
      <w:proofErr w:type="spellStart"/>
      <w:r w:rsidR="0060638F" w:rsidRPr="003331EF">
        <w:rPr>
          <w:iCs/>
          <w:spacing w:val="-5"/>
          <w:lang w:eastAsia="en-US"/>
        </w:rPr>
        <w:t>MiCA</w:t>
      </w:r>
      <w:proofErr w:type="spellEnd"/>
      <w:r w:rsidR="0060638F" w:rsidRPr="003331EF">
        <w:rPr>
          <w:iCs/>
          <w:spacing w:val="-5"/>
          <w:lang w:eastAsia="en-US"/>
        </w:rPr>
        <w:t xml:space="preserve"> määruse artikli 3 lõike 1 punktis 27 on defineeritud juhtorgani mõiste. Tegemist on  emitendi, pakkuja või kauplemisele võtmist taotleva isiku või </w:t>
      </w:r>
      <w:proofErr w:type="spellStart"/>
      <w:r w:rsidR="0060638F" w:rsidRPr="003331EF">
        <w:rPr>
          <w:iCs/>
          <w:spacing w:val="-5"/>
          <w:lang w:eastAsia="en-US"/>
        </w:rPr>
        <w:t>krüptovarateenuse</w:t>
      </w:r>
      <w:proofErr w:type="spellEnd"/>
      <w:r w:rsidR="0060638F" w:rsidRPr="003331EF">
        <w:rPr>
          <w:iCs/>
          <w:spacing w:val="-5"/>
          <w:lang w:eastAsia="en-US"/>
        </w:rPr>
        <w:t xml:space="preserve"> osutaja organi või organitega, mis on nimetatud kooskõlas riigisisese õigusega ja millel on õigus määrata kindlaks ettevõtja strateegia, eesmärgid ja üldine tegevussuund ning mis kontrollib ja jälgib ettevõtja juhtimisotsuste tegemist ning hõlmab isikuid, kes ettevõtja äritegevust tegelikult suunavad. </w:t>
      </w:r>
      <w:r w:rsidR="004D6B04" w:rsidRPr="003331EF">
        <w:rPr>
          <w:iCs/>
          <w:spacing w:val="-5"/>
          <w:lang w:eastAsia="en-US"/>
        </w:rPr>
        <w:t xml:space="preserve">Kuna osaühingute puhul puudub nõukogu loomise kohustus, kui seda põhikirjaga ette ei nähta, nähakse lõikega 2 ette, et osaühingust </w:t>
      </w:r>
      <w:proofErr w:type="spellStart"/>
      <w:r w:rsidR="004D6B04" w:rsidRPr="003331EF">
        <w:rPr>
          <w:iCs/>
          <w:spacing w:val="-5"/>
          <w:lang w:eastAsia="en-US"/>
        </w:rPr>
        <w:t>krüptovaraturu</w:t>
      </w:r>
      <w:proofErr w:type="spellEnd"/>
      <w:r w:rsidR="004D6B04" w:rsidRPr="003331EF">
        <w:rPr>
          <w:iCs/>
          <w:spacing w:val="-5"/>
          <w:lang w:eastAsia="en-US"/>
        </w:rPr>
        <w:t xml:space="preserve"> osalisel peab olema vähemalt kolmeliikmeline nõukogu. </w:t>
      </w:r>
      <w:r w:rsidR="00933CCE" w:rsidRPr="003331EF">
        <w:rPr>
          <w:iCs/>
          <w:spacing w:val="-5"/>
          <w:lang w:eastAsia="en-US"/>
        </w:rPr>
        <w:t>Kuna n</w:t>
      </w:r>
      <w:r w:rsidR="0060638F" w:rsidRPr="003331EF">
        <w:rPr>
          <w:iCs/>
          <w:spacing w:val="-5"/>
          <w:lang w:eastAsia="en-US"/>
        </w:rPr>
        <w:t xml:space="preserve">õukogu roll on planeerida äriühingu tegevust, korraldada selle juhtimist ja teostada järelevalvet juhatuse tegevuse üle, siis </w:t>
      </w:r>
      <w:r w:rsidR="00933CCE" w:rsidRPr="003331EF">
        <w:rPr>
          <w:iCs/>
          <w:spacing w:val="-5"/>
          <w:lang w:eastAsia="en-US"/>
        </w:rPr>
        <w:t xml:space="preserve">on </w:t>
      </w:r>
      <w:proofErr w:type="spellStart"/>
      <w:r w:rsidR="00933CCE" w:rsidRPr="003331EF">
        <w:rPr>
          <w:iCs/>
          <w:spacing w:val="-5"/>
          <w:lang w:eastAsia="en-US"/>
        </w:rPr>
        <w:t>MiCA</w:t>
      </w:r>
      <w:proofErr w:type="spellEnd"/>
      <w:r w:rsidR="00933CCE" w:rsidRPr="003331EF">
        <w:rPr>
          <w:iCs/>
          <w:spacing w:val="-5"/>
          <w:lang w:eastAsia="en-US"/>
        </w:rPr>
        <w:t xml:space="preserve"> määruse juhtorgani määratlusega hõlmatud ka nõukogu, sh näeb </w:t>
      </w:r>
      <w:proofErr w:type="spellStart"/>
      <w:r w:rsidR="0060638F" w:rsidRPr="003331EF">
        <w:rPr>
          <w:iCs/>
          <w:spacing w:val="-5"/>
          <w:lang w:eastAsia="en-US"/>
        </w:rPr>
        <w:t>MiCA</w:t>
      </w:r>
      <w:proofErr w:type="spellEnd"/>
      <w:r w:rsidR="0060638F" w:rsidRPr="003331EF">
        <w:rPr>
          <w:iCs/>
          <w:spacing w:val="-5"/>
          <w:lang w:eastAsia="en-US"/>
        </w:rPr>
        <w:t xml:space="preserve"> määrus ette nõuded nõukogu liikmetele. Kui nõukogu olemasolu nõuet mitte ette näha, või</w:t>
      </w:r>
      <w:r w:rsidR="00933CCE" w:rsidRPr="003331EF">
        <w:rPr>
          <w:iCs/>
          <w:spacing w:val="-5"/>
          <w:lang w:eastAsia="en-US"/>
        </w:rPr>
        <w:t>b tõstat</w:t>
      </w:r>
      <w:r w:rsidR="0035376A" w:rsidRPr="003331EF">
        <w:rPr>
          <w:iCs/>
          <w:spacing w:val="-5"/>
          <w:lang w:eastAsia="en-US"/>
        </w:rPr>
        <w:t xml:space="preserve">ada </w:t>
      </w:r>
      <w:r w:rsidR="00933CCE" w:rsidRPr="003331EF">
        <w:rPr>
          <w:iCs/>
          <w:spacing w:val="-5"/>
          <w:lang w:eastAsia="en-US"/>
        </w:rPr>
        <w:t xml:space="preserve">küsimus, kas </w:t>
      </w:r>
      <w:proofErr w:type="spellStart"/>
      <w:r w:rsidR="0035376A" w:rsidRPr="003331EF">
        <w:rPr>
          <w:iCs/>
          <w:spacing w:val="-5"/>
          <w:lang w:eastAsia="en-US"/>
        </w:rPr>
        <w:t>MiCA</w:t>
      </w:r>
      <w:proofErr w:type="spellEnd"/>
      <w:r w:rsidR="0035376A" w:rsidRPr="003331EF">
        <w:rPr>
          <w:iCs/>
          <w:spacing w:val="-5"/>
          <w:lang w:eastAsia="en-US"/>
        </w:rPr>
        <w:t xml:space="preserve"> määruses sätestatud </w:t>
      </w:r>
      <w:r w:rsidR="00933CCE" w:rsidRPr="003331EF">
        <w:rPr>
          <w:iCs/>
          <w:spacing w:val="-5"/>
          <w:lang w:eastAsia="en-US"/>
        </w:rPr>
        <w:t>juhtorgani liikme nõuded peaksid kohalduma sellisel juhul</w:t>
      </w:r>
      <w:r w:rsidR="0060638F" w:rsidRPr="003331EF">
        <w:rPr>
          <w:iCs/>
          <w:spacing w:val="-5"/>
          <w:lang w:eastAsia="en-US"/>
        </w:rPr>
        <w:t xml:space="preserve"> osanikele</w:t>
      </w:r>
      <w:r w:rsidR="0035376A" w:rsidRPr="003331EF">
        <w:rPr>
          <w:iCs/>
          <w:spacing w:val="-5"/>
          <w:lang w:eastAsia="en-US"/>
        </w:rPr>
        <w:t xml:space="preserve">. ÄS § </w:t>
      </w:r>
      <w:bookmarkStart w:id="62" w:name="para168lg2"/>
      <w:r w:rsidR="0035376A" w:rsidRPr="003331EF">
        <w:rPr>
          <w:iCs/>
          <w:spacing w:val="-5"/>
          <w:lang w:eastAsia="en-US"/>
        </w:rPr>
        <w:t>168 lõike 2 kohaselt</w:t>
      </w:r>
      <w:bookmarkEnd w:id="62"/>
      <w:r w:rsidR="0035376A" w:rsidRPr="003331EF">
        <w:rPr>
          <w:iCs/>
          <w:spacing w:val="-5"/>
          <w:lang w:eastAsia="en-US"/>
        </w:rPr>
        <w:t xml:space="preserve"> võivad osanikud võtta vastu otsuseid ka juhatuse ja nõukogu pädevusse kuuluvates küsimustes. Sellisel juhul vastutavad osanikud nagu juhatuse või nõukogu liikmed ehk kas sellisel juhul peaks nende </w:t>
      </w:r>
      <w:proofErr w:type="spellStart"/>
      <w:r w:rsidR="0035376A" w:rsidRPr="003331EF">
        <w:rPr>
          <w:iCs/>
          <w:spacing w:val="-5"/>
          <w:lang w:eastAsia="en-US"/>
        </w:rPr>
        <w:t>suhets</w:t>
      </w:r>
      <w:proofErr w:type="spellEnd"/>
      <w:r w:rsidR="0035376A" w:rsidRPr="003331EF">
        <w:rPr>
          <w:iCs/>
          <w:spacing w:val="-5"/>
          <w:lang w:eastAsia="en-US"/>
        </w:rPr>
        <w:t xml:space="preserve"> kohalduma ka samad nõuded, mis </w:t>
      </w:r>
      <w:proofErr w:type="spellStart"/>
      <w:r w:rsidR="0035376A" w:rsidRPr="003331EF">
        <w:rPr>
          <w:iCs/>
          <w:spacing w:val="-5"/>
          <w:lang w:eastAsia="en-US"/>
        </w:rPr>
        <w:t>MiCA</w:t>
      </w:r>
      <w:proofErr w:type="spellEnd"/>
      <w:r w:rsidR="0035376A" w:rsidRPr="003331EF">
        <w:rPr>
          <w:iCs/>
          <w:spacing w:val="-5"/>
          <w:lang w:eastAsia="en-US"/>
        </w:rPr>
        <w:t xml:space="preserve"> määruses juhtorgani liikmetele.</w:t>
      </w:r>
    </w:p>
    <w:p w14:paraId="34563485" w14:textId="77777777" w:rsidR="004D6B04" w:rsidRPr="003331EF" w:rsidRDefault="004D6B04" w:rsidP="003331EF">
      <w:pPr>
        <w:spacing w:before="0"/>
      </w:pPr>
    </w:p>
    <w:p w14:paraId="0A836AE6" w14:textId="2821735D" w:rsidR="00434363" w:rsidRPr="003331EF" w:rsidRDefault="003A3581" w:rsidP="003331EF">
      <w:pPr>
        <w:spacing w:before="0"/>
        <w:rPr>
          <w:iCs/>
          <w:spacing w:val="-5"/>
          <w:lang w:eastAsia="en-US"/>
        </w:rPr>
      </w:pPr>
      <w:r w:rsidRPr="003331EF">
        <w:rPr>
          <w:b/>
          <w:bCs/>
        </w:rPr>
        <w:t>Lõige 3.</w:t>
      </w:r>
      <w:r w:rsidRPr="003331EF">
        <w:t xml:space="preserve"> </w:t>
      </w:r>
      <w:r w:rsidR="00434363" w:rsidRPr="003331EF">
        <w:rPr>
          <w:iCs/>
          <w:spacing w:val="-5"/>
          <w:lang w:eastAsia="en-US"/>
        </w:rPr>
        <w:t xml:space="preserve">Eelnõu ja </w:t>
      </w:r>
      <w:proofErr w:type="spellStart"/>
      <w:r w:rsidR="00434363" w:rsidRPr="003331EF">
        <w:rPr>
          <w:iCs/>
          <w:spacing w:val="-5"/>
          <w:lang w:eastAsia="en-US"/>
        </w:rPr>
        <w:t>MiCA</w:t>
      </w:r>
      <w:proofErr w:type="spellEnd"/>
      <w:r w:rsidR="00434363" w:rsidRPr="003331EF">
        <w:rPr>
          <w:iCs/>
          <w:spacing w:val="-5"/>
          <w:lang w:eastAsia="en-US"/>
        </w:rPr>
        <w:t xml:space="preserve"> määruse üheks eesmärgiks on tagada, et </w:t>
      </w:r>
      <w:proofErr w:type="spellStart"/>
      <w:r w:rsidR="00434363" w:rsidRPr="003331EF">
        <w:rPr>
          <w:iCs/>
          <w:spacing w:val="-5"/>
          <w:lang w:eastAsia="en-US"/>
        </w:rPr>
        <w:t>krüptovaraturu</w:t>
      </w:r>
      <w:proofErr w:type="spellEnd"/>
      <w:r w:rsidR="00434363" w:rsidRPr="003331EF">
        <w:rPr>
          <w:iCs/>
          <w:spacing w:val="-5"/>
          <w:lang w:eastAsia="en-US"/>
        </w:rPr>
        <w:t xml:space="preserve"> osaline on hästi juhitud ja </w:t>
      </w:r>
      <w:proofErr w:type="spellStart"/>
      <w:r w:rsidR="00434363" w:rsidRPr="003331EF">
        <w:rPr>
          <w:iCs/>
          <w:spacing w:val="-5"/>
          <w:lang w:eastAsia="en-US"/>
        </w:rPr>
        <w:t>krüptovara</w:t>
      </w:r>
      <w:proofErr w:type="spellEnd"/>
      <w:r w:rsidR="00434363" w:rsidRPr="003331EF">
        <w:rPr>
          <w:iCs/>
          <w:spacing w:val="-5"/>
          <w:lang w:eastAsia="en-US"/>
        </w:rPr>
        <w:t xml:space="preserve"> kliendid on hästi kaitstud, sh </w:t>
      </w:r>
      <w:proofErr w:type="spellStart"/>
      <w:r w:rsidR="00434363" w:rsidRPr="003331EF">
        <w:rPr>
          <w:iCs/>
          <w:spacing w:val="-5"/>
          <w:lang w:eastAsia="en-US"/>
        </w:rPr>
        <w:t>krüptovaraga</w:t>
      </w:r>
      <w:proofErr w:type="spellEnd"/>
      <w:r w:rsidR="00434363" w:rsidRPr="003331EF">
        <w:rPr>
          <w:iCs/>
          <w:spacing w:val="-5"/>
          <w:lang w:eastAsia="en-US"/>
        </w:rPr>
        <w:t xml:space="preserve"> seotud pettuste eest. Selle saavutamiseks on eelnõus ette nähtud, et </w:t>
      </w:r>
      <w:proofErr w:type="spellStart"/>
      <w:r w:rsidR="00434363" w:rsidRPr="003331EF">
        <w:rPr>
          <w:iCs/>
          <w:spacing w:val="-5"/>
          <w:lang w:eastAsia="en-US"/>
        </w:rPr>
        <w:t>k</w:t>
      </w:r>
      <w:r w:rsidR="004D6B04" w:rsidRPr="003331EF">
        <w:rPr>
          <w:iCs/>
          <w:spacing w:val="-5"/>
          <w:lang w:eastAsia="en-US"/>
        </w:rPr>
        <w:t>rüptovarateenuse</w:t>
      </w:r>
      <w:proofErr w:type="spellEnd"/>
      <w:r w:rsidR="004D6B04" w:rsidRPr="003331EF">
        <w:rPr>
          <w:iCs/>
          <w:spacing w:val="-5"/>
          <w:lang w:eastAsia="en-US"/>
        </w:rPr>
        <w:t xml:space="preserve"> osutaja juhatuses peab olema vähemalt 2 liiget – see on vajalik riskide maandamiseks. Üheliikmelise juhatuse puhul o</w:t>
      </w:r>
      <w:r w:rsidR="00560B6A" w:rsidRPr="003331EF">
        <w:rPr>
          <w:iCs/>
          <w:spacing w:val="-5"/>
          <w:lang w:eastAsia="en-US"/>
        </w:rPr>
        <w:t xml:space="preserve">leks </w:t>
      </w:r>
      <w:r w:rsidR="009761DF" w:rsidRPr="003331EF">
        <w:rPr>
          <w:iCs/>
          <w:spacing w:val="-5"/>
          <w:lang w:eastAsia="en-US"/>
        </w:rPr>
        <w:t>vastasel juhul</w:t>
      </w:r>
      <w:r w:rsidR="004D6B04" w:rsidRPr="003331EF">
        <w:rPr>
          <w:iCs/>
          <w:spacing w:val="-5"/>
          <w:lang w:eastAsia="en-US"/>
        </w:rPr>
        <w:t xml:space="preserve"> kõik tegevusvaldkonnad ühe isiku käes.</w:t>
      </w:r>
      <w:r w:rsidR="004D6B04" w:rsidRPr="003331EF">
        <w:t xml:space="preserve"> </w:t>
      </w:r>
      <w:r w:rsidR="00434363" w:rsidRPr="003331EF">
        <w:rPr>
          <w:iCs/>
          <w:spacing w:val="-5"/>
          <w:lang w:eastAsia="en-US"/>
        </w:rPr>
        <w:t xml:space="preserve">Eesmärgiks on vältida olukordi, kus vaid üks isik saab ainuisikuliselt teha otsuseid, mis võivad kahjustada </w:t>
      </w:r>
      <w:proofErr w:type="spellStart"/>
      <w:r w:rsidR="00434363" w:rsidRPr="003331EF">
        <w:rPr>
          <w:iCs/>
          <w:spacing w:val="-5"/>
          <w:lang w:eastAsia="en-US"/>
        </w:rPr>
        <w:t>krüptovara</w:t>
      </w:r>
      <w:proofErr w:type="spellEnd"/>
      <w:r w:rsidR="00434363" w:rsidRPr="003331EF">
        <w:rPr>
          <w:iCs/>
          <w:spacing w:val="-5"/>
          <w:lang w:eastAsia="en-US"/>
        </w:rPr>
        <w:t xml:space="preserve"> klientide huve. Seega suurendab nelja silma printsiibi rakendamine otsuste ja tegevuste läbipaistvust ning aitab tagada, et otsused on õiglased ja usaldusväärsed.</w:t>
      </w:r>
      <w:r w:rsidR="00434363" w:rsidRPr="003331EF">
        <w:rPr>
          <w:sz w:val="22"/>
          <w:szCs w:val="22"/>
        </w:rPr>
        <w:t xml:space="preserve"> </w:t>
      </w:r>
      <w:r w:rsidR="00434363" w:rsidRPr="003331EF">
        <w:rPr>
          <w:iCs/>
          <w:spacing w:val="-5"/>
          <w:lang w:eastAsia="en-US"/>
        </w:rPr>
        <w:t xml:space="preserve">Lisaks, kui on üks juhatuse liige ja ta lahkub või on pikemat aega kättesaamatu, võib see oluliselt mõjutada ettevõtte juhtimist. </w:t>
      </w:r>
    </w:p>
    <w:p w14:paraId="0CD5447D" w14:textId="77777777" w:rsidR="001444F6" w:rsidRPr="003331EF" w:rsidRDefault="001444F6" w:rsidP="003331EF">
      <w:pPr>
        <w:spacing w:before="0"/>
      </w:pPr>
    </w:p>
    <w:p w14:paraId="56EA9942" w14:textId="4C663B7E" w:rsidR="003A3581" w:rsidRPr="003331EF" w:rsidRDefault="000E4859" w:rsidP="003331EF">
      <w:pPr>
        <w:spacing w:before="0"/>
        <w:rPr>
          <w:iCs/>
          <w:spacing w:val="-5"/>
          <w:lang w:eastAsia="en-US"/>
        </w:rPr>
      </w:pPr>
      <w:r w:rsidRPr="003331EF">
        <w:rPr>
          <w:iCs/>
          <w:spacing w:val="-5"/>
          <w:lang w:eastAsia="en-US"/>
        </w:rPr>
        <w:t>Olugi siinjuures lisaks täpsustatud, et k</w:t>
      </w:r>
      <w:r w:rsidR="001444F6" w:rsidRPr="003331EF">
        <w:rPr>
          <w:iCs/>
          <w:spacing w:val="-5"/>
          <w:lang w:eastAsia="en-US"/>
        </w:rPr>
        <w:t xml:space="preserve">ui </w:t>
      </w:r>
      <w:proofErr w:type="spellStart"/>
      <w:r w:rsidR="009761DF" w:rsidRPr="003331EF">
        <w:rPr>
          <w:iCs/>
          <w:spacing w:val="-5"/>
          <w:lang w:eastAsia="en-US"/>
        </w:rPr>
        <w:t>M</w:t>
      </w:r>
      <w:r w:rsidR="00A03096">
        <w:rPr>
          <w:iCs/>
          <w:spacing w:val="-5"/>
          <w:lang w:eastAsia="en-US"/>
        </w:rPr>
        <w:t>i</w:t>
      </w:r>
      <w:r w:rsidR="009761DF" w:rsidRPr="003331EF">
        <w:rPr>
          <w:iCs/>
          <w:spacing w:val="-5"/>
          <w:lang w:eastAsia="en-US"/>
        </w:rPr>
        <w:t>CA</w:t>
      </w:r>
      <w:proofErr w:type="spellEnd"/>
      <w:r w:rsidR="009761DF" w:rsidRPr="003331EF">
        <w:rPr>
          <w:iCs/>
          <w:spacing w:val="-5"/>
          <w:lang w:eastAsia="en-US"/>
        </w:rPr>
        <w:t xml:space="preserve"> </w:t>
      </w:r>
      <w:r w:rsidR="001444F6" w:rsidRPr="003331EF">
        <w:rPr>
          <w:iCs/>
          <w:spacing w:val="-5"/>
          <w:lang w:eastAsia="en-US"/>
        </w:rPr>
        <w:t>määruses on kasutatud terminit „</w:t>
      </w:r>
      <w:proofErr w:type="spellStart"/>
      <w:r w:rsidR="001444F6" w:rsidRPr="003331EF">
        <w:rPr>
          <w:iCs/>
          <w:spacing w:val="-5"/>
          <w:lang w:eastAsia="en-US"/>
        </w:rPr>
        <w:t>members</w:t>
      </w:r>
      <w:proofErr w:type="spellEnd"/>
      <w:r w:rsidR="001444F6" w:rsidRPr="003331EF">
        <w:rPr>
          <w:iCs/>
          <w:spacing w:val="-5"/>
          <w:lang w:eastAsia="en-US"/>
        </w:rPr>
        <w:t xml:space="preserve"> of </w:t>
      </w:r>
      <w:proofErr w:type="spellStart"/>
      <w:r w:rsidR="001444F6" w:rsidRPr="003331EF">
        <w:rPr>
          <w:iCs/>
          <w:spacing w:val="-5"/>
          <w:lang w:eastAsia="en-US"/>
        </w:rPr>
        <w:t>the</w:t>
      </w:r>
      <w:proofErr w:type="spellEnd"/>
      <w:r w:rsidR="001444F6" w:rsidRPr="003331EF">
        <w:rPr>
          <w:iCs/>
          <w:spacing w:val="-5"/>
          <w:lang w:eastAsia="en-US"/>
        </w:rPr>
        <w:t xml:space="preserve"> </w:t>
      </w:r>
      <w:proofErr w:type="spellStart"/>
      <w:r w:rsidR="001444F6" w:rsidRPr="003331EF">
        <w:rPr>
          <w:iCs/>
          <w:spacing w:val="-5"/>
          <w:lang w:eastAsia="en-US"/>
        </w:rPr>
        <w:t>management</w:t>
      </w:r>
      <w:proofErr w:type="spellEnd"/>
      <w:r w:rsidR="001444F6" w:rsidRPr="003331EF">
        <w:rPr>
          <w:iCs/>
          <w:spacing w:val="-5"/>
          <w:lang w:eastAsia="en-US"/>
        </w:rPr>
        <w:t xml:space="preserve"> </w:t>
      </w:r>
      <w:proofErr w:type="spellStart"/>
      <w:r w:rsidR="001444F6" w:rsidRPr="003331EF">
        <w:rPr>
          <w:iCs/>
          <w:spacing w:val="-5"/>
          <w:lang w:eastAsia="en-US"/>
        </w:rPr>
        <w:t>body</w:t>
      </w:r>
      <w:proofErr w:type="spellEnd"/>
      <w:r w:rsidR="001444F6" w:rsidRPr="003331EF">
        <w:rPr>
          <w:iCs/>
          <w:spacing w:val="-5"/>
          <w:lang w:eastAsia="en-US"/>
        </w:rPr>
        <w:t>/juhtorgani liikmed“, siis on mõeldud nii juhatuse kui ka nõukogu liikmeid</w:t>
      </w:r>
      <w:r w:rsidRPr="003331EF">
        <w:rPr>
          <w:iCs/>
          <w:spacing w:val="-5"/>
          <w:lang w:eastAsia="en-US"/>
        </w:rPr>
        <w:t xml:space="preserve"> (eelnõus juhtorgani liikmed)</w:t>
      </w:r>
      <w:r w:rsidR="001444F6" w:rsidRPr="003331EF">
        <w:rPr>
          <w:iCs/>
          <w:spacing w:val="-5"/>
          <w:lang w:eastAsia="en-US"/>
        </w:rPr>
        <w:t>. Kui on viide „</w:t>
      </w:r>
      <w:proofErr w:type="spellStart"/>
      <w:r w:rsidR="001444F6" w:rsidRPr="003331EF">
        <w:rPr>
          <w:iCs/>
          <w:spacing w:val="-5"/>
          <w:lang w:eastAsia="en-US"/>
        </w:rPr>
        <w:t>directors</w:t>
      </w:r>
      <w:proofErr w:type="spellEnd"/>
      <w:r w:rsidR="001444F6" w:rsidRPr="003331EF">
        <w:rPr>
          <w:iCs/>
          <w:spacing w:val="-5"/>
          <w:lang w:eastAsia="en-US"/>
        </w:rPr>
        <w:t>/juhtidele“, siis on mõeldud juhatuse liikmeid.  </w:t>
      </w:r>
    </w:p>
    <w:p w14:paraId="069EC015" w14:textId="77777777" w:rsidR="003A3581" w:rsidRPr="003331EF" w:rsidRDefault="003A3581" w:rsidP="003331EF">
      <w:pPr>
        <w:spacing w:before="0"/>
      </w:pPr>
    </w:p>
    <w:p w14:paraId="217DA583" w14:textId="5E5915D8" w:rsidR="001A4507" w:rsidRPr="003331EF" w:rsidRDefault="001A4507" w:rsidP="003331EF">
      <w:pPr>
        <w:spacing w:before="0"/>
      </w:pPr>
      <w:r w:rsidRPr="003331EF">
        <w:rPr>
          <w:b/>
          <w:bCs/>
        </w:rPr>
        <w:t xml:space="preserve">Lõikes </w:t>
      </w:r>
      <w:r w:rsidR="00A32108" w:rsidRPr="003331EF">
        <w:rPr>
          <w:b/>
          <w:bCs/>
        </w:rPr>
        <w:t>4</w:t>
      </w:r>
      <w:r w:rsidR="005C35D2" w:rsidRPr="003331EF">
        <w:t xml:space="preserve"> </w:t>
      </w:r>
      <w:r w:rsidRPr="003331EF">
        <w:rPr>
          <w:iCs/>
          <w:spacing w:val="-5"/>
          <w:lang w:eastAsia="en-US"/>
        </w:rPr>
        <w:t xml:space="preserve">on </w:t>
      </w:r>
      <w:r w:rsidR="00881930" w:rsidRPr="003331EF">
        <w:rPr>
          <w:iCs/>
          <w:spacing w:val="-5"/>
          <w:lang w:eastAsia="en-US"/>
        </w:rPr>
        <w:t xml:space="preserve">selguse huvides ja </w:t>
      </w:r>
      <w:proofErr w:type="spellStart"/>
      <w:r w:rsidR="00881930" w:rsidRPr="003331EF">
        <w:rPr>
          <w:iCs/>
          <w:spacing w:val="-5"/>
          <w:lang w:eastAsia="en-US"/>
        </w:rPr>
        <w:t>M</w:t>
      </w:r>
      <w:r w:rsidR="00A03096">
        <w:rPr>
          <w:iCs/>
          <w:spacing w:val="-5"/>
          <w:lang w:eastAsia="en-US"/>
        </w:rPr>
        <w:t>i</w:t>
      </w:r>
      <w:r w:rsidR="00881930" w:rsidRPr="003331EF">
        <w:rPr>
          <w:iCs/>
          <w:spacing w:val="-5"/>
          <w:lang w:eastAsia="en-US"/>
        </w:rPr>
        <w:t>CA</w:t>
      </w:r>
      <w:proofErr w:type="spellEnd"/>
      <w:r w:rsidR="00881930" w:rsidRPr="003331EF">
        <w:rPr>
          <w:iCs/>
          <w:spacing w:val="-5"/>
          <w:lang w:eastAsia="en-US"/>
        </w:rPr>
        <w:t xml:space="preserve"> määruse nõuetekohaseks rakendamiseks </w:t>
      </w:r>
      <w:r w:rsidRPr="003331EF">
        <w:rPr>
          <w:iCs/>
          <w:spacing w:val="-5"/>
          <w:lang w:eastAsia="en-US"/>
        </w:rPr>
        <w:t xml:space="preserve">välja toodud, </w:t>
      </w:r>
      <w:r w:rsidR="004D6B04" w:rsidRPr="003331EF">
        <w:rPr>
          <w:iCs/>
          <w:spacing w:val="-5"/>
          <w:lang w:eastAsia="en-US"/>
        </w:rPr>
        <w:t xml:space="preserve">et </w:t>
      </w:r>
      <w:proofErr w:type="spellStart"/>
      <w:r w:rsidR="004D6B04" w:rsidRPr="003331EF">
        <w:rPr>
          <w:iCs/>
          <w:spacing w:val="-5"/>
          <w:lang w:eastAsia="en-US"/>
        </w:rPr>
        <w:t>k</w:t>
      </w:r>
      <w:r w:rsidRPr="003331EF">
        <w:rPr>
          <w:iCs/>
          <w:spacing w:val="-5"/>
          <w:lang w:eastAsia="en-US"/>
        </w:rPr>
        <w:t>rüptovaraturu</w:t>
      </w:r>
      <w:proofErr w:type="spellEnd"/>
      <w:r w:rsidRPr="003331EF">
        <w:rPr>
          <w:iCs/>
          <w:spacing w:val="-5"/>
          <w:lang w:eastAsia="en-US"/>
        </w:rPr>
        <w:t xml:space="preserve"> osali</w:t>
      </w:r>
      <w:r w:rsidR="00560B6A" w:rsidRPr="003331EF">
        <w:rPr>
          <w:iCs/>
          <w:spacing w:val="-5"/>
          <w:lang w:eastAsia="en-US"/>
        </w:rPr>
        <w:t xml:space="preserve">ne on kohustatud järgima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määruses sätestatud nõuded</w:t>
      </w:r>
      <w:r w:rsidR="004D6B04" w:rsidRPr="003331EF">
        <w:rPr>
          <w:iCs/>
          <w:spacing w:val="-5"/>
          <w:lang w:eastAsia="en-US"/>
        </w:rPr>
        <w:t>.</w:t>
      </w:r>
      <w:r w:rsidRPr="003331EF">
        <w:t xml:space="preserve"> </w:t>
      </w:r>
    </w:p>
    <w:p w14:paraId="6C434FA7" w14:textId="77777777" w:rsidR="001A4507" w:rsidRPr="003331EF" w:rsidRDefault="001A4507" w:rsidP="003331EF">
      <w:pPr>
        <w:spacing w:before="0"/>
      </w:pPr>
    </w:p>
    <w:p w14:paraId="477480EA" w14:textId="31FE074A" w:rsidR="00560B6A" w:rsidRPr="003331EF" w:rsidRDefault="00560B6A" w:rsidP="003331EF">
      <w:pPr>
        <w:spacing w:before="0"/>
        <w:rPr>
          <w:iCs/>
          <w:spacing w:val="-5"/>
          <w:lang w:eastAsia="en-US"/>
        </w:rPr>
      </w:pPr>
      <w:proofErr w:type="spellStart"/>
      <w:r w:rsidRPr="003331EF">
        <w:rPr>
          <w:iCs/>
          <w:spacing w:val="-5"/>
          <w:lang w:eastAsia="en-US"/>
        </w:rPr>
        <w:t>Krüptovarateenuse</w:t>
      </w:r>
      <w:proofErr w:type="spellEnd"/>
      <w:r w:rsidRPr="003331EF">
        <w:rPr>
          <w:iCs/>
          <w:spacing w:val="-5"/>
          <w:lang w:eastAsia="en-US"/>
        </w:rPr>
        <w:t xml:space="preserve"> osutaja</w:t>
      </w:r>
      <w:r w:rsidR="000E4859" w:rsidRPr="003331EF">
        <w:rPr>
          <w:iCs/>
          <w:spacing w:val="-5"/>
          <w:lang w:eastAsia="en-US"/>
        </w:rPr>
        <w:t>le kohalduvad</w:t>
      </w:r>
      <w:r w:rsidRPr="003331EF">
        <w:rPr>
          <w:iCs/>
          <w:spacing w:val="-5"/>
          <w:lang w:eastAsia="en-US"/>
        </w:rPr>
        <w:t xml:space="preserve"> nõuded on reguleeritud näiteks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 2. jaotises, artikli 22 lõikes 3, artiklis 37, artikli 40 lõikes 2, artikli 50 lõikes 2 ning 5. ja 6. jaotises. Samas </w:t>
      </w:r>
      <w:proofErr w:type="spellStart"/>
      <w:r w:rsidRPr="003331EF">
        <w:rPr>
          <w:iCs/>
          <w:spacing w:val="-5"/>
          <w:lang w:eastAsia="en-US"/>
        </w:rPr>
        <w:t>krüptovarateenust</w:t>
      </w:r>
      <w:proofErr w:type="spellEnd"/>
      <w:r w:rsidRPr="003331EF">
        <w:rPr>
          <w:iCs/>
          <w:spacing w:val="-5"/>
          <w:lang w:eastAsia="en-US"/>
        </w:rPr>
        <w:t xml:space="preserve"> osutava krediidiasutuse, e-raha asutuse, investeerimisühingu, fondivalitseja, väärtpaberite </w:t>
      </w:r>
      <w:proofErr w:type="spellStart"/>
      <w:r w:rsidRPr="003331EF">
        <w:rPr>
          <w:iCs/>
          <w:spacing w:val="-5"/>
          <w:lang w:eastAsia="en-US"/>
        </w:rPr>
        <w:t>keskdepositooriumi</w:t>
      </w:r>
      <w:proofErr w:type="spellEnd"/>
      <w:r w:rsidRPr="003331EF">
        <w:rPr>
          <w:iCs/>
          <w:spacing w:val="-5"/>
          <w:lang w:eastAsia="en-US"/>
        </w:rPr>
        <w:t xml:space="preserve"> ja reguleeritud turu korraldaja suhtes ei kohaldata Euroopa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 artikleid 62–64, 67, 83 ja 84. </w:t>
      </w:r>
    </w:p>
    <w:p w14:paraId="1180015C" w14:textId="77777777" w:rsidR="00560B6A" w:rsidRPr="003331EF" w:rsidRDefault="00560B6A" w:rsidP="003331EF">
      <w:pPr>
        <w:spacing w:before="0"/>
      </w:pPr>
    </w:p>
    <w:p w14:paraId="346BBBB4" w14:textId="013F463E" w:rsidR="001A4507" w:rsidRPr="003331EF" w:rsidRDefault="00560B6A" w:rsidP="003331EF">
      <w:pPr>
        <w:spacing w:before="0"/>
        <w:rPr>
          <w:iCs/>
          <w:spacing w:val="-5"/>
          <w:lang w:eastAsia="en-US"/>
        </w:rPr>
      </w:pPr>
      <w:r w:rsidRPr="003331EF">
        <w:rPr>
          <w:iCs/>
          <w:spacing w:val="-5"/>
          <w:lang w:eastAsia="en-US"/>
        </w:rPr>
        <w:lastRenderedPageBreak/>
        <w:t xml:space="preserve">Varapõhise </w:t>
      </w:r>
      <w:proofErr w:type="spellStart"/>
      <w:r w:rsidRPr="003331EF">
        <w:rPr>
          <w:iCs/>
          <w:spacing w:val="-5"/>
          <w:lang w:eastAsia="en-US"/>
        </w:rPr>
        <w:t>tokeni</w:t>
      </w:r>
      <w:proofErr w:type="spellEnd"/>
      <w:r w:rsidRPr="003331EF">
        <w:rPr>
          <w:iCs/>
          <w:spacing w:val="-5"/>
          <w:lang w:eastAsia="en-US"/>
        </w:rPr>
        <w:t xml:space="preserve"> emitent lähtub oma tegevuses näiteks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 3. ja 6. jaotises sätestatud nõutest. </w:t>
      </w:r>
      <w:r w:rsidR="005B0524" w:rsidRPr="003331EF">
        <w:rPr>
          <w:iCs/>
          <w:spacing w:val="-5"/>
          <w:lang w:eastAsia="en-US"/>
        </w:rPr>
        <w:t>Samas, e</w:t>
      </w:r>
      <w:r w:rsidRPr="003331EF">
        <w:rPr>
          <w:iCs/>
          <w:spacing w:val="-5"/>
          <w:lang w:eastAsia="en-US"/>
        </w:rPr>
        <w:t xml:space="preserve">mitendi kirjalikul nõusolekul võib varapõhist </w:t>
      </w:r>
      <w:proofErr w:type="spellStart"/>
      <w:r w:rsidRPr="003331EF">
        <w:rPr>
          <w:iCs/>
          <w:spacing w:val="-5"/>
          <w:lang w:eastAsia="en-US"/>
        </w:rPr>
        <w:t>tokenit</w:t>
      </w:r>
      <w:proofErr w:type="spellEnd"/>
      <w:r w:rsidRPr="003331EF">
        <w:rPr>
          <w:iCs/>
          <w:spacing w:val="-5"/>
          <w:lang w:eastAsia="en-US"/>
        </w:rPr>
        <w:t xml:space="preserve"> pakkuda või selle kauplemisele võtmist taotleda ka muu isik ning tema peaks järgima artiklites </w:t>
      </w:r>
      <w:bookmarkStart w:id="63" w:name="_Hlk131501186"/>
      <w:r w:rsidRPr="003331EF">
        <w:rPr>
          <w:iCs/>
          <w:spacing w:val="-5"/>
          <w:lang w:eastAsia="en-US"/>
        </w:rPr>
        <w:t>27, 29 ja 40 sätestatud nõudeid</w:t>
      </w:r>
      <w:bookmarkEnd w:id="63"/>
      <w:r w:rsidRPr="003331EF">
        <w:rPr>
          <w:iCs/>
          <w:spacing w:val="-5"/>
          <w:lang w:eastAsia="en-US"/>
        </w:rPr>
        <w:t xml:space="preserve">, </w:t>
      </w:r>
      <w:r w:rsidR="001A4507" w:rsidRPr="003331EF">
        <w:rPr>
          <w:iCs/>
          <w:spacing w:val="-5"/>
          <w:lang w:eastAsia="en-US"/>
        </w:rPr>
        <w:t xml:space="preserve">mis reguleerivad kohustust tegutseda ausalt, õiglaselt ja professionaalselt varapõhiste </w:t>
      </w:r>
      <w:proofErr w:type="spellStart"/>
      <w:r w:rsidR="001A4507" w:rsidRPr="003331EF">
        <w:rPr>
          <w:iCs/>
          <w:spacing w:val="-5"/>
          <w:lang w:eastAsia="en-US"/>
        </w:rPr>
        <w:t>tokenite</w:t>
      </w:r>
      <w:proofErr w:type="spellEnd"/>
      <w:r w:rsidR="001A4507" w:rsidRPr="003331EF">
        <w:rPr>
          <w:iCs/>
          <w:spacing w:val="-5"/>
          <w:lang w:eastAsia="en-US"/>
        </w:rPr>
        <w:t xml:space="preserve"> omanike parimates huvides. Samuti peab ta järgima, et reklaamteated vastaksid määruses ettenähtud nõuetele ning seda, et seoses varapõhise </w:t>
      </w:r>
      <w:proofErr w:type="spellStart"/>
      <w:r w:rsidR="001A4507" w:rsidRPr="003331EF">
        <w:rPr>
          <w:iCs/>
          <w:spacing w:val="-5"/>
          <w:lang w:eastAsia="en-US"/>
        </w:rPr>
        <w:t>tokeniga</w:t>
      </w:r>
      <w:proofErr w:type="spellEnd"/>
      <w:r w:rsidR="001A4507" w:rsidRPr="003331EF">
        <w:rPr>
          <w:iCs/>
          <w:spacing w:val="-5"/>
          <w:lang w:eastAsia="en-US"/>
        </w:rPr>
        <w:t xml:space="preserve"> ei maksta intressi.</w:t>
      </w:r>
    </w:p>
    <w:p w14:paraId="240CBC76" w14:textId="77777777" w:rsidR="001A4507" w:rsidRPr="003331EF" w:rsidRDefault="001A4507" w:rsidP="003331EF">
      <w:pPr>
        <w:spacing w:before="0"/>
        <w:rPr>
          <w:iCs/>
          <w:spacing w:val="-5"/>
          <w:lang w:eastAsia="en-US"/>
        </w:rPr>
      </w:pPr>
    </w:p>
    <w:p w14:paraId="17A6CD11" w14:textId="3ADA61ED" w:rsidR="001A4507" w:rsidRPr="003331EF" w:rsidRDefault="005B0524" w:rsidP="003331EF">
      <w:pPr>
        <w:spacing w:before="0"/>
        <w:ind w:right="-64"/>
        <w:rPr>
          <w:iCs/>
          <w:spacing w:val="-5"/>
          <w:lang w:eastAsia="en-US"/>
        </w:rPr>
      </w:pPr>
      <w:r w:rsidRPr="003331EF">
        <w:rPr>
          <w:iCs/>
          <w:spacing w:val="-5"/>
          <w:lang w:eastAsia="en-US"/>
        </w:rPr>
        <w:t>Kui</w:t>
      </w:r>
      <w:r w:rsidR="001A4507" w:rsidRPr="003331EF">
        <w:rPr>
          <w:iCs/>
          <w:spacing w:val="-5"/>
          <w:lang w:eastAsia="en-US"/>
        </w:rPr>
        <w:t xml:space="preserve"> krediidiasutus emiteerib </w:t>
      </w:r>
      <w:r w:rsidRPr="003331EF">
        <w:rPr>
          <w:iCs/>
          <w:spacing w:val="-5"/>
          <w:lang w:eastAsia="en-US"/>
        </w:rPr>
        <w:t xml:space="preserve">varapõhist </w:t>
      </w:r>
      <w:proofErr w:type="spellStart"/>
      <w:r w:rsidRPr="003331EF">
        <w:rPr>
          <w:iCs/>
          <w:spacing w:val="-5"/>
          <w:lang w:eastAsia="en-US"/>
        </w:rPr>
        <w:t>tokeni</w:t>
      </w:r>
      <w:proofErr w:type="spellEnd"/>
      <w:r w:rsidR="00881930" w:rsidRPr="003331EF">
        <w:rPr>
          <w:iCs/>
          <w:spacing w:val="-5"/>
          <w:lang w:eastAsia="en-US"/>
        </w:rPr>
        <w:t xml:space="preserve">, </w:t>
      </w:r>
      <w:r w:rsidR="001A4507" w:rsidRPr="003331EF">
        <w:rPr>
          <w:iCs/>
          <w:spacing w:val="-5"/>
          <w:lang w:eastAsia="en-US"/>
        </w:rPr>
        <w:t xml:space="preserve">ei pea </w:t>
      </w:r>
      <w:r w:rsidR="00881930" w:rsidRPr="003331EF">
        <w:rPr>
          <w:iCs/>
          <w:spacing w:val="-5"/>
          <w:lang w:eastAsia="en-US"/>
        </w:rPr>
        <w:t xml:space="preserve">ta </w:t>
      </w:r>
      <w:r w:rsidR="001A4507" w:rsidRPr="003331EF">
        <w:rPr>
          <w:iCs/>
          <w:spacing w:val="-5"/>
          <w:lang w:eastAsia="en-US"/>
        </w:rPr>
        <w:t xml:space="preserve">eraldi tegevusluba taotlema, </w:t>
      </w:r>
      <w:r w:rsidR="00881930" w:rsidRPr="003331EF">
        <w:rPr>
          <w:iCs/>
          <w:spacing w:val="-5"/>
          <w:lang w:eastAsia="en-US"/>
        </w:rPr>
        <w:t>mistõttu</w:t>
      </w:r>
      <w:r w:rsidR="001A4507" w:rsidRPr="003331EF">
        <w:rPr>
          <w:iCs/>
          <w:spacing w:val="-5"/>
          <w:lang w:eastAsia="en-US"/>
        </w:rPr>
        <w:t xml:space="preserve"> ei kohaldata tema suhtes ka tegevusloa taotlemise ja selle menetlusega ning tegevusloa kehtetuks tunnistamisega seotud sätteid (art 16, 18, 20, 21 ja 24). Lisaks ei kohaldata omavahendite nõudeid (art</w:t>
      </w:r>
      <w:r w:rsidR="003A07D7">
        <w:rPr>
          <w:iCs/>
          <w:spacing w:val="-5"/>
          <w:lang w:eastAsia="en-US"/>
        </w:rPr>
        <w:t> </w:t>
      </w:r>
      <w:r w:rsidR="001A4507" w:rsidRPr="003331EF">
        <w:rPr>
          <w:iCs/>
          <w:spacing w:val="-5"/>
          <w:lang w:eastAsia="en-US"/>
        </w:rPr>
        <w:t xml:space="preserve">35) ja sätteid varapõhise </w:t>
      </w:r>
      <w:proofErr w:type="spellStart"/>
      <w:r w:rsidR="001A4507" w:rsidRPr="003331EF">
        <w:rPr>
          <w:iCs/>
          <w:spacing w:val="-5"/>
          <w:lang w:eastAsia="en-US"/>
        </w:rPr>
        <w:t>tokeni</w:t>
      </w:r>
      <w:proofErr w:type="spellEnd"/>
      <w:r w:rsidR="001A4507" w:rsidRPr="003331EF">
        <w:rPr>
          <w:iCs/>
          <w:spacing w:val="-5"/>
          <w:lang w:eastAsia="en-US"/>
        </w:rPr>
        <w:t xml:space="preserve"> emitendi omandamise kohta (art 41 ja 42). Nimelt on need hõlmatud Euroopa Parlamendi ja nõukogu direktiivi 2013/36/EL ja määrusega (EL) nr 575/2013.</w:t>
      </w:r>
    </w:p>
    <w:p w14:paraId="7515C29D" w14:textId="77777777" w:rsidR="001A4507" w:rsidRPr="003331EF" w:rsidRDefault="001A4507" w:rsidP="003331EF">
      <w:pPr>
        <w:spacing w:before="0"/>
        <w:ind w:right="-64"/>
        <w:rPr>
          <w:iCs/>
          <w:spacing w:val="-5"/>
          <w:lang w:eastAsia="en-US"/>
        </w:rPr>
      </w:pPr>
    </w:p>
    <w:p w14:paraId="5429D9B3" w14:textId="0C8DB2A8" w:rsidR="001A4507" w:rsidRPr="003331EF" w:rsidRDefault="001A4507" w:rsidP="003331EF">
      <w:pPr>
        <w:spacing w:before="0"/>
        <w:rPr>
          <w:iCs/>
          <w:spacing w:val="-5"/>
          <w:lang w:eastAsia="en-US"/>
        </w:rPr>
      </w:pPr>
      <w:r w:rsidRPr="003331EF">
        <w:rPr>
          <w:iCs/>
          <w:spacing w:val="-5"/>
          <w:lang w:eastAsia="en-US"/>
        </w:rPr>
        <w:t xml:space="preserve"> E-raha </w:t>
      </w:r>
      <w:proofErr w:type="spellStart"/>
      <w:r w:rsidRPr="003331EF">
        <w:rPr>
          <w:iCs/>
          <w:spacing w:val="-5"/>
          <w:lang w:eastAsia="en-US"/>
        </w:rPr>
        <w:t>tokeni</w:t>
      </w:r>
      <w:proofErr w:type="spellEnd"/>
      <w:r w:rsidRPr="003331EF">
        <w:rPr>
          <w:iCs/>
          <w:spacing w:val="-5"/>
          <w:lang w:eastAsia="en-US"/>
        </w:rPr>
        <w:t xml:space="preserve"> emitendiks saab olla üksnes kas Euroopa Parlamendi ja nõukogu direktiivi 2013/36/EL alusel tegevusloa saanud krediidiasutus või direktiivi 2009/110/EÜ alusel tegevusloa saanud e-raha asutus ning </w:t>
      </w:r>
      <w:r w:rsidR="00881930" w:rsidRPr="003331EF">
        <w:rPr>
          <w:iCs/>
          <w:spacing w:val="-5"/>
          <w:lang w:eastAsia="en-US"/>
        </w:rPr>
        <w:t>nemad</w:t>
      </w:r>
      <w:r w:rsidR="005B0524" w:rsidRPr="003331EF">
        <w:rPr>
          <w:iCs/>
          <w:spacing w:val="-5"/>
          <w:lang w:eastAsia="en-US"/>
        </w:rPr>
        <w:t xml:space="preserve"> on kohustatud järgima 4. ja 6. jaotises sätestatud nõudeid. E-raha </w:t>
      </w:r>
      <w:proofErr w:type="spellStart"/>
      <w:r w:rsidR="005B0524" w:rsidRPr="003331EF">
        <w:rPr>
          <w:iCs/>
          <w:spacing w:val="-5"/>
          <w:lang w:eastAsia="en-US"/>
        </w:rPr>
        <w:t>tokeni</w:t>
      </w:r>
      <w:proofErr w:type="spellEnd"/>
      <w:r w:rsidR="005B0524" w:rsidRPr="003331EF">
        <w:rPr>
          <w:iCs/>
          <w:spacing w:val="-5"/>
          <w:lang w:eastAsia="en-US"/>
        </w:rPr>
        <w:t xml:space="preserve"> emitendi suhtes kohaldatakse makseasutuste ja e-raha asutuste seaduses e-raha väljastamise ja e-raha asutuse suhtes sätestatut</w:t>
      </w:r>
      <w:r w:rsidR="00881930" w:rsidRPr="003331EF">
        <w:rPr>
          <w:iCs/>
          <w:spacing w:val="-5"/>
          <w:lang w:eastAsia="en-US"/>
        </w:rPr>
        <w:t xml:space="preserve">. </w:t>
      </w:r>
      <w:r w:rsidRPr="003331EF">
        <w:rPr>
          <w:iCs/>
          <w:spacing w:val="-5"/>
          <w:lang w:eastAsia="en-US"/>
        </w:rPr>
        <w:t xml:space="preserve">Lisaks võib emitendi nõusolekul e-raha </w:t>
      </w:r>
      <w:proofErr w:type="spellStart"/>
      <w:r w:rsidRPr="003331EF">
        <w:rPr>
          <w:iCs/>
          <w:spacing w:val="-5"/>
          <w:lang w:eastAsia="en-US"/>
        </w:rPr>
        <w:t>tokenit</w:t>
      </w:r>
      <w:proofErr w:type="spellEnd"/>
      <w:r w:rsidRPr="003331EF">
        <w:rPr>
          <w:iCs/>
          <w:spacing w:val="-5"/>
          <w:lang w:eastAsia="en-US"/>
        </w:rPr>
        <w:t xml:space="preserve"> pakkuda või kauplemisele võtmist taotleda ka muu isik ning sellisel juhul tuleb järgida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artikleid 50 (intressi maksmise keeld) ja 53 (reklaamteated)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 artikli 48 lõigete 4 ja 5 kohaselt ei kohaselt ei saa seda teha muu isik, kui tegemist on erandi alusel tegutseva e-raha asutusega (MERAS § 12) või MERAS § 6 lõikes 3 sätestatud juhuga. </w:t>
      </w:r>
    </w:p>
    <w:p w14:paraId="3C256C77" w14:textId="77777777" w:rsidR="001A4507" w:rsidRPr="003331EF" w:rsidRDefault="001A4507" w:rsidP="003331EF">
      <w:pPr>
        <w:shd w:val="clear" w:color="auto" w:fill="FFFFFF"/>
        <w:spacing w:before="0"/>
      </w:pPr>
    </w:p>
    <w:p w14:paraId="67C737B2" w14:textId="74735F96" w:rsidR="005B0524" w:rsidRPr="003331EF" w:rsidRDefault="005B0524" w:rsidP="003331EF">
      <w:pPr>
        <w:shd w:val="clear" w:color="auto" w:fill="FFFFFF"/>
        <w:spacing w:before="0"/>
      </w:pPr>
      <w:r w:rsidRPr="003331EF">
        <w:rPr>
          <w:b/>
          <w:bCs/>
        </w:rPr>
        <w:t xml:space="preserve">Lõige 5. </w:t>
      </w:r>
      <w:r w:rsidR="001230AA" w:rsidRPr="003331EF">
        <w:rPr>
          <w:iCs/>
          <w:spacing w:val="-5"/>
          <w:lang w:eastAsia="en-US"/>
        </w:rPr>
        <w:t xml:space="preserve">Kuna </w:t>
      </w:r>
      <w:proofErr w:type="spellStart"/>
      <w:r w:rsidR="001230AA" w:rsidRPr="003331EF">
        <w:rPr>
          <w:iCs/>
          <w:spacing w:val="-5"/>
          <w:lang w:eastAsia="en-US"/>
        </w:rPr>
        <w:t>krüptovarateenuse</w:t>
      </w:r>
      <w:proofErr w:type="spellEnd"/>
      <w:r w:rsidR="001230AA" w:rsidRPr="003331EF">
        <w:rPr>
          <w:iCs/>
          <w:spacing w:val="-5"/>
          <w:lang w:eastAsia="en-US"/>
        </w:rPr>
        <w:t xml:space="preserve"> osutajad kuuluvad TFR määruse kohaldamisalasse, on selguse huvides seaduses viide ka selle määruse </w:t>
      </w:r>
      <w:r w:rsidR="00881930" w:rsidRPr="003331EF">
        <w:rPr>
          <w:iCs/>
          <w:spacing w:val="-5"/>
          <w:lang w:eastAsia="en-US"/>
        </w:rPr>
        <w:t>rakendamisele</w:t>
      </w:r>
      <w:r w:rsidR="001230AA" w:rsidRPr="003331EF">
        <w:rPr>
          <w:iCs/>
          <w:spacing w:val="-5"/>
          <w:lang w:eastAsia="en-US"/>
        </w:rPr>
        <w:t xml:space="preserve">. </w:t>
      </w:r>
      <w:r w:rsidR="00881930" w:rsidRPr="003331EF">
        <w:rPr>
          <w:iCs/>
          <w:spacing w:val="-5"/>
          <w:lang w:eastAsia="en-US"/>
        </w:rPr>
        <w:t xml:space="preserve">Vastutuse sätted nähakse siiski ette </w:t>
      </w:r>
      <w:proofErr w:type="spellStart"/>
      <w:r w:rsidR="00881930" w:rsidRPr="003331EF">
        <w:rPr>
          <w:iCs/>
          <w:spacing w:val="-5"/>
          <w:lang w:eastAsia="en-US"/>
        </w:rPr>
        <w:t>RahPTS</w:t>
      </w:r>
      <w:r w:rsidR="003A07D7">
        <w:rPr>
          <w:iCs/>
          <w:spacing w:val="-5"/>
          <w:lang w:eastAsia="en-US"/>
        </w:rPr>
        <w:noBreakHyphen/>
      </w:r>
      <w:r w:rsidR="00881930" w:rsidRPr="003331EF">
        <w:rPr>
          <w:iCs/>
          <w:spacing w:val="-5"/>
          <w:lang w:eastAsia="en-US"/>
        </w:rPr>
        <w:t>is</w:t>
      </w:r>
      <w:proofErr w:type="spellEnd"/>
      <w:r w:rsidR="00881930" w:rsidRPr="003331EF">
        <w:rPr>
          <w:iCs/>
          <w:spacing w:val="-5"/>
          <w:lang w:eastAsia="en-US"/>
        </w:rPr>
        <w:t>.</w:t>
      </w:r>
      <w:r w:rsidR="00881930" w:rsidRPr="003331EF">
        <w:t xml:space="preserve"> </w:t>
      </w:r>
    </w:p>
    <w:p w14:paraId="3F3C9AB1" w14:textId="77777777" w:rsidR="00A32108" w:rsidRPr="003331EF" w:rsidRDefault="00A32108" w:rsidP="003331EF">
      <w:pPr>
        <w:shd w:val="clear" w:color="auto" w:fill="FFFFFF"/>
        <w:spacing w:before="0"/>
      </w:pPr>
    </w:p>
    <w:p w14:paraId="4B1289BC" w14:textId="3976EFFA" w:rsidR="00A32108" w:rsidRPr="003331EF" w:rsidRDefault="00A32108" w:rsidP="003331EF">
      <w:pPr>
        <w:shd w:val="clear" w:color="auto" w:fill="FFFFFF"/>
        <w:spacing w:before="0"/>
      </w:pPr>
      <w:r w:rsidRPr="003331EF">
        <w:rPr>
          <w:b/>
          <w:bCs/>
          <w:iCs/>
          <w:spacing w:val="-5"/>
          <w:lang w:eastAsia="en-US"/>
        </w:rPr>
        <w:t>Lõige 6</w:t>
      </w:r>
      <w:r w:rsidRPr="003331EF">
        <w:rPr>
          <w:iCs/>
          <w:spacing w:val="-5"/>
          <w:lang w:eastAsia="en-US"/>
        </w:rPr>
        <w:t xml:space="preserve">. </w:t>
      </w:r>
      <w:proofErr w:type="spellStart"/>
      <w:r w:rsidRPr="003331EF">
        <w:t>MiCA</w:t>
      </w:r>
      <w:proofErr w:type="spellEnd"/>
      <w:r w:rsidRPr="003331EF">
        <w:t xml:space="preserve"> määruse artiklid 33 ja 69 reguleerivad pädeva asutuse teavitamist enne, kui </w:t>
      </w:r>
      <w:proofErr w:type="spellStart"/>
      <w:r w:rsidRPr="003331EF">
        <w:t>juhtioragnis</w:t>
      </w:r>
      <w:proofErr w:type="spellEnd"/>
      <w:r w:rsidRPr="003331EF">
        <w:t xml:space="preserve"> toimuvad muutused. Selleks, et tagada, et uus liige vastaks ka juhtorgani liikme</w:t>
      </w:r>
      <w:r w:rsidR="00933CCE" w:rsidRPr="003331EF">
        <w:t xml:space="preserve"> </w:t>
      </w:r>
      <w:proofErr w:type="spellStart"/>
      <w:r w:rsidR="00933CCE" w:rsidRPr="003331EF">
        <w:t>sehtes</w:t>
      </w:r>
      <w:proofErr w:type="spellEnd"/>
      <w:r w:rsidRPr="003331EF">
        <w:t xml:space="preserve"> sätestatud nõuetele, tuleks Finantsinspektsiooni teavitada vähemalt 30 päeva enne uue juhtorgani liikme tegevuse alustamist. Samas, kui see pole mõjuval põhjusel võimalik (nt liikme terviserike või muu erakorraline sündmus, mis eeldab juhatuse liikme kiiret väljavahetamist), siis võib see tähtaeg olla ka lühem.</w:t>
      </w:r>
    </w:p>
    <w:p w14:paraId="57EBC0C3" w14:textId="77777777" w:rsidR="005B0524" w:rsidRPr="003331EF" w:rsidRDefault="005B0524" w:rsidP="003331EF">
      <w:pPr>
        <w:shd w:val="clear" w:color="auto" w:fill="FFFFFF"/>
        <w:spacing w:before="0"/>
      </w:pPr>
    </w:p>
    <w:p w14:paraId="0BB0EF01" w14:textId="1FD2E9E4" w:rsidR="001230AA" w:rsidRPr="003331EF" w:rsidRDefault="001A4507" w:rsidP="003331EF">
      <w:pPr>
        <w:pStyle w:val="NumPar1"/>
        <w:numPr>
          <w:ilvl w:val="0"/>
          <w:numId w:val="0"/>
        </w:numPr>
        <w:spacing w:before="0" w:after="0"/>
        <w:rPr>
          <w:b/>
          <w:bCs/>
          <w:lang w:val="et-EE" w:eastAsia="et-EE"/>
        </w:rPr>
      </w:pPr>
      <w:r w:rsidRPr="003331EF">
        <w:rPr>
          <w:b/>
          <w:bCs/>
          <w:lang w:val="et-EE" w:eastAsia="et-EE"/>
        </w:rPr>
        <w:t xml:space="preserve">Paragrahv </w:t>
      </w:r>
      <w:r w:rsidR="003F18D6" w:rsidRPr="003331EF">
        <w:rPr>
          <w:b/>
          <w:bCs/>
          <w:lang w:val="et-EE" w:eastAsia="et-EE"/>
        </w:rPr>
        <w:t>8</w:t>
      </w:r>
      <w:r w:rsidR="001230AA" w:rsidRPr="003331EF">
        <w:rPr>
          <w:b/>
          <w:bCs/>
          <w:lang w:val="et-EE" w:eastAsia="et-EE"/>
        </w:rPr>
        <w:t xml:space="preserve">. Nõuded </w:t>
      </w:r>
      <w:proofErr w:type="spellStart"/>
      <w:r w:rsidR="001230AA" w:rsidRPr="003331EF">
        <w:rPr>
          <w:b/>
          <w:bCs/>
          <w:lang w:val="et-EE" w:eastAsia="et-EE"/>
        </w:rPr>
        <w:t>krüptovara</w:t>
      </w:r>
      <w:proofErr w:type="spellEnd"/>
      <w:r w:rsidR="00E01282" w:rsidRPr="003331EF">
        <w:rPr>
          <w:b/>
          <w:bCs/>
          <w:lang w:val="et-EE" w:eastAsia="et-EE"/>
        </w:rPr>
        <w:t xml:space="preserve"> kohta nõu andmisele </w:t>
      </w:r>
    </w:p>
    <w:p w14:paraId="0C1E2AC6" w14:textId="77777777" w:rsidR="001230AA" w:rsidRPr="003331EF" w:rsidRDefault="001230AA" w:rsidP="003331EF">
      <w:pPr>
        <w:pStyle w:val="NumPar1"/>
        <w:numPr>
          <w:ilvl w:val="0"/>
          <w:numId w:val="0"/>
        </w:numPr>
        <w:spacing w:before="0" w:after="0"/>
        <w:rPr>
          <w:b/>
          <w:bCs/>
          <w:lang w:val="et-EE" w:eastAsia="et-EE"/>
        </w:rPr>
      </w:pPr>
    </w:p>
    <w:p w14:paraId="02BEF5CA" w14:textId="34F9C8C7" w:rsidR="001A4507" w:rsidRPr="003331EF" w:rsidRDefault="00E01282" w:rsidP="003331EF">
      <w:pPr>
        <w:pStyle w:val="NumPar1"/>
        <w:numPr>
          <w:ilvl w:val="0"/>
          <w:numId w:val="0"/>
        </w:numPr>
        <w:spacing w:before="0" w:after="0"/>
        <w:rPr>
          <w:iCs/>
          <w:spacing w:val="-5"/>
          <w:lang w:val="et-EE"/>
        </w:rPr>
      </w:pPr>
      <w:proofErr w:type="spellStart"/>
      <w:r w:rsidRPr="003331EF">
        <w:rPr>
          <w:iCs/>
          <w:spacing w:val="-5"/>
          <w:lang w:val="et-EE"/>
        </w:rPr>
        <w:t>M</w:t>
      </w:r>
      <w:r w:rsidR="00A03096">
        <w:rPr>
          <w:iCs/>
          <w:spacing w:val="-5"/>
          <w:lang w:val="et-EE"/>
        </w:rPr>
        <w:t>i</w:t>
      </w:r>
      <w:r w:rsidRPr="003331EF">
        <w:rPr>
          <w:iCs/>
          <w:spacing w:val="-5"/>
          <w:lang w:val="et-EE"/>
        </w:rPr>
        <w:t>CA</w:t>
      </w:r>
      <w:proofErr w:type="spellEnd"/>
      <w:r w:rsidRPr="003331EF">
        <w:rPr>
          <w:iCs/>
          <w:spacing w:val="-5"/>
          <w:lang w:val="et-EE"/>
        </w:rPr>
        <w:t xml:space="preserve"> artikli 3 lõike 1 punkti 16 alapunkti h kohaselt on üheks </w:t>
      </w:r>
      <w:proofErr w:type="spellStart"/>
      <w:r w:rsidRPr="003331EF">
        <w:rPr>
          <w:iCs/>
          <w:spacing w:val="-5"/>
          <w:lang w:val="et-EE"/>
        </w:rPr>
        <w:t>krüptovarateenuse</w:t>
      </w:r>
      <w:proofErr w:type="spellEnd"/>
      <w:r w:rsidRPr="003331EF">
        <w:rPr>
          <w:iCs/>
          <w:spacing w:val="-5"/>
          <w:lang w:val="et-EE"/>
        </w:rPr>
        <w:t xml:space="preserve"> </w:t>
      </w:r>
      <w:r w:rsidR="000B318D" w:rsidRPr="003331EF">
        <w:rPr>
          <w:iCs/>
          <w:spacing w:val="-5"/>
          <w:lang w:val="et-EE"/>
        </w:rPr>
        <w:t>osutamise vormiks</w:t>
      </w:r>
      <w:r w:rsidRPr="003331EF">
        <w:rPr>
          <w:iCs/>
          <w:spacing w:val="-5"/>
          <w:lang w:val="et-EE"/>
        </w:rPr>
        <w:t xml:space="preserve"> </w:t>
      </w:r>
      <w:proofErr w:type="spellStart"/>
      <w:r w:rsidRPr="003331EF">
        <w:rPr>
          <w:iCs/>
          <w:spacing w:val="-5"/>
          <w:lang w:val="et-EE"/>
        </w:rPr>
        <w:t>krüptovara</w:t>
      </w:r>
      <w:proofErr w:type="spellEnd"/>
      <w:r w:rsidRPr="003331EF">
        <w:rPr>
          <w:iCs/>
          <w:spacing w:val="-5"/>
          <w:lang w:val="et-EE"/>
        </w:rPr>
        <w:t xml:space="preserve"> kohta nõu andmine. Käesoleva p</w:t>
      </w:r>
      <w:r w:rsidR="001230AA" w:rsidRPr="003331EF">
        <w:rPr>
          <w:iCs/>
          <w:spacing w:val="-5"/>
          <w:lang w:val="et-EE"/>
        </w:rPr>
        <w:t xml:space="preserve">aragrahvi </w:t>
      </w:r>
      <w:r w:rsidR="001A4507" w:rsidRPr="003331EF">
        <w:rPr>
          <w:iCs/>
          <w:spacing w:val="-5"/>
          <w:lang w:val="et-EE"/>
        </w:rPr>
        <w:t xml:space="preserve">aluseks on </w:t>
      </w:r>
      <w:proofErr w:type="spellStart"/>
      <w:r w:rsidR="001A4507" w:rsidRPr="003331EF">
        <w:rPr>
          <w:iCs/>
          <w:spacing w:val="-5"/>
          <w:lang w:val="et-EE"/>
        </w:rPr>
        <w:t>M</w:t>
      </w:r>
      <w:r w:rsidR="00A03096">
        <w:rPr>
          <w:iCs/>
          <w:spacing w:val="-5"/>
          <w:lang w:val="et-EE"/>
        </w:rPr>
        <w:t>i</w:t>
      </w:r>
      <w:r w:rsidR="001A4507" w:rsidRPr="003331EF">
        <w:rPr>
          <w:iCs/>
          <w:spacing w:val="-5"/>
          <w:lang w:val="et-EE"/>
        </w:rPr>
        <w:t>CA</w:t>
      </w:r>
      <w:proofErr w:type="spellEnd"/>
      <w:r w:rsidR="001A4507" w:rsidRPr="003331EF">
        <w:rPr>
          <w:iCs/>
          <w:spacing w:val="-5"/>
          <w:lang w:val="et-EE"/>
        </w:rPr>
        <w:t xml:space="preserve"> määruse artikli 81 lõige</w:t>
      </w:r>
      <w:r w:rsidR="003A07D7">
        <w:rPr>
          <w:iCs/>
          <w:spacing w:val="-5"/>
          <w:lang w:val="et-EE"/>
        </w:rPr>
        <w:t> </w:t>
      </w:r>
      <w:r w:rsidR="001A4507" w:rsidRPr="003331EF">
        <w:rPr>
          <w:iCs/>
          <w:spacing w:val="-5"/>
          <w:lang w:val="et-EE"/>
        </w:rPr>
        <w:t xml:space="preserve">7, mis sätestab, et </w:t>
      </w:r>
      <w:proofErr w:type="spellStart"/>
      <w:r w:rsidR="001A4507" w:rsidRPr="003331EF">
        <w:rPr>
          <w:iCs/>
          <w:spacing w:val="-5"/>
          <w:lang w:val="et-EE"/>
        </w:rPr>
        <w:t>krüptovarateenuse</w:t>
      </w:r>
      <w:proofErr w:type="spellEnd"/>
      <w:r w:rsidR="001A4507" w:rsidRPr="003331EF">
        <w:rPr>
          <w:iCs/>
          <w:spacing w:val="-5"/>
          <w:lang w:val="et-EE"/>
        </w:rPr>
        <w:t xml:space="preserve"> osutaja, kes annab </w:t>
      </w:r>
      <w:proofErr w:type="spellStart"/>
      <w:r w:rsidR="001A4507" w:rsidRPr="003331EF">
        <w:rPr>
          <w:iCs/>
          <w:spacing w:val="-5"/>
          <w:lang w:val="et-EE"/>
        </w:rPr>
        <w:t>krüptovara</w:t>
      </w:r>
      <w:proofErr w:type="spellEnd"/>
      <w:r w:rsidR="001A4507" w:rsidRPr="003331EF">
        <w:rPr>
          <w:iCs/>
          <w:spacing w:val="-5"/>
          <w:lang w:val="et-EE"/>
        </w:rPr>
        <w:t xml:space="preserve"> kohta nõu, tagab, et füüsilistel isikutel, kes annavad tema nimel </w:t>
      </w:r>
      <w:proofErr w:type="spellStart"/>
      <w:r w:rsidR="001A4507" w:rsidRPr="003331EF">
        <w:rPr>
          <w:iCs/>
          <w:spacing w:val="-5"/>
          <w:lang w:val="et-EE"/>
        </w:rPr>
        <w:t>krüptovara</w:t>
      </w:r>
      <w:proofErr w:type="spellEnd"/>
      <w:r w:rsidR="001A4507" w:rsidRPr="003331EF">
        <w:rPr>
          <w:iCs/>
          <w:spacing w:val="-5"/>
          <w:lang w:val="et-EE"/>
        </w:rPr>
        <w:t xml:space="preserve"> või </w:t>
      </w:r>
      <w:proofErr w:type="spellStart"/>
      <w:r w:rsidR="001A4507" w:rsidRPr="003331EF">
        <w:rPr>
          <w:iCs/>
          <w:spacing w:val="-5"/>
          <w:lang w:val="et-EE"/>
        </w:rPr>
        <w:t>krüptovarateenuse</w:t>
      </w:r>
      <w:proofErr w:type="spellEnd"/>
      <w:r w:rsidR="001A4507" w:rsidRPr="003331EF">
        <w:rPr>
          <w:iCs/>
          <w:spacing w:val="-5"/>
          <w:lang w:val="et-EE"/>
        </w:rPr>
        <w:t xml:space="preserve"> kohta nõu või teavet, on oma kohustuste täitmiseks vajalikud teadmised ja oskused. Lõike teine lause paneb liikmesriigile kohustuse avalda</w:t>
      </w:r>
      <w:r w:rsidR="001E5278" w:rsidRPr="003331EF">
        <w:rPr>
          <w:iCs/>
          <w:spacing w:val="-5"/>
          <w:lang w:val="et-EE"/>
        </w:rPr>
        <w:t>da</w:t>
      </w:r>
      <w:r w:rsidR="001A4507" w:rsidRPr="003331EF">
        <w:rPr>
          <w:iCs/>
          <w:spacing w:val="-5"/>
          <w:lang w:val="et-EE"/>
        </w:rPr>
        <w:t xml:space="preserve"> selliste teadmiste ja oskuste hindamiseks kasutatavad kriteeriumid. </w:t>
      </w:r>
    </w:p>
    <w:p w14:paraId="72E7F0B7" w14:textId="77777777" w:rsidR="001A4507" w:rsidRPr="003331EF" w:rsidRDefault="001A4507" w:rsidP="003331EF">
      <w:pPr>
        <w:pStyle w:val="Text1"/>
        <w:spacing w:before="0" w:after="0"/>
        <w:ind w:left="0"/>
        <w:rPr>
          <w:rFonts w:cs="Times New Roman"/>
          <w:b/>
          <w:bCs/>
          <w:sz w:val="24"/>
          <w:lang w:eastAsia="et-EE"/>
        </w:rPr>
      </w:pPr>
    </w:p>
    <w:p w14:paraId="470A8E60" w14:textId="09F3D190" w:rsidR="001A4507" w:rsidRPr="003331EF" w:rsidRDefault="001A4507" w:rsidP="003331EF">
      <w:pPr>
        <w:pStyle w:val="Text1"/>
        <w:spacing w:before="0" w:after="0"/>
        <w:ind w:left="0"/>
        <w:rPr>
          <w:rFonts w:cs="Times New Roman"/>
          <w:sz w:val="24"/>
          <w:lang w:eastAsia="et-EE"/>
        </w:rPr>
      </w:pPr>
      <w:r w:rsidRPr="003331EF">
        <w:rPr>
          <w:rFonts w:cs="Times New Roman"/>
          <w:b/>
          <w:bCs/>
          <w:sz w:val="24"/>
          <w:lang w:eastAsia="et-EE"/>
        </w:rPr>
        <w:t>Lõike 1</w:t>
      </w:r>
      <w:r w:rsidRPr="003331EF">
        <w:rPr>
          <w:rFonts w:cs="Times New Roman"/>
          <w:sz w:val="24"/>
          <w:lang w:eastAsia="et-EE"/>
        </w:rPr>
        <w:t xml:space="preserve"> </w:t>
      </w:r>
      <w:r w:rsidRPr="003331EF">
        <w:rPr>
          <w:rFonts w:cs="Times New Roman"/>
          <w:iCs/>
          <w:spacing w:val="-5"/>
          <w:sz w:val="24"/>
          <w:lang w:eastAsia="en-US"/>
        </w:rPr>
        <w:t>punktides 1–</w:t>
      </w:r>
      <w:r w:rsidR="000E4859" w:rsidRPr="003331EF">
        <w:rPr>
          <w:rFonts w:cs="Times New Roman"/>
          <w:iCs/>
          <w:spacing w:val="-5"/>
          <w:sz w:val="24"/>
          <w:lang w:eastAsia="en-US"/>
        </w:rPr>
        <w:t>9</w:t>
      </w:r>
      <w:r w:rsidRPr="003331EF">
        <w:rPr>
          <w:rFonts w:cs="Times New Roman"/>
          <w:iCs/>
          <w:spacing w:val="-5"/>
          <w:sz w:val="24"/>
          <w:lang w:eastAsia="en-US"/>
        </w:rPr>
        <w:t xml:space="preserve"> on sätestatud üldised kriteeriumid teadmiste ja oskuste kohta ning</w:t>
      </w:r>
      <w:r w:rsidRPr="003331EF">
        <w:rPr>
          <w:rFonts w:cs="Times New Roman"/>
          <w:sz w:val="24"/>
          <w:lang w:eastAsia="et-EE"/>
        </w:rPr>
        <w:t xml:space="preserve"> </w:t>
      </w:r>
      <w:r w:rsidRPr="003331EF">
        <w:rPr>
          <w:rFonts w:cs="Times New Roman"/>
          <w:b/>
          <w:bCs/>
          <w:sz w:val="24"/>
          <w:lang w:eastAsia="et-EE"/>
        </w:rPr>
        <w:t xml:space="preserve">lõikega 2 </w:t>
      </w:r>
      <w:r w:rsidRPr="003331EF">
        <w:rPr>
          <w:rFonts w:cs="Times New Roman"/>
          <w:sz w:val="24"/>
          <w:lang w:eastAsia="et-EE"/>
        </w:rPr>
        <w:t>antakse volitus ministrile vajadusel täpsustada</w:t>
      </w:r>
      <w:r w:rsidR="000E4859" w:rsidRPr="003331EF">
        <w:rPr>
          <w:rFonts w:cs="Times New Roman"/>
          <w:sz w:val="24"/>
          <w:lang w:eastAsia="et-EE"/>
        </w:rPr>
        <w:t xml:space="preserve"> ja täiendada</w:t>
      </w:r>
      <w:r w:rsidRPr="003331EF">
        <w:rPr>
          <w:rFonts w:cs="Times New Roman"/>
          <w:sz w:val="24"/>
          <w:lang w:eastAsia="et-EE"/>
        </w:rPr>
        <w:t xml:space="preserve"> neid kriteeriume. </w:t>
      </w:r>
    </w:p>
    <w:p w14:paraId="75DBD292" w14:textId="77777777" w:rsidR="004631BB" w:rsidRPr="003331EF" w:rsidRDefault="004631BB" w:rsidP="003331EF">
      <w:pPr>
        <w:pStyle w:val="Text1"/>
        <w:spacing w:before="0" w:after="0"/>
        <w:ind w:left="0"/>
        <w:rPr>
          <w:rFonts w:cs="Times New Roman"/>
          <w:sz w:val="24"/>
          <w:lang w:eastAsia="et-EE"/>
        </w:rPr>
      </w:pPr>
    </w:p>
    <w:p w14:paraId="4C1E68EA" w14:textId="2DBEDDB1" w:rsidR="004631BB" w:rsidRPr="003331EF" w:rsidRDefault="004631BB" w:rsidP="003331EF">
      <w:pPr>
        <w:pStyle w:val="Text1"/>
        <w:spacing w:before="0" w:after="0"/>
        <w:ind w:left="0"/>
        <w:rPr>
          <w:rFonts w:cs="Times New Roman"/>
          <w:iCs/>
          <w:spacing w:val="-5"/>
          <w:sz w:val="24"/>
          <w:lang w:eastAsia="en-US"/>
        </w:rPr>
      </w:pPr>
      <w:r w:rsidRPr="003331EF">
        <w:rPr>
          <w:rFonts w:cs="Times New Roman"/>
          <w:iCs/>
          <w:spacing w:val="-5"/>
          <w:sz w:val="24"/>
          <w:lang w:eastAsia="en-US"/>
        </w:rPr>
        <w:t xml:space="preserve">Näiteks </w:t>
      </w:r>
      <w:r w:rsidR="009D6D98" w:rsidRPr="003331EF">
        <w:rPr>
          <w:rFonts w:cs="Times New Roman"/>
          <w:iCs/>
          <w:spacing w:val="-5"/>
          <w:sz w:val="24"/>
          <w:lang w:eastAsia="en-US"/>
        </w:rPr>
        <w:t xml:space="preserve">on ESMA </w:t>
      </w:r>
      <w:proofErr w:type="spellStart"/>
      <w:r w:rsidR="009D6D98" w:rsidRPr="003331EF">
        <w:rPr>
          <w:rFonts w:cs="Times New Roman"/>
          <w:iCs/>
          <w:spacing w:val="-5"/>
          <w:sz w:val="24"/>
          <w:lang w:eastAsia="en-US"/>
        </w:rPr>
        <w:t>konsultatsiooniopaberis</w:t>
      </w:r>
      <w:proofErr w:type="spellEnd"/>
      <w:r w:rsidR="009D6D98" w:rsidRPr="003331EF">
        <w:rPr>
          <w:b/>
          <w:bCs/>
          <w:vertAlign w:val="superscript"/>
        </w:rPr>
        <w:footnoteReference w:id="20"/>
      </w:r>
      <w:r w:rsidR="009D6D98" w:rsidRPr="003331EF">
        <w:rPr>
          <w:rFonts w:cs="Times New Roman"/>
          <w:iCs/>
          <w:spacing w:val="-5"/>
          <w:sz w:val="24"/>
          <w:vertAlign w:val="superscript"/>
          <w:lang w:eastAsia="en-US"/>
        </w:rPr>
        <w:t xml:space="preserve"> </w:t>
      </w:r>
      <w:r w:rsidR="009D6D98" w:rsidRPr="003331EF">
        <w:rPr>
          <w:rFonts w:cs="Times New Roman"/>
          <w:iCs/>
          <w:spacing w:val="-5"/>
          <w:sz w:val="24"/>
          <w:lang w:eastAsia="en-US"/>
        </w:rPr>
        <w:t>„</w:t>
      </w:r>
      <w:proofErr w:type="spellStart"/>
      <w:r w:rsidR="009D6D98" w:rsidRPr="003331EF">
        <w:rPr>
          <w:rFonts w:cs="Times New Roman"/>
          <w:iCs/>
          <w:spacing w:val="-5"/>
          <w:sz w:val="24"/>
          <w:lang w:eastAsia="en-US"/>
        </w:rPr>
        <w:t>Technical</w:t>
      </w:r>
      <w:proofErr w:type="spellEnd"/>
      <w:r w:rsidR="009D6D98" w:rsidRPr="003331EF">
        <w:rPr>
          <w:rFonts w:cs="Times New Roman"/>
          <w:iCs/>
          <w:spacing w:val="-5"/>
          <w:sz w:val="24"/>
          <w:lang w:eastAsia="en-US"/>
        </w:rPr>
        <w:t xml:space="preserve"> Standards </w:t>
      </w:r>
      <w:proofErr w:type="spellStart"/>
      <w:r w:rsidR="009D6D98" w:rsidRPr="003331EF">
        <w:rPr>
          <w:rFonts w:cs="Times New Roman"/>
          <w:iCs/>
          <w:spacing w:val="-5"/>
          <w:sz w:val="24"/>
          <w:lang w:eastAsia="en-US"/>
        </w:rPr>
        <w:t>specifying</w:t>
      </w:r>
      <w:proofErr w:type="spellEnd"/>
      <w:r w:rsidR="009D6D98" w:rsidRPr="003331EF">
        <w:rPr>
          <w:rFonts w:cs="Times New Roman"/>
          <w:iCs/>
          <w:spacing w:val="-5"/>
          <w:sz w:val="24"/>
          <w:lang w:eastAsia="en-US"/>
        </w:rPr>
        <w:t xml:space="preserve"> </w:t>
      </w:r>
      <w:proofErr w:type="spellStart"/>
      <w:r w:rsidR="009D6D98" w:rsidRPr="003331EF">
        <w:rPr>
          <w:rFonts w:cs="Times New Roman"/>
          <w:iCs/>
          <w:spacing w:val="-5"/>
          <w:sz w:val="24"/>
          <w:lang w:eastAsia="en-US"/>
        </w:rPr>
        <w:t>certain</w:t>
      </w:r>
      <w:proofErr w:type="spellEnd"/>
      <w:r w:rsidR="009D6D98" w:rsidRPr="003331EF">
        <w:rPr>
          <w:rFonts w:cs="Times New Roman"/>
          <w:iCs/>
          <w:spacing w:val="-5"/>
          <w:sz w:val="24"/>
          <w:lang w:eastAsia="en-US"/>
        </w:rPr>
        <w:t xml:space="preserve"> </w:t>
      </w:r>
      <w:proofErr w:type="spellStart"/>
      <w:r w:rsidR="009D6D98" w:rsidRPr="003331EF">
        <w:rPr>
          <w:rFonts w:cs="Times New Roman"/>
          <w:iCs/>
          <w:spacing w:val="-5"/>
          <w:sz w:val="24"/>
          <w:lang w:eastAsia="en-US"/>
        </w:rPr>
        <w:t>requirements</w:t>
      </w:r>
      <w:proofErr w:type="spellEnd"/>
      <w:r w:rsidR="009D6D98" w:rsidRPr="003331EF">
        <w:rPr>
          <w:rFonts w:cs="Times New Roman"/>
          <w:iCs/>
          <w:spacing w:val="-5"/>
          <w:sz w:val="24"/>
          <w:lang w:eastAsia="en-US"/>
        </w:rPr>
        <w:t xml:space="preserve"> of </w:t>
      </w:r>
      <w:proofErr w:type="spellStart"/>
      <w:r w:rsidR="009D6D98" w:rsidRPr="003331EF">
        <w:rPr>
          <w:rFonts w:cs="Times New Roman"/>
          <w:iCs/>
          <w:spacing w:val="-5"/>
          <w:sz w:val="24"/>
          <w:lang w:eastAsia="en-US"/>
        </w:rPr>
        <w:t>the</w:t>
      </w:r>
      <w:proofErr w:type="spellEnd"/>
      <w:r w:rsidR="009D6D98" w:rsidRPr="003331EF">
        <w:rPr>
          <w:rFonts w:cs="Times New Roman"/>
          <w:iCs/>
          <w:spacing w:val="-5"/>
          <w:sz w:val="24"/>
          <w:lang w:eastAsia="en-US"/>
        </w:rPr>
        <w:t xml:space="preserve"> </w:t>
      </w:r>
      <w:proofErr w:type="spellStart"/>
      <w:r w:rsidR="009D6D98" w:rsidRPr="003331EF">
        <w:rPr>
          <w:rFonts w:cs="Times New Roman"/>
          <w:iCs/>
          <w:spacing w:val="-5"/>
          <w:sz w:val="24"/>
          <w:lang w:eastAsia="en-US"/>
        </w:rPr>
        <w:t>Markets</w:t>
      </w:r>
      <w:proofErr w:type="spellEnd"/>
      <w:r w:rsidR="009D6D98" w:rsidRPr="003331EF">
        <w:rPr>
          <w:rFonts w:cs="Times New Roman"/>
          <w:iCs/>
          <w:spacing w:val="-5"/>
          <w:sz w:val="24"/>
          <w:lang w:eastAsia="en-US"/>
        </w:rPr>
        <w:t xml:space="preserve"> in </w:t>
      </w:r>
      <w:proofErr w:type="spellStart"/>
      <w:r w:rsidR="009D6D98" w:rsidRPr="003331EF">
        <w:rPr>
          <w:rFonts w:cs="Times New Roman"/>
          <w:iCs/>
          <w:spacing w:val="-5"/>
          <w:sz w:val="24"/>
          <w:lang w:eastAsia="en-US"/>
        </w:rPr>
        <w:t>Crypto</w:t>
      </w:r>
      <w:proofErr w:type="spellEnd"/>
      <w:r w:rsidR="009D6D98" w:rsidRPr="003331EF">
        <w:rPr>
          <w:rFonts w:cs="Times New Roman"/>
          <w:iCs/>
          <w:spacing w:val="-5"/>
          <w:sz w:val="24"/>
          <w:lang w:eastAsia="en-US"/>
        </w:rPr>
        <w:t xml:space="preserve"> Assets </w:t>
      </w:r>
      <w:proofErr w:type="spellStart"/>
      <w:r w:rsidR="009D6D98" w:rsidRPr="003331EF">
        <w:rPr>
          <w:rFonts w:cs="Times New Roman"/>
          <w:iCs/>
          <w:spacing w:val="-5"/>
          <w:sz w:val="24"/>
          <w:lang w:eastAsia="en-US"/>
        </w:rPr>
        <w:t>Regulation</w:t>
      </w:r>
      <w:proofErr w:type="spellEnd"/>
      <w:r w:rsidR="009D6D98" w:rsidRPr="003331EF">
        <w:rPr>
          <w:rFonts w:cs="Times New Roman"/>
          <w:iCs/>
          <w:spacing w:val="-5"/>
          <w:sz w:val="24"/>
          <w:lang w:eastAsia="en-US"/>
        </w:rPr>
        <w:t xml:space="preserve"> (</w:t>
      </w:r>
      <w:proofErr w:type="spellStart"/>
      <w:r w:rsidR="009D6D98" w:rsidRPr="003331EF">
        <w:rPr>
          <w:rFonts w:cs="Times New Roman"/>
          <w:iCs/>
          <w:spacing w:val="-5"/>
          <w:sz w:val="24"/>
          <w:lang w:eastAsia="en-US"/>
        </w:rPr>
        <w:t>MiCA</w:t>
      </w:r>
      <w:proofErr w:type="spellEnd"/>
      <w:r w:rsidR="009D6D98" w:rsidRPr="003331EF">
        <w:rPr>
          <w:rFonts w:cs="Times New Roman"/>
          <w:iCs/>
          <w:spacing w:val="-5"/>
          <w:sz w:val="24"/>
          <w:lang w:eastAsia="en-US"/>
        </w:rPr>
        <w:t xml:space="preserve">)“ (edaspidi ESMA konsultatsioonipaber) välja toodud, et </w:t>
      </w:r>
      <w:proofErr w:type="spellStart"/>
      <w:r w:rsidR="009D6D98" w:rsidRPr="003331EF">
        <w:rPr>
          <w:rFonts w:cs="Times New Roman"/>
          <w:iCs/>
          <w:spacing w:val="-5"/>
          <w:sz w:val="24"/>
          <w:lang w:eastAsia="en-US"/>
        </w:rPr>
        <w:t>krütovarateenuse</w:t>
      </w:r>
      <w:proofErr w:type="spellEnd"/>
      <w:r w:rsidR="009D6D98" w:rsidRPr="003331EF">
        <w:rPr>
          <w:rFonts w:cs="Times New Roman"/>
          <w:iCs/>
          <w:spacing w:val="-5"/>
          <w:sz w:val="24"/>
          <w:lang w:eastAsia="en-US"/>
        </w:rPr>
        <w:t xml:space="preserve"> osutaja peaks teavitama pädevat asutust mh </w:t>
      </w:r>
      <w:commentRangeStart w:id="64"/>
      <w:r w:rsidR="009D6D98" w:rsidRPr="003331EF">
        <w:rPr>
          <w:rFonts w:cs="Times New Roman"/>
          <w:iCs/>
          <w:spacing w:val="-5"/>
          <w:sz w:val="24"/>
          <w:lang w:eastAsia="en-US"/>
        </w:rPr>
        <w:t>„</w:t>
      </w:r>
      <w:proofErr w:type="spellStart"/>
      <w:r w:rsidRPr="003331EF">
        <w:rPr>
          <w:rFonts w:cs="Times New Roman"/>
          <w:i/>
          <w:spacing w:val="-5"/>
          <w:sz w:val="24"/>
          <w:lang w:eastAsia="en-US"/>
        </w:rPr>
        <w:t>the</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arrangements</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to</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ensure</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lastRenderedPageBreak/>
        <w:t>that</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natural</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persons</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involved</w:t>
      </w:r>
      <w:proofErr w:type="spellEnd"/>
      <w:r w:rsidRPr="003331EF">
        <w:rPr>
          <w:rFonts w:cs="Times New Roman"/>
          <w:i/>
          <w:spacing w:val="-5"/>
          <w:sz w:val="24"/>
          <w:lang w:eastAsia="en-US"/>
        </w:rPr>
        <w:t xml:space="preserve"> in </w:t>
      </w:r>
      <w:proofErr w:type="spellStart"/>
      <w:r w:rsidRPr="003331EF">
        <w:rPr>
          <w:rFonts w:cs="Times New Roman"/>
          <w:i/>
          <w:spacing w:val="-5"/>
          <w:sz w:val="24"/>
          <w:lang w:eastAsia="en-US"/>
        </w:rPr>
        <w:t>the</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provision</w:t>
      </w:r>
      <w:proofErr w:type="spellEnd"/>
      <w:r w:rsidRPr="003331EF">
        <w:rPr>
          <w:rFonts w:cs="Times New Roman"/>
          <w:i/>
          <w:spacing w:val="-5"/>
          <w:sz w:val="24"/>
          <w:lang w:eastAsia="en-US"/>
        </w:rPr>
        <w:t xml:space="preserve"> of </w:t>
      </w:r>
      <w:proofErr w:type="spellStart"/>
      <w:r w:rsidRPr="003331EF">
        <w:rPr>
          <w:rFonts w:cs="Times New Roman"/>
          <w:i/>
          <w:spacing w:val="-5"/>
          <w:sz w:val="24"/>
          <w:lang w:eastAsia="en-US"/>
        </w:rPr>
        <w:t>advice</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or</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portfolio</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management</w:t>
      </w:r>
      <w:proofErr w:type="spellEnd"/>
      <w:r w:rsidRPr="003331EF">
        <w:rPr>
          <w:rFonts w:cs="Times New Roman"/>
          <w:i/>
          <w:spacing w:val="-5"/>
          <w:sz w:val="24"/>
          <w:lang w:eastAsia="en-US"/>
        </w:rPr>
        <w:t xml:space="preserve"> are </w:t>
      </w:r>
      <w:proofErr w:type="spellStart"/>
      <w:r w:rsidRPr="003331EF">
        <w:rPr>
          <w:rFonts w:cs="Times New Roman"/>
          <w:i/>
          <w:spacing w:val="-5"/>
          <w:sz w:val="24"/>
          <w:lang w:eastAsia="en-US"/>
        </w:rPr>
        <w:t>aware</w:t>
      </w:r>
      <w:proofErr w:type="spellEnd"/>
      <w:r w:rsidRPr="003331EF">
        <w:rPr>
          <w:rFonts w:cs="Times New Roman"/>
          <w:i/>
          <w:spacing w:val="-5"/>
          <w:sz w:val="24"/>
          <w:lang w:eastAsia="en-US"/>
        </w:rPr>
        <w:t xml:space="preserve"> of, </w:t>
      </w:r>
      <w:proofErr w:type="spellStart"/>
      <w:r w:rsidRPr="003331EF">
        <w:rPr>
          <w:rFonts w:cs="Times New Roman"/>
          <w:i/>
          <w:spacing w:val="-5"/>
          <w:sz w:val="24"/>
          <w:lang w:eastAsia="en-US"/>
        </w:rPr>
        <w:t>understand</w:t>
      </w:r>
      <w:proofErr w:type="spellEnd"/>
      <w:r w:rsidRPr="003331EF">
        <w:rPr>
          <w:rFonts w:cs="Times New Roman"/>
          <w:i/>
          <w:spacing w:val="-5"/>
          <w:sz w:val="24"/>
          <w:lang w:eastAsia="en-US"/>
        </w:rPr>
        <w:t xml:space="preserve"> and </w:t>
      </w:r>
      <w:proofErr w:type="spellStart"/>
      <w:r w:rsidRPr="003331EF">
        <w:rPr>
          <w:rFonts w:cs="Times New Roman"/>
          <w:i/>
          <w:spacing w:val="-5"/>
          <w:sz w:val="24"/>
          <w:lang w:eastAsia="en-US"/>
        </w:rPr>
        <w:t>apply</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the</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notifying</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entity’s</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internal</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policies</w:t>
      </w:r>
      <w:proofErr w:type="spellEnd"/>
      <w:r w:rsidRPr="003331EF">
        <w:rPr>
          <w:rFonts w:cs="Times New Roman"/>
          <w:i/>
          <w:spacing w:val="-5"/>
          <w:sz w:val="24"/>
          <w:lang w:eastAsia="en-US"/>
        </w:rPr>
        <w:t xml:space="preserve"> and </w:t>
      </w:r>
      <w:proofErr w:type="spellStart"/>
      <w:r w:rsidRPr="003331EF">
        <w:rPr>
          <w:rFonts w:cs="Times New Roman"/>
          <w:i/>
          <w:spacing w:val="-5"/>
          <w:sz w:val="24"/>
          <w:lang w:eastAsia="en-US"/>
        </w:rPr>
        <w:t>procedures</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designed</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to</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ensure</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compliance</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with</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Regulation</w:t>
      </w:r>
      <w:proofErr w:type="spellEnd"/>
      <w:r w:rsidRPr="003331EF">
        <w:rPr>
          <w:rFonts w:cs="Times New Roman"/>
          <w:i/>
          <w:spacing w:val="-5"/>
          <w:sz w:val="24"/>
          <w:lang w:eastAsia="en-US"/>
        </w:rPr>
        <w:t xml:space="preserve"> (EU) 2023/1114, </w:t>
      </w:r>
      <w:proofErr w:type="spellStart"/>
      <w:r w:rsidRPr="003331EF">
        <w:rPr>
          <w:rFonts w:cs="Times New Roman"/>
          <w:i/>
          <w:spacing w:val="-5"/>
          <w:sz w:val="24"/>
          <w:lang w:eastAsia="en-US"/>
        </w:rPr>
        <w:t>especially</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Article</w:t>
      </w:r>
      <w:proofErr w:type="spellEnd"/>
      <w:r w:rsidRPr="003331EF">
        <w:rPr>
          <w:rFonts w:cs="Times New Roman"/>
          <w:i/>
          <w:spacing w:val="-5"/>
          <w:sz w:val="24"/>
          <w:lang w:eastAsia="en-US"/>
        </w:rPr>
        <w:t xml:space="preserve"> 81(1) of </w:t>
      </w:r>
      <w:proofErr w:type="spellStart"/>
      <w:r w:rsidRPr="003331EF">
        <w:rPr>
          <w:rFonts w:cs="Times New Roman"/>
          <w:i/>
          <w:spacing w:val="-5"/>
          <w:sz w:val="24"/>
          <w:lang w:eastAsia="en-US"/>
        </w:rPr>
        <w:t>Regulation</w:t>
      </w:r>
      <w:proofErr w:type="spellEnd"/>
      <w:r w:rsidRPr="003331EF">
        <w:rPr>
          <w:rFonts w:cs="Times New Roman"/>
          <w:i/>
          <w:spacing w:val="-5"/>
          <w:sz w:val="24"/>
          <w:lang w:eastAsia="en-US"/>
        </w:rPr>
        <w:t xml:space="preserve"> (EU) 2023/1114 and </w:t>
      </w:r>
      <w:proofErr w:type="spellStart"/>
      <w:r w:rsidRPr="003331EF">
        <w:rPr>
          <w:rFonts w:cs="Times New Roman"/>
          <w:i/>
          <w:spacing w:val="-5"/>
          <w:sz w:val="24"/>
          <w:lang w:eastAsia="en-US"/>
        </w:rPr>
        <w:t>antimoney</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laundering</w:t>
      </w:r>
      <w:proofErr w:type="spellEnd"/>
      <w:r w:rsidRPr="003331EF">
        <w:rPr>
          <w:rFonts w:cs="Times New Roman"/>
          <w:i/>
          <w:spacing w:val="-5"/>
          <w:sz w:val="24"/>
          <w:lang w:eastAsia="en-US"/>
        </w:rPr>
        <w:t xml:space="preserve"> and anti-terrorist </w:t>
      </w:r>
      <w:proofErr w:type="spellStart"/>
      <w:r w:rsidRPr="003331EF">
        <w:rPr>
          <w:rFonts w:cs="Times New Roman"/>
          <w:i/>
          <w:spacing w:val="-5"/>
          <w:sz w:val="24"/>
          <w:lang w:eastAsia="en-US"/>
        </w:rPr>
        <w:t>financing</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obligations</w:t>
      </w:r>
      <w:proofErr w:type="spellEnd"/>
      <w:r w:rsidRPr="003331EF">
        <w:rPr>
          <w:rFonts w:cs="Times New Roman"/>
          <w:i/>
          <w:spacing w:val="-5"/>
          <w:sz w:val="24"/>
          <w:lang w:eastAsia="en-US"/>
        </w:rPr>
        <w:t xml:space="preserve"> in </w:t>
      </w:r>
      <w:proofErr w:type="spellStart"/>
      <w:r w:rsidRPr="003331EF">
        <w:rPr>
          <w:rFonts w:cs="Times New Roman"/>
          <w:i/>
          <w:spacing w:val="-5"/>
          <w:sz w:val="24"/>
          <w:lang w:eastAsia="en-US"/>
        </w:rPr>
        <w:t>accordance</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with</w:t>
      </w:r>
      <w:proofErr w:type="spellEnd"/>
      <w:r w:rsidRPr="003331EF">
        <w:rPr>
          <w:rFonts w:cs="Times New Roman"/>
          <w:i/>
          <w:spacing w:val="-5"/>
          <w:sz w:val="24"/>
          <w:lang w:eastAsia="en-US"/>
        </w:rPr>
        <w:t xml:space="preserve"> </w:t>
      </w:r>
      <w:proofErr w:type="spellStart"/>
      <w:r w:rsidRPr="003331EF">
        <w:rPr>
          <w:rFonts w:cs="Times New Roman"/>
          <w:i/>
          <w:spacing w:val="-5"/>
          <w:sz w:val="24"/>
          <w:lang w:eastAsia="en-US"/>
        </w:rPr>
        <w:t>Directive</w:t>
      </w:r>
      <w:proofErr w:type="spellEnd"/>
      <w:r w:rsidRPr="003331EF">
        <w:rPr>
          <w:rFonts w:cs="Times New Roman"/>
          <w:i/>
          <w:spacing w:val="-5"/>
          <w:sz w:val="24"/>
          <w:lang w:eastAsia="en-US"/>
        </w:rPr>
        <w:t xml:space="preserve"> (EU) 2015/849</w:t>
      </w:r>
      <w:r w:rsidR="009D6D98" w:rsidRPr="003331EF">
        <w:rPr>
          <w:rFonts w:cs="Times New Roman"/>
          <w:iCs/>
          <w:spacing w:val="-5"/>
          <w:sz w:val="24"/>
          <w:lang w:eastAsia="en-US"/>
        </w:rPr>
        <w:t>“.</w:t>
      </w:r>
      <w:commentRangeEnd w:id="64"/>
      <w:r w:rsidR="00574F00">
        <w:rPr>
          <w:rStyle w:val="Kommentaariviide"/>
          <w:lang w:val="en-GB" w:eastAsia="en-US"/>
        </w:rPr>
        <w:commentReference w:id="64"/>
      </w:r>
    </w:p>
    <w:p w14:paraId="7B04C706" w14:textId="77777777" w:rsidR="001A4507" w:rsidRPr="003331EF" w:rsidRDefault="001A4507" w:rsidP="003331EF">
      <w:pPr>
        <w:pStyle w:val="Text1"/>
        <w:spacing w:before="0" w:after="0"/>
        <w:ind w:left="0"/>
        <w:rPr>
          <w:rFonts w:cs="Times New Roman"/>
          <w:sz w:val="24"/>
          <w:lang w:eastAsia="et-EE"/>
        </w:rPr>
      </w:pPr>
    </w:p>
    <w:p w14:paraId="7A7D53B2" w14:textId="0C81AF44" w:rsidR="001230AA" w:rsidRPr="003331EF" w:rsidRDefault="001A4507" w:rsidP="003331EF">
      <w:pPr>
        <w:shd w:val="clear" w:color="auto" w:fill="FFFFFF"/>
        <w:spacing w:before="0"/>
        <w:rPr>
          <w:b/>
          <w:bCs/>
        </w:rPr>
      </w:pPr>
      <w:r w:rsidRPr="003331EF">
        <w:rPr>
          <w:b/>
          <w:bCs/>
        </w:rPr>
        <w:t xml:space="preserve">Paragrahv </w:t>
      </w:r>
      <w:r w:rsidR="003F18D6" w:rsidRPr="003331EF">
        <w:rPr>
          <w:b/>
          <w:bCs/>
        </w:rPr>
        <w:t>9</w:t>
      </w:r>
      <w:r w:rsidRPr="003331EF">
        <w:rPr>
          <w:b/>
          <w:bCs/>
        </w:rPr>
        <w:t xml:space="preserve">. </w:t>
      </w:r>
      <w:r w:rsidR="001230AA" w:rsidRPr="003331EF">
        <w:rPr>
          <w:b/>
          <w:bCs/>
        </w:rPr>
        <w:t>Nõuded digitaalsele tegevuskerksusele</w:t>
      </w:r>
    </w:p>
    <w:p w14:paraId="52A96663" w14:textId="77777777" w:rsidR="001230AA" w:rsidRPr="003331EF" w:rsidRDefault="001230AA" w:rsidP="003331EF">
      <w:pPr>
        <w:shd w:val="clear" w:color="auto" w:fill="FFFFFF"/>
        <w:spacing w:before="0"/>
        <w:rPr>
          <w:b/>
          <w:bCs/>
        </w:rPr>
      </w:pPr>
    </w:p>
    <w:p w14:paraId="0F969E3E" w14:textId="1C1CEAC5" w:rsidR="001230AA" w:rsidRPr="003331EF" w:rsidRDefault="001A4507" w:rsidP="003331EF">
      <w:pPr>
        <w:shd w:val="clear" w:color="auto" w:fill="FFFFFF"/>
        <w:spacing w:before="0"/>
        <w:rPr>
          <w:iCs/>
          <w:spacing w:val="-5"/>
          <w:lang w:eastAsia="en-US"/>
        </w:rPr>
      </w:pPr>
      <w:r w:rsidRPr="003331EF">
        <w:rPr>
          <w:iCs/>
          <w:spacing w:val="-5"/>
          <w:lang w:eastAsia="en-US"/>
        </w:rPr>
        <w:t xml:space="preserve">Kuna </w:t>
      </w:r>
      <w:proofErr w:type="spellStart"/>
      <w:r w:rsidRPr="003331EF">
        <w:rPr>
          <w:iCs/>
          <w:spacing w:val="-5"/>
          <w:lang w:eastAsia="en-US"/>
        </w:rPr>
        <w:t>krüptovarateenuse</w:t>
      </w:r>
      <w:proofErr w:type="spellEnd"/>
      <w:r w:rsidRPr="003331EF">
        <w:rPr>
          <w:iCs/>
          <w:spacing w:val="-5"/>
          <w:lang w:eastAsia="en-US"/>
        </w:rPr>
        <w:t xml:space="preserve"> osutajad ja varapõhise </w:t>
      </w:r>
      <w:proofErr w:type="spellStart"/>
      <w:r w:rsidRPr="003331EF">
        <w:rPr>
          <w:iCs/>
          <w:spacing w:val="-5"/>
          <w:lang w:eastAsia="en-US"/>
        </w:rPr>
        <w:t>tokeni</w:t>
      </w:r>
      <w:proofErr w:type="spellEnd"/>
      <w:r w:rsidRPr="003331EF">
        <w:rPr>
          <w:iCs/>
          <w:spacing w:val="-5"/>
          <w:lang w:eastAsia="en-US"/>
        </w:rPr>
        <w:t xml:space="preserve"> emitendid kuuluvad DORA  määruse kohaldamisalasse, sätestatakse </w:t>
      </w:r>
      <w:r w:rsidR="001230AA" w:rsidRPr="003331EF">
        <w:rPr>
          <w:iCs/>
          <w:spacing w:val="-5"/>
          <w:lang w:eastAsia="en-US"/>
        </w:rPr>
        <w:t xml:space="preserve">selguse huvides </w:t>
      </w:r>
      <w:r w:rsidRPr="003331EF">
        <w:rPr>
          <w:iCs/>
          <w:spacing w:val="-5"/>
          <w:lang w:eastAsia="en-US"/>
        </w:rPr>
        <w:t xml:space="preserve">lõikes 1, et nad peavad järgima DORA määruses sätestatud digitaalse tegevuskerksuse nõudeid. DORA määrust tuleb rakendama hakata 2025. aasta 17. jaanuarist. </w:t>
      </w:r>
      <w:r w:rsidR="00A932BF" w:rsidRPr="003331EF">
        <w:rPr>
          <w:iCs/>
          <w:spacing w:val="-5"/>
          <w:lang w:eastAsia="en-US"/>
        </w:rPr>
        <w:t xml:space="preserve">Digitaalne tegevuskerksus on defineeritud DORA määruse artikli 3 punktis 1 ning see on finantssektori ettevõtja suutlikkus luua, tagada ja vaadata läbi oma tegevuse terviklikkust ja usaldusväärsust, tagades kas otseselt või kaudselt kolmandast isikust IKT-teenuste osutajate pakutavate teenuste kasutamise kaudu kogu </w:t>
      </w:r>
      <w:proofErr w:type="spellStart"/>
      <w:r w:rsidR="00A932BF" w:rsidRPr="003331EF">
        <w:rPr>
          <w:iCs/>
          <w:spacing w:val="-5"/>
          <w:lang w:eastAsia="en-US"/>
        </w:rPr>
        <w:t>IKTga</w:t>
      </w:r>
      <w:proofErr w:type="spellEnd"/>
      <w:r w:rsidR="00A932BF" w:rsidRPr="003331EF">
        <w:rPr>
          <w:iCs/>
          <w:spacing w:val="-5"/>
          <w:lang w:eastAsia="en-US"/>
        </w:rPr>
        <w:t xml:space="preserve"> seotud suutlikkuse, mida on vaja selliste võrgu- ja infosüsteemide turvalisuse käsitlemiseks, mida finantssektori ettevõtja kasutab ning mis toetavad finantsteenuste jätkuvat osutamist ja nende kvaliteeti, sealhulgas katkestuste vältel.</w:t>
      </w:r>
    </w:p>
    <w:p w14:paraId="33E828AE" w14:textId="77777777" w:rsidR="001230AA" w:rsidRPr="003331EF" w:rsidRDefault="001230AA" w:rsidP="003331EF">
      <w:pPr>
        <w:shd w:val="clear" w:color="auto" w:fill="FFFFFF"/>
        <w:spacing w:before="0"/>
      </w:pPr>
    </w:p>
    <w:p w14:paraId="01541C55" w14:textId="320A015F" w:rsidR="001A4507" w:rsidRPr="003331EF" w:rsidRDefault="001230AA" w:rsidP="003331EF">
      <w:pPr>
        <w:shd w:val="clear" w:color="auto" w:fill="FFFFFF"/>
        <w:spacing w:before="0"/>
        <w:rPr>
          <w:iCs/>
          <w:spacing w:val="-5"/>
          <w:lang w:eastAsia="en-US"/>
        </w:rPr>
      </w:pPr>
      <w:r w:rsidRPr="003331EF">
        <w:rPr>
          <w:iCs/>
          <w:spacing w:val="-5"/>
          <w:lang w:eastAsia="en-US"/>
        </w:rPr>
        <w:t xml:space="preserve">Olgu </w:t>
      </w:r>
      <w:r w:rsidR="00FB6743" w:rsidRPr="003331EF">
        <w:rPr>
          <w:iCs/>
          <w:spacing w:val="-5"/>
          <w:lang w:eastAsia="en-US"/>
        </w:rPr>
        <w:t xml:space="preserve">selguse huvides </w:t>
      </w:r>
      <w:r w:rsidRPr="003331EF">
        <w:rPr>
          <w:iCs/>
          <w:spacing w:val="-5"/>
          <w:lang w:eastAsia="en-US"/>
        </w:rPr>
        <w:t xml:space="preserve">välja toodud, et e-raha </w:t>
      </w:r>
      <w:proofErr w:type="spellStart"/>
      <w:r w:rsidRPr="003331EF">
        <w:rPr>
          <w:iCs/>
          <w:spacing w:val="-5"/>
          <w:lang w:eastAsia="en-US"/>
        </w:rPr>
        <w:t>tokeni</w:t>
      </w:r>
      <w:proofErr w:type="spellEnd"/>
      <w:r w:rsidRPr="003331EF">
        <w:rPr>
          <w:iCs/>
          <w:spacing w:val="-5"/>
          <w:lang w:eastAsia="en-US"/>
        </w:rPr>
        <w:t xml:space="preserve"> emitendid kuuluvad samuti DORA määruse kohaldamise alla, kuid kuna e-raha </w:t>
      </w:r>
      <w:proofErr w:type="spellStart"/>
      <w:r w:rsidRPr="003331EF">
        <w:rPr>
          <w:iCs/>
          <w:spacing w:val="-5"/>
          <w:lang w:eastAsia="en-US"/>
        </w:rPr>
        <w:t>tokeni</w:t>
      </w:r>
      <w:proofErr w:type="spellEnd"/>
      <w:r w:rsidRPr="003331EF">
        <w:rPr>
          <w:iCs/>
          <w:spacing w:val="-5"/>
          <w:lang w:eastAsia="en-US"/>
        </w:rPr>
        <w:t xml:space="preserve"> emitent saab olla ainult kas krediidiasutus või e-raha asutus, siis nad on DORA määruse kohustusega hõlmatud selle kaudu, et määrus kohaldub ka krediidiasutustele ja e-raha asutustele. </w:t>
      </w:r>
    </w:p>
    <w:p w14:paraId="12CF92C4" w14:textId="77777777" w:rsidR="001A4507" w:rsidRPr="003331EF" w:rsidRDefault="001A4507" w:rsidP="003331EF">
      <w:pPr>
        <w:shd w:val="clear" w:color="auto" w:fill="FFFFFF"/>
        <w:spacing w:before="0"/>
        <w:rPr>
          <w:b/>
          <w:bCs/>
        </w:rPr>
      </w:pPr>
    </w:p>
    <w:p w14:paraId="403E3149" w14:textId="77777777" w:rsidR="001A4507" w:rsidRPr="003331EF" w:rsidRDefault="001A4507" w:rsidP="003331EF">
      <w:pPr>
        <w:spacing w:before="0"/>
        <w:rPr>
          <w:iCs/>
          <w:spacing w:val="-5"/>
          <w:lang w:eastAsia="en-US"/>
        </w:rPr>
      </w:pPr>
      <w:r w:rsidRPr="003331EF">
        <w:rPr>
          <w:b/>
          <w:bCs/>
        </w:rPr>
        <w:t>Lõike 2</w:t>
      </w:r>
      <w:r w:rsidRPr="003331EF">
        <w:t xml:space="preserve"> </w:t>
      </w:r>
      <w:r w:rsidRPr="003331EF">
        <w:rPr>
          <w:iCs/>
          <w:spacing w:val="-5"/>
          <w:lang w:eastAsia="en-US"/>
        </w:rPr>
        <w:t xml:space="preserve">kohaselt peab </w:t>
      </w:r>
      <w:proofErr w:type="spellStart"/>
      <w:r w:rsidRPr="003331EF">
        <w:rPr>
          <w:iCs/>
          <w:spacing w:val="-5"/>
          <w:lang w:eastAsia="en-US"/>
        </w:rPr>
        <w:t>krüptovarateenuse</w:t>
      </w:r>
      <w:proofErr w:type="spellEnd"/>
      <w:r w:rsidRPr="003331EF">
        <w:rPr>
          <w:iCs/>
          <w:spacing w:val="-5"/>
          <w:lang w:eastAsia="en-US"/>
        </w:rPr>
        <w:t xml:space="preserve"> osutaja või varapõhise </w:t>
      </w:r>
      <w:proofErr w:type="spellStart"/>
      <w:r w:rsidRPr="003331EF">
        <w:rPr>
          <w:iCs/>
          <w:spacing w:val="-5"/>
          <w:lang w:eastAsia="en-US"/>
        </w:rPr>
        <w:t>tokeni</w:t>
      </w:r>
      <w:proofErr w:type="spellEnd"/>
      <w:r w:rsidRPr="003331EF">
        <w:rPr>
          <w:iCs/>
          <w:spacing w:val="-5"/>
          <w:lang w:eastAsia="en-US"/>
        </w:rPr>
        <w:t xml:space="preserve"> emitent teavitama Finantsinspektsiooni ja Riigi Infosüsteemide Ametit tõsistest IKT-</w:t>
      </w:r>
      <w:proofErr w:type="spellStart"/>
      <w:r w:rsidRPr="003331EF">
        <w:rPr>
          <w:iCs/>
          <w:spacing w:val="-5"/>
          <w:lang w:eastAsia="en-US"/>
        </w:rPr>
        <w:t>ga</w:t>
      </w:r>
      <w:proofErr w:type="spellEnd"/>
      <w:r w:rsidRPr="003331EF">
        <w:rPr>
          <w:iCs/>
          <w:spacing w:val="-5"/>
          <w:lang w:eastAsia="en-US"/>
        </w:rPr>
        <w:t xml:space="preserve"> seotud intsidentidest, sealjuures tuleb kasutada samu teavitusvorme (</w:t>
      </w:r>
      <w:r w:rsidRPr="003331EF">
        <w:rPr>
          <w:b/>
          <w:bCs/>
          <w:iCs/>
          <w:spacing w:val="-5"/>
          <w:lang w:eastAsia="en-US"/>
        </w:rPr>
        <w:t>lõige 3</w:t>
      </w:r>
      <w:r w:rsidRPr="003331EF">
        <w:rPr>
          <w:iCs/>
          <w:spacing w:val="-5"/>
          <w:lang w:eastAsia="en-US"/>
        </w:rPr>
        <w:t>). Eesmärk on vältida teabe esitamise dubleerimist.</w:t>
      </w:r>
    </w:p>
    <w:p w14:paraId="6D530765" w14:textId="77777777" w:rsidR="003F18D6" w:rsidRPr="003331EF" w:rsidRDefault="003F18D6" w:rsidP="003331EF">
      <w:pPr>
        <w:spacing w:before="0"/>
        <w:rPr>
          <w:iCs/>
          <w:spacing w:val="-5"/>
          <w:lang w:eastAsia="en-US"/>
        </w:rPr>
      </w:pPr>
    </w:p>
    <w:p w14:paraId="2AD2752B" w14:textId="796635C9" w:rsidR="003F18D6" w:rsidRPr="00A4579B" w:rsidRDefault="003F18D6" w:rsidP="003331EF">
      <w:pPr>
        <w:pStyle w:val="oj-normal"/>
        <w:spacing w:before="0" w:beforeAutospacing="0" w:after="0" w:afterAutospacing="0" w:line="312" w:lineRule="atLeast"/>
        <w:jc w:val="both"/>
        <w:rPr>
          <w:iCs/>
          <w:spacing w:val="-5"/>
          <w:lang w:val="et-EE" w:eastAsia="en-US"/>
        </w:rPr>
      </w:pPr>
      <w:r w:rsidRPr="00A4579B">
        <w:rPr>
          <w:iCs/>
          <w:spacing w:val="-5"/>
          <w:lang w:val="et-EE" w:eastAsia="en-US"/>
        </w:rPr>
        <w:t>DORA määruse artikli 3 punkti 10 kohaselt on tõsine IKT intsident IKT intsident, millel on suur negatiivne mõju võrgu- ja infosüsteemidele, mis toetavad finantssektori ettevõtja kriitilise tähtsusega või olulisi funktsioone. IKT intsident on defineeritud sama artikli punktis 8 ning see on finantssektori ettevõtja poolt planeerimata üksiksündmus või omavahel seotud sündmuste jada, mis seab ohtu võrgu- ja infosüsteemide turvalisuse ning mis avaldab negatiivset mõju andmete kättesaadavusele, autentsusele, terviklusele või konfidentsiaalsusele või finantssektori ettevõtja osutatavatele teenustele.</w:t>
      </w:r>
    </w:p>
    <w:p w14:paraId="2651633D" w14:textId="1F5ADE74" w:rsidR="003F18D6" w:rsidRPr="003331EF" w:rsidRDefault="003F18D6" w:rsidP="003331EF">
      <w:pPr>
        <w:spacing w:before="0"/>
        <w:rPr>
          <w:iCs/>
          <w:spacing w:val="-5"/>
          <w:lang w:eastAsia="en-US"/>
        </w:rPr>
      </w:pPr>
    </w:p>
    <w:p w14:paraId="64F4839B" w14:textId="77777777" w:rsidR="001A4507" w:rsidRPr="003331EF" w:rsidRDefault="001A4507" w:rsidP="003331EF">
      <w:pPr>
        <w:pStyle w:val="oj-normal"/>
        <w:shd w:val="clear" w:color="auto" w:fill="FFFFFF"/>
        <w:spacing w:before="0" w:beforeAutospacing="0" w:after="0" w:afterAutospacing="0"/>
        <w:jc w:val="both"/>
        <w:rPr>
          <w:lang w:val="et-EE"/>
        </w:rPr>
      </w:pPr>
      <w:r w:rsidRPr="003331EF">
        <w:rPr>
          <w:iCs/>
          <w:spacing w:val="-5"/>
          <w:lang w:val="et-EE" w:eastAsia="en-US"/>
        </w:rPr>
        <w:t xml:space="preserve">Lisaks sätestab DORA määruse art 19 lõige 2, et finantsasutused võivad vabatahtlikult teatada asjaomasele pädevale asutusele olulistest küberohtudest, kui nad peavad ohtu finantssüsteemi, teenusekasutajate või klientide jaoks oluliseks, sealjuures võivad liikmesriigid otsustada, et need finantsasutused, kes teatavad vabatahtlikult esimese lõigu kohaselt, võivad kõnealuse teate edastada ka direktiivi (EL) 2022/2555 kohaselt määratud või loodud </w:t>
      </w:r>
      <w:proofErr w:type="spellStart"/>
      <w:r w:rsidRPr="003331EF">
        <w:rPr>
          <w:iCs/>
          <w:spacing w:val="-5"/>
          <w:lang w:val="et-EE" w:eastAsia="en-US"/>
        </w:rPr>
        <w:t>küberturbe</w:t>
      </w:r>
      <w:proofErr w:type="spellEnd"/>
      <w:r w:rsidRPr="003331EF">
        <w:rPr>
          <w:iCs/>
          <w:spacing w:val="-5"/>
          <w:lang w:val="et-EE" w:eastAsia="en-US"/>
        </w:rPr>
        <w:t xml:space="preserve"> intsidentide lahendamise üksustele</w:t>
      </w:r>
      <w:r w:rsidRPr="003331EF">
        <w:rPr>
          <w:lang w:val="et-EE" w:eastAsia="en-US"/>
        </w:rPr>
        <w:t xml:space="preserve"> (</w:t>
      </w:r>
      <w:r w:rsidRPr="003331EF">
        <w:rPr>
          <w:b/>
          <w:bCs/>
          <w:lang w:val="et-EE" w:eastAsia="en-US"/>
        </w:rPr>
        <w:t>lõige 4</w:t>
      </w:r>
      <w:r w:rsidRPr="003331EF">
        <w:rPr>
          <w:lang w:val="et-EE" w:eastAsia="en-US"/>
        </w:rPr>
        <w:t>).</w:t>
      </w:r>
    </w:p>
    <w:p w14:paraId="7D888A65" w14:textId="77777777" w:rsidR="000B318D" w:rsidRPr="003331EF" w:rsidRDefault="000B318D" w:rsidP="003331EF">
      <w:pPr>
        <w:spacing w:before="0"/>
        <w:rPr>
          <w:b/>
        </w:rPr>
      </w:pPr>
    </w:p>
    <w:p w14:paraId="5A86BA33" w14:textId="15E86D9A" w:rsidR="001A4507" w:rsidRPr="003331EF" w:rsidRDefault="001A4507" w:rsidP="003331EF">
      <w:pPr>
        <w:spacing w:before="0"/>
        <w:rPr>
          <w:b/>
          <w:bCs/>
        </w:rPr>
      </w:pPr>
      <w:r w:rsidRPr="003331EF">
        <w:rPr>
          <w:b/>
          <w:bCs/>
        </w:rPr>
        <w:t xml:space="preserve">3. peatükk. </w:t>
      </w:r>
      <w:proofErr w:type="spellStart"/>
      <w:r w:rsidR="00765022" w:rsidRPr="003331EF">
        <w:rPr>
          <w:b/>
          <w:bCs/>
        </w:rPr>
        <w:t>Krüptovaraturu</w:t>
      </w:r>
      <w:proofErr w:type="spellEnd"/>
      <w:r w:rsidR="00765022" w:rsidRPr="003331EF">
        <w:rPr>
          <w:b/>
          <w:bCs/>
        </w:rPr>
        <w:t xml:space="preserve"> osalise t</w:t>
      </w:r>
      <w:r w:rsidRPr="003331EF">
        <w:rPr>
          <w:b/>
          <w:bCs/>
        </w:rPr>
        <w:t>egevus kolmandas riigis</w:t>
      </w:r>
      <w:r w:rsidR="00DA56CD" w:rsidRPr="003331EF">
        <w:rPr>
          <w:b/>
          <w:bCs/>
        </w:rPr>
        <w:t xml:space="preserve"> ja lepinguriigi </w:t>
      </w:r>
      <w:proofErr w:type="spellStart"/>
      <w:r w:rsidR="00DA56CD" w:rsidRPr="003331EF">
        <w:rPr>
          <w:b/>
          <w:bCs/>
        </w:rPr>
        <w:t>krüptovaraturu</w:t>
      </w:r>
      <w:proofErr w:type="spellEnd"/>
      <w:r w:rsidR="00DA56CD" w:rsidRPr="003331EF">
        <w:rPr>
          <w:b/>
          <w:bCs/>
        </w:rPr>
        <w:t xml:space="preserve"> osalise tegevus Eestis</w:t>
      </w:r>
    </w:p>
    <w:p w14:paraId="7DA21F20" w14:textId="77777777" w:rsidR="001A4507" w:rsidRPr="003331EF" w:rsidRDefault="001A4507" w:rsidP="003331EF">
      <w:pPr>
        <w:spacing w:before="0"/>
        <w:rPr>
          <w:b/>
          <w:bCs/>
          <w:i/>
          <w:iCs/>
        </w:rPr>
      </w:pPr>
    </w:p>
    <w:p w14:paraId="0336EF18" w14:textId="5F66A205" w:rsidR="00154D45" w:rsidRPr="003331EF" w:rsidRDefault="00154D45" w:rsidP="003331EF">
      <w:pPr>
        <w:spacing w:before="0"/>
        <w:rPr>
          <w:b/>
          <w:bCs/>
        </w:rPr>
      </w:pPr>
      <w:r w:rsidRPr="003331EF">
        <w:rPr>
          <w:b/>
          <w:bCs/>
        </w:rPr>
        <w:t xml:space="preserve">Paragrahv 10. </w:t>
      </w:r>
      <w:proofErr w:type="spellStart"/>
      <w:r w:rsidRPr="003331EF">
        <w:rPr>
          <w:b/>
        </w:rPr>
        <w:t>Krüptovaraturu</w:t>
      </w:r>
      <w:proofErr w:type="spellEnd"/>
      <w:r w:rsidRPr="003331EF">
        <w:rPr>
          <w:b/>
        </w:rPr>
        <w:t xml:space="preserve"> osalise kolmandas riigis</w:t>
      </w:r>
      <w:r w:rsidR="00AC160B" w:rsidRPr="003331EF">
        <w:rPr>
          <w:b/>
        </w:rPr>
        <w:t xml:space="preserve"> tegutsemise</w:t>
      </w:r>
      <w:r w:rsidR="00765022" w:rsidRPr="003331EF">
        <w:rPr>
          <w:b/>
        </w:rPr>
        <w:t xml:space="preserve"> luba</w:t>
      </w:r>
      <w:r w:rsidR="00AC160B" w:rsidRPr="003331EF">
        <w:rPr>
          <w:b/>
        </w:rPr>
        <w:t xml:space="preserve"> ja </w:t>
      </w:r>
      <w:r w:rsidR="00765022" w:rsidRPr="003331EF">
        <w:rPr>
          <w:b/>
        </w:rPr>
        <w:t>nõuded</w:t>
      </w:r>
    </w:p>
    <w:p w14:paraId="4DF3E844" w14:textId="77777777" w:rsidR="00154D45" w:rsidRPr="003331EF" w:rsidRDefault="00154D45" w:rsidP="003331EF">
      <w:pPr>
        <w:spacing w:before="0"/>
        <w:rPr>
          <w:b/>
          <w:bCs/>
        </w:rPr>
      </w:pPr>
    </w:p>
    <w:p w14:paraId="3A129725" w14:textId="0444E255" w:rsidR="005E654B" w:rsidRPr="003331EF" w:rsidRDefault="001A4507" w:rsidP="003331EF">
      <w:pPr>
        <w:spacing w:before="0"/>
        <w:rPr>
          <w:iCs/>
          <w:spacing w:val="-5"/>
          <w:lang w:eastAsia="en-US"/>
        </w:rPr>
      </w:pPr>
      <w:r w:rsidRPr="003331EF">
        <w:rPr>
          <w:b/>
          <w:bCs/>
        </w:rPr>
        <w:t xml:space="preserve">Paragrahvis </w:t>
      </w:r>
      <w:r w:rsidR="00154D45" w:rsidRPr="003331EF">
        <w:rPr>
          <w:b/>
          <w:bCs/>
        </w:rPr>
        <w:t>10</w:t>
      </w:r>
      <w:r w:rsidRPr="003331EF">
        <w:rPr>
          <w:b/>
          <w:bCs/>
        </w:rPr>
        <w:t xml:space="preserve"> </w:t>
      </w:r>
      <w:r w:rsidRPr="003331EF">
        <w:rPr>
          <w:iCs/>
          <w:spacing w:val="-5"/>
          <w:lang w:eastAsia="en-US"/>
        </w:rPr>
        <w:t>on sätestatud, millis</w:t>
      </w:r>
      <w:r w:rsidR="0033154B" w:rsidRPr="003331EF">
        <w:rPr>
          <w:iCs/>
          <w:spacing w:val="-5"/>
          <w:lang w:eastAsia="en-US"/>
        </w:rPr>
        <w:t>tel tingimustel</w:t>
      </w:r>
      <w:r w:rsidRPr="003331EF">
        <w:rPr>
          <w:iCs/>
          <w:spacing w:val="-5"/>
          <w:lang w:eastAsia="en-US"/>
        </w:rPr>
        <w:t xml:space="preserve"> võib kolmandas riigis </w:t>
      </w:r>
      <w:proofErr w:type="spellStart"/>
      <w:r w:rsidRPr="003331EF">
        <w:rPr>
          <w:iCs/>
          <w:spacing w:val="-5"/>
          <w:lang w:eastAsia="en-US"/>
        </w:rPr>
        <w:t>krüptovarateenust</w:t>
      </w:r>
      <w:proofErr w:type="spellEnd"/>
      <w:r w:rsidRPr="003331EF">
        <w:rPr>
          <w:iCs/>
          <w:spacing w:val="-5"/>
          <w:lang w:eastAsia="en-US"/>
        </w:rPr>
        <w:t xml:space="preserve"> osutada või </w:t>
      </w:r>
      <w:proofErr w:type="spellStart"/>
      <w:r w:rsidRPr="003331EF">
        <w:rPr>
          <w:iCs/>
          <w:spacing w:val="-5"/>
          <w:lang w:eastAsia="en-US"/>
        </w:rPr>
        <w:t>krüptovara</w:t>
      </w:r>
      <w:proofErr w:type="spellEnd"/>
      <w:r w:rsidRPr="003331EF">
        <w:rPr>
          <w:iCs/>
          <w:spacing w:val="-5"/>
          <w:lang w:eastAsia="en-US"/>
        </w:rPr>
        <w:t xml:space="preserve"> pakkuda või </w:t>
      </w:r>
      <w:proofErr w:type="spellStart"/>
      <w:r w:rsidRPr="003331EF">
        <w:rPr>
          <w:iCs/>
          <w:spacing w:val="-5"/>
          <w:lang w:eastAsia="en-US"/>
        </w:rPr>
        <w:t>krüptovara</w:t>
      </w:r>
      <w:proofErr w:type="spellEnd"/>
      <w:r w:rsidRPr="003331EF">
        <w:rPr>
          <w:iCs/>
          <w:spacing w:val="-5"/>
          <w:lang w:eastAsia="en-US"/>
        </w:rPr>
        <w:t xml:space="preserve"> kauplemisele võtmist taotleda.</w:t>
      </w:r>
      <w:r w:rsidR="005E654B" w:rsidRPr="003331EF">
        <w:rPr>
          <w:iCs/>
          <w:spacing w:val="-5"/>
          <w:lang w:eastAsia="en-US"/>
        </w:rPr>
        <w:t xml:space="preserve"> </w:t>
      </w:r>
    </w:p>
    <w:p w14:paraId="246C3FFD" w14:textId="77777777" w:rsidR="005E654B" w:rsidRPr="003331EF" w:rsidRDefault="005E654B" w:rsidP="003331EF">
      <w:pPr>
        <w:spacing w:before="0"/>
        <w:rPr>
          <w:iCs/>
          <w:spacing w:val="-5"/>
          <w:lang w:eastAsia="en-US"/>
        </w:rPr>
      </w:pPr>
    </w:p>
    <w:p w14:paraId="4F911558" w14:textId="5DD32257" w:rsidR="001A4507" w:rsidRPr="003331EF" w:rsidRDefault="001A4507" w:rsidP="003331EF">
      <w:pPr>
        <w:spacing w:before="0"/>
        <w:rPr>
          <w:i/>
          <w:iCs/>
        </w:rPr>
      </w:pPr>
      <w:r w:rsidRPr="003331EF">
        <w:rPr>
          <w:iCs/>
          <w:spacing w:val="-5"/>
          <w:lang w:eastAsia="en-US"/>
        </w:rPr>
        <w:lastRenderedPageBreak/>
        <w:t>Piiriülest teenuse osutamist käesoleva paragrahvi kontekstis tuleb mõista kui igasugust aktiivset toote pakkumist või teenuse osutamist kolmandas riigis. Nimetatud aktiivne teenuse osutamine võib seisneda näiteks teenuse osutamises kolmandas riigis asuva kontori või personali kaudu, muukeelse teabe pidevat avalikustamist, millega turu</w:t>
      </w:r>
      <w:r w:rsidR="00BA017C" w:rsidRPr="003331EF">
        <w:rPr>
          <w:iCs/>
          <w:spacing w:val="-5"/>
          <w:lang w:eastAsia="en-US"/>
        </w:rPr>
        <w:t>sta</w:t>
      </w:r>
      <w:r w:rsidRPr="003331EF">
        <w:rPr>
          <w:iCs/>
          <w:spacing w:val="-5"/>
          <w:lang w:eastAsia="en-US"/>
        </w:rPr>
        <w:t xml:space="preserve">takse teenust aktiivselt välisriigi kodanikele, jne. Personali asumist kolmandas </w:t>
      </w:r>
      <w:r w:rsidR="007E382C" w:rsidRPr="003331EF">
        <w:rPr>
          <w:iCs/>
          <w:spacing w:val="-5"/>
          <w:lang w:eastAsia="en-US"/>
        </w:rPr>
        <w:t xml:space="preserve">riigis </w:t>
      </w:r>
      <w:r w:rsidRPr="003331EF">
        <w:rPr>
          <w:iCs/>
          <w:spacing w:val="-5"/>
          <w:lang w:eastAsia="en-US"/>
        </w:rPr>
        <w:t>ei tuleks automaatselt pidada teenuse kolmandas riigis osutamiseks, kui selline tegevus toetab teenuse pakkuja tegevust Eestis ning selline tegevus iseeneses ei ole suunatud teenuse turustamisele.</w:t>
      </w:r>
      <w:r w:rsidRPr="003331EF">
        <w:rPr>
          <w:i/>
          <w:iCs/>
        </w:rPr>
        <w:t xml:space="preserve"> </w:t>
      </w:r>
    </w:p>
    <w:p w14:paraId="5CD58DA6" w14:textId="77777777" w:rsidR="00E93F63" w:rsidRPr="003331EF" w:rsidRDefault="00E93F63" w:rsidP="003331EF">
      <w:pPr>
        <w:spacing w:before="0"/>
        <w:rPr>
          <w:iCs/>
          <w:spacing w:val="-5"/>
          <w:lang w:eastAsia="en-US"/>
        </w:rPr>
      </w:pPr>
    </w:p>
    <w:p w14:paraId="53949F2E" w14:textId="7513256B" w:rsidR="00E93F63" w:rsidRPr="003331EF" w:rsidRDefault="00E93F63" w:rsidP="003331EF">
      <w:pPr>
        <w:spacing w:before="0"/>
        <w:rPr>
          <w:iCs/>
          <w:spacing w:val="-5"/>
          <w:lang w:eastAsia="en-US"/>
        </w:rPr>
      </w:pPr>
      <w:r w:rsidRPr="003331EF">
        <w:rPr>
          <w:iCs/>
          <w:spacing w:val="-5"/>
          <w:lang w:eastAsia="en-US"/>
        </w:rPr>
        <w:t>Käesolevat paragrahvi ei kohaldata krediidiasutustele ja muudele finantssektori ettevõtjatele, kelle suhtes kohalduvad valdkonda reguleerivates seadustes ette nähtud kolmandas riigis filiaali asutamise ja piiriülese teenuseosutamise sätted.</w:t>
      </w:r>
    </w:p>
    <w:p w14:paraId="492DB828" w14:textId="77777777" w:rsidR="007D3D03" w:rsidRPr="003331EF" w:rsidRDefault="007D3D03" w:rsidP="003331EF">
      <w:pPr>
        <w:spacing w:before="0"/>
        <w:rPr>
          <w:iCs/>
          <w:spacing w:val="-5"/>
          <w:lang w:eastAsia="en-US"/>
        </w:rPr>
      </w:pPr>
    </w:p>
    <w:p w14:paraId="0BECC197" w14:textId="14F0D4F6" w:rsidR="001A4507" w:rsidRPr="003331EF" w:rsidRDefault="00154D45" w:rsidP="003331EF">
      <w:pPr>
        <w:spacing w:before="0"/>
        <w:rPr>
          <w:iCs/>
          <w:spacing w:val="-5"/>
          <w:lang w:eastAsia="en-US"/>
        </w:rPr>
      </w:pPr>
      <w:r w:rsidRPr="003331EF">
        <w:rPr>
          <w:iCs/>
          <w:spacing w:val="-5"/>
          <w:lang w:eastAsia="en-US"/>
        </w:rPr>
        <w:t xml:space="preserve">Kuna </w:t>
      </w:r>
      <w:proofErr w:type="spellStart"/>
      <w:r w:rsidRPr="003331EF">
        <w:rPr>
          <w:iCs/>
          <w:spacing w:val="-5"/>
          <w:lang w:eastAsia="en-US"/>
        </w:rPr>
        <w:t>krüptovarateenuse</w:t>
      </w:r>
      <w:proofErr w:type="spellEnd"/>
      <w:r w:rsidRPr="003331EF">
        <w:rPr>
          <w:iCs/>
          <w:spacing w:val="-5"/>
          <w:lang w:eastAsia="en-US"/>
        </w:rPr>
        <w:t xml:space="preserve"> puhul tuleks võtta arvesse teenuse uudsust ning vähest reguleeritust kogu maailmas, mistõttu kaasneb kolmandas riigis tegutsemisega rohkem riske võrreldes traditsiooniliste finantsteenustega, nähakse seaduses ette loakord kolmandas riigis tegutsemiseks. </w:t>
      </w:r>
      <w:r w:rsidR="0033154B" w:rsidRPr="003331EF">
        <w:rPr>
          <w:iCs/>
          <w:spacing w:val="-5"/>
          <w:lang w:eastAsia="en-US"/>
        </w:rPr>
        <w:t>Eelkõige kätkeb k</w:t>
      </w:r>
      <w:r w:rsidRPr="003331EF">
        <w:rPr>
          <w:iCs/>
          <w:spacing w:val="-5"/>
          <w:lang w:eastAsia="en-US"/>
        </w:rPr>
        <w:t xml:space="preserve">olmandas riigis tegutsemine suuremat riski nii klientide kaitsele, organisatsiooni ülesehitusele, kapitalile, rahapesu ja terrorismi rahastamise tõkestamisele, talitluspidevusele, andmekaitsele jmt. Seetõttu on oluline, et </w:t>
      </w:r>
      <w:proofErr w:type="spellStart"/>
      <w:r w:rsidRPr="003331EF">
        <w:rPr>
          <w:iCs/>
          <w:spacing w:val="-5"/>
          <w:lang w:eastAsia="en-US"/>
        </w:rPr>
        <w:t>krüptovaraturu</w:t>
      </w:r>
      <w:proofErr w:type="spellEnd"/>
      <w:r w:rsidRPr="003331EF">
        <w:rPr>
          <w:iCs/>
          <w:spacing w:val="-5"/>
          <w:lang w:eastAsia="en-US"/>
        </w:rPr>
        <w:t xml:space="preserve"> osaline oleks hinnanud sihtriigi õiguslikku regulatsiooni, oma organisatsiooni valmisolekut ja kõiki asjakohaseid riske, mida kolmandas riigis tegutsemine võib talle kaasa tuua. Sellest tulenevalt on antud Finantsinspektsioonile selgem pädevus otsustamaks, kas lubada </w:t>
      </w:r>
      <w:proofErr w:type="spellStart"/>
      <w:r w:rsidRPr="003331EF">
        <w:rPr>
          <w:iCs/>
          <w:spacing w:val="-5"/>
          <w:lang w:eastAsia="en-US"/>
        </w:rPr>
        <w:t>krüptovaraturu</w:t>
      </w:r>
      <w:proofErr w:type="spellEnd"/>
      <w:r w:rsidRPr="003331EF">
        <w:rPr>
          <w:iCs/>
          <w:spacing w:val="-5"/>
          <w:lang w:eastAsia="en-US"/>
        </w:rPr>
        <w:t xml:space="preserve"> osalisel kolmandas riigis tegutseda või mitte. </w:t>
      </w:r>
    </w:p>
    <w:p w14:paraId="64955230" w14:textId="77777777" w:rsidR="007D3D03" w:rsidRPr="003331EF" w:rsidRDefault="007D3D03" w:rsidP="003331EF">
      <w:pPr>
        <w:pStyle w:val="Normal2"/>
        <w:rPr>
          <w:i/>
          <w:iCs/>
          <w:sz w:val="24"/>
        </w:rPr>
      </w:pPr>
    </w:p>
    <w:p w14:paraId="2364A3FB" w14:textId="7E815EA4" w:rsidR="00BF0828" w:rsidRPr="003331EF" w:rsidRDefault="001A4507" w:rsidP="003331EF">
      <w:pPr>
        <w:pStyle w:val="Normal2"/>
        <w:rPr>
          <w:sz w:val="24"/>
        </w:rPr>
      </w:pPr>
      <w:r w:rsidRPr="003331EF">
        <w:rPr>
          <w:b/>
          <w:sz w:val="24"/>
        </w:rPr>
        <w:t xml:space="preserve">Lõike 1 </w:t>
      </w:r>
      <w:r w:rsidRPr="003331EF">
        <w:rPr>
          <w:rFonts w:eastAsia="Times New Roman"/>
          <w:bCs w:val="0"/>
          <w:iCs/>
          <w:spacing w:val="-5"/>
          <w:sz w:val="24"/>
          <w:lang w:eastAsia="en-US"/>
        </w:rPr>
        <w:t xml:space="preserve">kohaselt tuleb </w:t>
      </w:r>
      <w:r w:rsidR="007D3D03" w:rsidRPr="003331EF">
        <w:rPr>
          <w:rFonts w:eastAsia="Times New Roman"/>
          <w:bCs w:val="0"/>
          <w:iCs/>
          <w:spacing w:val="-5"/>
          <w:sz w:val="24"/>
          <w:lang w:eastAsia="en-US"/>
        </w:rPr>
        <w:t>taotleda Finantsinspektsioonilt luba</w:t>
      </w:r>
      <w:r w:rsidRPr="003331EF">
        <w:rPr>
          <w:rFonts w:eastAsia="Times New Roman"/>
          <w:bCs w:val="0"/>
          <w:iCs/>
          <w:spacing w:val="-5"/>
          <w:sz w:val="24"/>
          <w:lang w:eastAsia="en-US"/>
        </w:rPr>
        <w:t>, kui Eesti</w:t>
      </w:r>
      <w:r w:rsidR="007D3D03" w:rsidRPr="003331EF">
        <w:rPr>
          <w:rFonts w:eastAsia="Times New Roman"/>
          <w:bCs w:val="0"/>
          <w:iCs/>
          <w:spacing w:val="-5"/>
          <w:sz w:val="24"/>
          <w:lang w:eastAsia="en-US"/>
        </w:rPr>
        <w:t xml:space="preserve"> </w:t>
      </w:r>
      <w:proofErr w:type="spellStart"/>
      <w:r w:rsidR="007D3D03" w:rsidRPr="003331EF">
        <w:rPr>
          <w:rFonts w:eastAsia="Times New Roman"/>
          <w:bCs w:val="0"/>
          <w:iCs/>
          <w:spacing w:val="-5"/>
          <w:sz w:val="24"/>
          <w:lang w:eastAsia="en-US"/>
        </w:rPr>
        <w:t>krüptovaraturu</w:t>
      </w:r>
      <w:proofErr w:type="spellEnd"/>
      <w:r w:rsidR="007D3D03" w:rsidRPr="003331EF">
        <w:rPr>
          <w:rFonts w:eastAsia="Times New Roman"/>
          <w:bCs w:val="0"/>
          <w:iCs/>
          <w:spacing w:val="-5"/>
          <w:sz w:val="24"/>
          <w:lang w:eastAsia="en-US"/>
        </w:rPr>
        <w:t xml:space="preserve"> osaline </w:t>
      </w:r>
      <w:r w:rsidRPr="003331EF">
        <w:rPr>
          <w:rFonts w:eastAsia="Times New Roman"/>
          <w:bCs w:val="0"/>
          <w:iCs/>
          <w:spacing w:val="-5"/>
          <w:sz w:val="24"/>
          <w:lang w:eastAsia="en-US"/>
        </w:rPr>
        <w:t xml:space="preserve">soovib tegutseda kolmandas riigis, sealhulgas registreerida </w:t>
      </w:r>
      <w:r w:rsidR="00BF0828" w:rsidRPr="003331EF">
        <w:rPr>
          <w:rFonts w:eastAsia="Times New Roman"/>
          <w:bCs w:val="0"/>
          <w:iCs/>
          <w:spacing w:val="-5"/>
          <w:sz w:val="24"/>
          <w:lang w:eastAsia="en-US"/>
        </w:rPr>
        <w:t xml:space="preserve">seal </w:t>
      </w:r>
      <w:r w:rsidRPr="003331EF">
        <w:rPr>
          <w:rFonts w:eastAsia="Times New Roman"/>
          <w:bCs w:val="0"/>
          <w:iCs/>
          <w:spacing w:val="-5"/>
          <w:sz w:val="24"/>
          <w:lang w:eastAsia="en-US"/>
        </w:rPr>
        <w:t xml:space="preserve">filiaali või osutada  piiriülest teenus või pakkuda seal </w:t>
      </w:r>
      <w:proofErr w:type="spellStart"/>
      <w:r w:rsidRPr="003331EF">
        <w:rPr>
          <w:rFonts w:eastAsia="Times New Roman"/>
          <w:bCs w:val="0"/>
          <w:iCs/>
          <w:spacing w:val="-5"/>
          <w:sz w:val="24"/>
          <w:lang w:eastAsia="en-US"/>
        </w:rPr>
        <w:t>krüptovara</w:t>
      </w:r>
      <w:proofErr w:type="spellEnd"/>
      <w:r w:rsidRPr="003331EF">
        <w:rPr>
          <w:rFonts w:eastAsia="Times New Roman"/>
          <w:bCs w:val="0"/>
          <w:iCs/>
          <w:spacing w:val="-5"/>
          <w:sz w:val="24"/>
          <w:lang w:eastAsia="en-US"/>
        </w:rPr>
        <w:t xml:space="preserve"> või taotleda </w:t>
      </w:r>
      <w:proofErr w:type="spellStart"/>
      <w:r w:rsidRPr="003331EF">
        <w:rPr>
          <w:rFonts w:eastAsia="Times New Roman"/>
          <w:bCs w:val="0"/>
          <w:iCs/>
          <w:spacing w:val="-5"/>
          <w:sz w:val="24"/>
          <w:lang w:eastAsia="en-US"/>
        </w:rPr>
        <w:t>krüptovara</w:t>
      </w:r>
      <w:proofErr w:type="spellEnd"/>
      <w:r w:rsidRPr="003331EF">
        <w:rPr>
          <w:rFonts w:eastAsia="Times New Roman"/>
          <w:bCs w:val="0"/>
          <w:iCs/>
          <w:spacing w:val="-5"/>
          <w:sz w:val="24"/>
          <w:lang w:eastAsia="en-US"/>
        </w:rPr>
        <w:t xml:space="preserve"> kauplemisele võtmist</w:t>
      </w:r>
      <w:r w:rsidR="007D3D03" w:rsidRPr="003331EF">
        <w:rPr>
          <w:rFonts w:eastAsia="Times New Roman"/>
          <w:bCs w:val="0"/>
          <w:iCs/>
          <w:spacing w:val="-5"/>
          <w:sz w:val="24"/>
          <w:lang w:eastAsia="en-US"/>
        </w:rPr>
        <w:t>.</w:t>
      </w:r>
      <w:r w:rsidR="00BF0828" w:rsidRPr="003331EF">
        <w:rPr>
          <w:rFonts w:eastAsia="Times New Roman"/>
          <w:bCs w:val="0"/>
          <w:iCs/>
          <w:spacing w:val="-5"/>
          <w:sz w:val="24"/>
          <w:lang w:eastAsia="en-US"/>
        </w:rPr>
        <w:t xml:space="preserve"> </w:t>
      </w:r>
      <w:r w:rsidR="00765022" w:rsidRPr="003331EF">
        <w:rPr>
          <w:rFonts w:eastAsia="Times New Roman"/>
          <w:bCs w:val="0"/>
          <w:iCs/>
          <w:spacing w:val="-5"/>
          <w:sz w:val="24"/>
          <w:lang w:eastAsia="en-US"/>
        </w:rPr>
        <w:t xml:space="preserve">Vastav õigus on isikul, kes on saanud </w:t>
      </w:r>
      <w:proofErr w:type="spellStart"/>
      <w:r w:rsidR="00765022" w:rsidRPr="003331EF">
        <w:rPr>
          <w:rFonts w:eastAsia="Times New Roman"/>
          <w:bCs w:val="0"/>
          <w:iCs/>
          <w:spacing w:val="-5"/>
          <w:sz w:val="24"/>
          <w:lang w:eastAsia="en-US"/>
        </w:rPr>
        <w:t>MiCA</w:t>
      </w:r>
      <w:proofErr w:type="spellEnd"/>
      <w:r w:rsidR="00765022" w:rsidRPr="003331EF">
        <w:rPr>
          <w:rFonts w:eastAsia="Times New Roman"/>
          <w:bCs w:val="0"/>
          <w:iCs/>
          <w:spacing w:val="-5"/>
          <w:sz w:val="24"/>
          <w:lang w:eastAsia="en-US"/>
        </w:rPr>
        <w:t xml:space="preserve"> määruse alusel </w:t>
      </w:r>
      <w:proofErr w:type="spellStart"/>
      <w:r w:rsidR="0050473E" w:rsidRPr="003331EF">
        <w:rPr>
          <w:rFonts w:eastAsia="Times New Roman"/>
          <w:bCs w:val="0"/>
          <w:iCs/>
          <w:spacing w:val="-5"/>
          <w:sz w:val="24"/>
          <w:lang w:eastAsia="en-US"/>
        </w:rPr>
        <w:t>krüptovarateenuse</w:t>
      </w:r>
      <w:proofErr w:type="spellEnd"/>
      <w:r w:rsidR="0050473E" w:rsidRPr="003331EF">
        <w:rPr>
          <w:rFonts w:eastAsia="Times New Roman"/>
          <w:bCs w:val="0"/>
          <w:iCs/>
          <w:spacing w:val="-5"/>
          <w:sz w:val="24"/>
          <w:lang w:eastAsia="en-US"/>
        </w:rPr>
        <w:t xml:space="preserve"> osutaja või varapõhise </w:t>
      </w:r>
      <w:proofErr w:type="spellStart"/>
      <w:r w:rsidR="0050473E" w:rsidRPr="003331EF">
        <w:rPr>
          <w:rFonts w:eastAsia="Times New Roman"/>
          <w:bCs w:val="0"/>
          <w:iCs/>
          <w:spacing w:val="-5"/>
          <w:sz w:val="24"/>
          <w:lang w:eastAsia="en-US"/>
        </w:rPr>
        <w:t>tokeni</w:t>
      </w:r>
      <w:proofErr w:type="spellEnd"/>
      <w:r w:rsidR="0050473E" w:rsidRPr="003331EF">
        <w:rPr>
          <w:rFonts w:eastAsia="Times New Roman"/>
          <w:bCs w:val="0"/>
          <w:iCs/>
          <w:spacing w:val="-5"/>
          <w:sz w:val="24"/>
          <w:lang w:eastAsia="en-US"/>
        </w:rPr>
        <w:t xml:space="preserve"> emitendi </w:t>
      </w:r>
      <w:r w:rsidR="00765022" w:rsidRPr="003331EF">
        <w:rPr>
          <w:rFonts w:eastAsia="Times New Roman"/>
          <w:bCs w:val="0"/>
          <w:iCs/>
          <w:spacing w:val="-5"/>
          <w:sz w:val="24"/>
          <w:lang w:eastAsia="en-US"/>
        </w:rPr>
        <w:t>tegevusloa</w:t>
      </w:r>
      <w:r w:rsidR="0050473E" w:rsidRPr="003331EF">
        <w:rPr>
          <w:rFonts w:eastAsia="Times New Roman"/>
          <w:bCs w:val="0"/>
          <w:iCs/>
          <w:spacing w:val="-5"/>
          <w:sz w:val="24"/>
          <w:lang w:eastAsia="en-US"/>
        </w:rPr>
        <w:t xml:space="preserve">. </w:t>
      </w:r>
    </w:p>
    <w:p w14:paraId="3D6421DA" w14:textId="77777777" w:rsidR="00BF0828" w:rsidRPr="003331EF" w:rsidRDefault="00BF0828" w:rsidP="003331EF">
      <w:pPr>
        <w:pStyle w:val="Normal2"/>
        <w:rPr>
          <w:sz w:val="24"/>
        </w:rPr>
      </w:pPr>
    </w:p>
    <w:p w14:paraId="14CB718F" w14:textId="6425E27D" w:rsidR="001A4507" w:rsidRPr="003331EF" w:rsidRDefault="00BF0828" w:rsidP="003331EF">
      <w:pPr>
        <w:pStyle w:val="Normal2"/>
        <w:rPr>
          <w:sz w:val="24"/>
        </w:rPr>
      </w:pPr>
      <w:r w:rsidRPr="003331EF">
        <w:rPr>
          <w:b/>
          <w:bCs w:val="0"/>
          <w:sz w:val="24"/>
        </w:rPr>
        <w:t>Lõige 2.</w:t>
      </w:r>
      <w:r w:rsidRPr="003331EF">
        <w:rPr>
          <w:sz w:val="24"/>
        </w:rPr>
        <w:t xml:space="preserve"> </w:t>
      </w:r>
      <w:r w:rsidRPr="003331EF">
        <w:rPr>
          <w:rFonts w:eastAsia="Times New Roman"/>
          <w:bCs w:val="0"/>
          <w:iCs/>
          <w:spacing w:val="-5"/>
          <w:sz w:val="24"/>
          <w:lang w:eastAsia="en-US"/>
        </w:rPr>
        <w:t xml:space="preserve">Loa taotlemiseks tuleb </w:t>
      </w:r>
      <w:r w:rsidR="001A4507" w:rsidRPr="003331EF">
        <w:rPr>
          <w:rFonts w:eastAsia="Times New Roman"/>
          <w:bCs w:val="0"/>
          <w:iCs/>
          <w:spacing w:val="-5"/>
          <w:sz w:val="24"/>
          <w:lang w:eastAsia="en-US"/>
        </w:rPr>
        <w:t xml:space="preserve">esitada Finantsinspektsioonile </w:t>
      </w:r>
      <w:r w:rsidR="00154D45" w:rsidRPr="003331EF">
        <w:rPr>
          <w:rFonts w:eastAsia="Times New Roman"/>
          <w:bCs w:val="0"/>
          <w:iCs/>
          <w:spacing w:val="-5"/>
          <w:sz w:val="24"/>
          <w:lang w:eastAsia="en-US"/>
        </w:rPr>
        <w:t xml:space="preserve">kirjalik taotlus ja lõikes 2 loetletud andmed ja dokumendid. </w:t>
      </w:r>
      <w:r w:rsidR="001A4507" w:rsidRPr="003331EF">
        <w:rPr>
          <w:rFonts w:eastAsia="Times New Roman"/>
          <w:bCs w:val="0"/>
          <w:iCs/>
          <w:spacing w:val="-5"/>
          <w:sz w:val="24"/>
          <w:lang w:eastAsia="en-US"/>
        </w:rPr>
        <w:t>Esitada tuleb:</w:t>
      </w:r>
    </w:p>
    <w:p w14:paraId="4667BD55" w14:textId="2D10D7B2" w:rsidR="00AD2DE1" w:rsidRPr="003331EF" w:rsidRDefault="001A4507" w:rsidP="003331EF">
      <w:pPr>
        <w:pStyle w:val="Normal2"/>
        <w:numPr>
          <w:ilvl w:val="0"/>
          <w:numId w:val="54"/>
        </w:numPr>
        <w:rPr>
          <w:rFonts w:eastAsia="Times New Roman"/>
          <w:bCs w:val="0"/>
          <w:iCs/>
          <w:spacing w:val="-5"/>
          <w:sz w:val="24"/>
          <w:lang w:eastAsia="en-US"/>
        </w:rPr>
      </w:pPr>
      <w:r w:rsidRPr="003331EF">
        <w:rPr>
          <w:rFonts w:eastAsia="Times New Roman"/>
          <w:bCs w:val="0"/>
          <w:iCs/>
          <w:spacing w:val="-5"/>
          <w:sz w:val="24"/>
          <w:lang w:eastAsia="en-US"/>
        </w:rPr>
        <w:t>selle riigi nimi, kus kavatsetakse filiaal registreerida või piiriülest tegutseda</w:t>
      </w:r>
      <w:r w:rsidR="005E654B" w:rsidRPr="003331EF">
        <w:rPr>
          <w:rFonts w:eastAsia="Times New Roman"/>
          <w:bCs w:val="0"/>
          <w:iCs/>
          <w:spacing w:val="-5"/>
          <w:sz w:val="24"/>
          <w:lang w:eastAsia="en-US"/>
        </w:rPr>
        <w:t xml:space="preserve"> </w:t>
      </w:r>
      <w:r w:rsidRPr="003331EF">
        <w:rPr>
          <w:rFonts w:eastAsia="Times New Roman"/>
          <w:bCs w:val="0"/>
          <w:iCs/>
          <w:spacing w:val="-5"/>
          <w:sz w:val="24"/>
          <w:lang w:eastAsia="en-US"/>
        </w:rPr>
        <w:t>(punkt 1);</w:t>
      </w:r>
    </w:p>
    <w:p w14:paraId="792B7250" w14:textId="361F5A40" w:rsidR="00AD2DE1" w:rsidRPr="003331EF" w:rsidRDefault="001A4507" w:rsidP="003331EF">
      <w:pPr>
        <w:pStyle w:val="Normal2"/>
        <w:numPr>
          <w:ilvl w:val="0"/>
          <w:numId w:val="54"/>
        </w:numPr>
        <w:rPr>
          <w:rFonts w:eastAsia="Times New Roman"/>
          <w:bCs w:val="0"/>
          <w:iCs/>
          <w:spacing w:val="-5"/>
          <w:sz w:val="24"/>
          <w:lang w:eastAsia="en-US"/>
        </w:rPr>
      </w:pPr>
      <w:r w:rsidRPr="003331EF">
        <w:rPr>
          <w:rFonts w:eastAsia="Times New Roman"/>
          <w:bCs w:val="0"/>
          <w:iCs/>
          <w:spacing w:val="-5"/>
          <w:sz w:val="24"/>
          <w:lang w:eastAsia="en-US"/>
        </w:rPr>
        <w:t>tegevuskava, mis sisaldab andmeid kõigi selles riigis osutatavate teenuste ja tegevuste kohta, ja ka info selle kohta, kui seoses filiaali asutamise või piiriüleselt tegutsemisega antakse kolmandas riigis tegevusi või tööülesandeid edasi kolmandale isikule (punkt 2)</w:t>
      </w:r>
      <w:r w:rsidR="00154D45" w:rsidRPr="003331EF">
        <w:rPr>
          <w:rFonts w:eastAsia="Times New Roman"/>
          <w:bCs w:val="0"/>
          <w:iCs/>
          <w:spacing w:val="-5"/>
          <w:sz w:val="24"/>
          <w:lang w:eastAsia="en-US"/>
        </w:rPr>
        <w:t>;</w:t>
      </w:r>
    </w:p>
    <w:p w14:paraId="36B20A92" w14:textId="408E29C9" w:rsidR="00154D45" w:rsidRPr="003331EF" w:rsidRDefault="00154D45" w:rsidP="003331EF">
      <w:pPr>
        <w:pStyle w:val="Normal2"/>
        <w:numPr>
          <w:ilvl w:val="0"/>
          <w:numId w:val="54"/>
        </w:numPr>
        <w:rPr>
          <w:rFonts w:eastAsia="Times New Roman"/>
          <w:bCs w:val="0"/>
          <w:iCs/>
          <w:spacing w:val="-5"/>
          <w:sz w:val="24"/>
          <w:lang w:eastAsia="en-US"/>
        </w:rPr>
      </w:pPr>
      <w:r w:rsidRPr="003331EF">
        <w:rPr>
          <w:rFonts w:eastAsia="Times New Roman"/>
          <w:bCs w:val="0"/>
          <w:iCs/>
          <w:spacing w:val="-5"/>
          <w:sz w:val="24"/>
          <w:lang w:eastAsia="en-US"/>
        </w:rPr>
        <w:t xml:space="preserve">filiaali asutamise korral  ka filiaali asukoha aadress </w:t>
      </w:r>
      <w:r w:rsidR="00AD2DE1" w:rsidRPr="003331EF">
        <w:rPr>
          <w:rFonts w:eastAsia="Times New Roman"/>
          <w:bCs w:val="0"/>
          <w:iCs/>
          <w:spacing w:val="-5"/>
          <w:sz w:val="24"/>
          <w:lang w:eastAsia="en-US"/>
        </w:rPr>
        <w:t>kolmandas riigis</w:t>
      </w:r>
      <w:r w:rsidRPr="003331EF">
        <w:rPr>
          <w:rFonts w:eastAsia="Times New Roman"/>
          <w:bCs w:val="0"/>
          <w:iCs/>
          <w:spacing w:val="-5"/>
          <w:sz w:val="24"/>
          <w:lang w:eastAsia="en-US"/>
        </w:rPr>
        <w:t>, organisatsioonilise struktuuri kirjeldus ning juhtimise eest vastutav</w:t>
      </w:r>
      <w:r w:rsidR="0050473E" w:rsidRPr="003331EF">
        <w:rPr>
          <w:rFonts w:eastAsia="Times New Roman"/>
          <w:bCs w:val="0"/>
          <w:iCs/>
          <w:spacing w:val="-5"/>
          <w:sz w:val="24"/>
          <w:lang w:eastAsia="en-US"/>
        </w:rPr>
        <w:t>a</w:t>
      </w:r>
      <w:r w:rsidRPr="003331EF">
        <w:rPr>
          <w:rFonts w:eastAsia="Times New Roman"/>
          <w:bCs w:val="0"/>
          <w:iCs/>
          <w:spacing w:val="-5"/>
          <w:sz w:val="24"/>
          <w:lang w:eastAsia="en-US"/>
        </w:rPr>
        <w:t xml:space="preserve"> isiku </w:t>
      </w:r>
      <w:r w:rsidR="00674473" w:rsidRPr="003331EF">
        <w:rPr>
          <w:rFonts w:eastAsia="Times New Roman"/>
          <w:bCs w:val="0"/>
          <w:iCs/>
          <w:spacing w:val="-5"/>
          <w:sz w:val="24"/>
          <w:lang w:eastAsia="en-US"/>
        </w:rPr>
        <w:t xml:space="preserve">nimi </w:t>
      </w:r>
      <w:r w:rsidRPr="003331EF">
        <w:rPr>
          <w:rFonts w:eastAsia="Times New Roman"/>
          <w:bCs w:val="0"/>
          <w:iCs/>
          <w:spacing w:val="-5"/>
          <w:sz w:val="24"/>
          <w:lang w:eastAsia="en-US"/>
        </w:rPr>
        <w:t xml:space="preserve">ja isikukood või </w:t>
      </w:r>
      <w:r w:rsidR="00674473" w:rsidRPr="003331EF">
        <w:rPr>
          <w:rFonts w:eastAsia="Times New Roman"/>
          <w:bCs w:val="0"/>
          <w:iCs/>
          <w:spacing w:val="-5"/>
          <w:sz w:val="24"/>
          <w:lang w:eastAsia="en-US"/>
        </w:rPr>
        <w:t xml:space="preserve">kui isikukoodi pole, siis </w:t>
      </w:r>
      <w:r w:rsidRPr="003331EF">
        <w:rPr>
          <w:rFonts w:eastAsia="Times New Roman"/>
          <w:bCs w:val="0"/>
          <w:iCs/>
          <w:spacing w:val="-5"/>
          <w:sz w:val="24"/>
          <w:lang w:eastAsia="en-US"/>
        </w:rPr>
        <w:t xml:space="preserve"> sünnia</w:t>
      </w:r>
      <w:r w:rsidR="00674473" w:rsidRPr="003331EF">
        <w:rPr>
          <w:rFonts w:eastAsia="Times New Roman"/>
          <w:bCs w:val="0"/>
          <w:iCs/>
          <w:spacing w:val="-5"/>
          <w:sz w:val="24"/>
          <w:lang w:eastAsia="en-US"/>
        </w:rPr>
        <w:t>eg. Esitada tuleb teave</w:t>
      </w:r>
      <w:r w:rsidR="00E4291E" w:rsidRPr="003331EF">
        <w:rPr>
          <w:rFonts w:eastAsia="Times New Roman"/>
          <w:bCs w:val="0"/>
          <w:iCs/>
          <w:spacing w:val="-5"/>
          <w:sz w:val="24"/>
          <w:lang w:eastAsia="en-US"/>
        </w:rPr>
        <w:t xml:space="preserve"> ka</w:t>
      </w:r>
      <w:r w:rsidR="00674473" w:rsidRPr="003331EF">
        <w:rPr>
          <w:rFonts w:eastAsia="Times New Roman"/>
          <w:bCs w:val="0"/>
          <w:iCs/>
          <w:spacing w:val="-5"/>
          <w:sz w:val="24"/>
          <w:lang w:eastAsia="en-US"/>
        </w:rPr>
        <w:t xml:space="preserve"> isiku</w:t>
      </w:r>
      <w:r w:rsidRPr="003331EF">
        <w:rPr>
          <w:rFonts w:eastAsia="Times New Roman"/>
          <w:bCs w:val="0"/>
          <w:iCs/>
          <w:spacing w:val="-5"/>
          <w:sz w:val="24"/>
          <w:lang w:eastAsia="en-US"/>
        </w:rPr>
        <w:t xml:space="preserve"> elukoha</w:t>
      </w:r>
      <w:r w:rsidR="00674473" w:rsidRPr="003331EF">
        <w:rPr>
          <w:rFonts w:eastAsia="Times New Roman"/>
          <w:bCs w:val="0"/>
          <w:iCs/>
          <w:spacing w:val="-5"/>
          <w:sz w:val="24"/>
          <w:lang w:eastAsia="en-US"/>
        </w:rPr>
        <w:t xml:space="preserve"> kohta</w:t>
      </w:r>
      <w:r w:rsidRPr="003331EF">
        <w:rPr>
          <w:rFonts w:eastAsia="Times New Roman"/>
          <w:bCs w:val="0"/>
          <w:iCs/>
          <w:spacing w:val="-5"/>
          <w:sz w:val="24"/>
          <w:lang w:eastAsia="en-US"/>
        </w:rPr>
        <w:t xml:space="preserve"> (punkt 3)</w:t>
      </w:r>
      <w:r w:rsidR="00AD2DE1" w:rsidRPr="003331EF">
        <w:rPr>
          <w:rFonts w:eastAsia="Times New Roman"/>
          <w:bCs w:val="0"/>
          <w:iCs/>
          <w:spacing w:val="-5"/>
          <w:sz w:val="24"/>
          <w:lang w:eastAsia="en-US"/>
        </w:rPr>
        <w:t>.</w:t>
      </w:r>
    </w:p>
    <w:p w14:paraId="1DA4CADF" w14:textId="77777777" w:rsidR="001A4507" w:rsidRPr="003331EF" w:rsidRDefault="001A4507" w:rsidP="003331EF">
      <w:pPr>
        <w:pStyle w:val="Normal2"/>
        <w:rPr>
          <w:i/>
          <w:iCs/>
          <w:sz w:val="24"/>
        </w:rPr>
      </w:pPr>
    </w:p>
    <w:p w14:paraId="56078E33" w14:textId="4C90A99E" w:rsidR="001A4507" w:rsidRPr="003331EF" w:rsidRDefault="001A4507" w:rsidP="003331EF">
      <w:pPr>
        <w:pStyle w:val="Normal2"/>
        <w:rPr>
          <w:sz w:val="24"/>
        </w:rPr>
      </w:pPr>
      <w:r w:rsidRPr="003331EF">
        <w:rPr>
          <w:b/>
          <w:sz w:val="24"/>
        </w:rPr>
        <w:t xml:space="preserve">Lõige </w:t>
      </w:r>
      <w:r w:rsidR="00154D45" w:rsidRPr="003331EF">
        <w:rPr>
          <w:b/>
          <w:sz w:val="24"/>
        </w:rPr>
        <w:t>3</w:t>
      </w:r>
      <w:r w:rsidRPr="003331EF">
        <w:rPr>
          <w:b/>
          <w:sz w:val="24"/>
        </w:rPr>
        <w:t xml:space="preserve">. </w:t>
      </w:r>
      <w:r w:rsidRPr="003331EF">
        <w:rPr>
          <w:rFonts w:eastAsia="Times New Roman"/>
          <w:bCs w:val="0"/>
          <w:iCs/>
          <w:spacing w:val="-5"/>
          <w:sz w:val="24"/>
          <w:lang w:eastAsia="en-US"/>
        </w:rPr>
        <w:t xml:space="preserve">On oluline, et </w:t>
      </w:r>
      <w:proofErr w:type="spellStart"/>
      <w:r w:rsidRPr="003331EF">
        <w:rPr>
          <w:rFonts w:eastAsia="Times New Roman"/>
          <w:bCs w:val="0"/>
          <w:iCs/>
          <w:spacing w:val="-5"/>
          <w:sz w:val="24"/>
          <w:lang w:eastAsia="en-US"/>
        </w:rPr>
        <w:t>krüptovaraturu</w:t>
      </w:r>
      <w:proofErr w:type="spellEnd"/>
      <w:r w:rsidRPr="003331EF">
        <w:rPr>
          <w:rFonts w:eastAsia="Times New Roman"/>
          <w:bCs w:val="0"/>
          <w:iCs/>
          <w:spacing w:val="-5"/>
          <w:sz w:val="24"/>
          <w:lang w:eastAsia="en-US"/>
        </w:rPr>
        <w:t xml:space="preserve"> osaline järgiks kolmandas riigis tegutsemisel selle riigi õigusaktides ettenähtud reegleid ning võtaks asjakohastel juhtudel arvesse riigi finantsjärelevalve asutuse kehtestatud nõudeid. Kui </w:t>
      </w:r>
      <w:proofErr w:type="spellStart"/>
      <w:r w:rsidR="0033154B" w:rsidRPr="003331EF">
        <w:rPr>
          <w:rFonts w:eastAsia="Times New Roman"/>
          <w:bCs w:val="0"/>
          <w:iCs/>
          <w:spacing w:val="-5"/>
          <w:sz w:val="24"/>
          <w:lang w:eastAsia="en-US"/>
        </w:rPr>
        <w:t>krüptovaraturu</w:t>
      </w:r>
      <w:proofErr w:type="spellEnd"/>
      <w:r w:rsidR="0033154B" w:rsidRPr="003331EF">
        <w:rPr>
          <w:rFonts w:eastAsia="Times New Roman"/>
          <w:bCs w:val="0"/>
          <w:iCs/>
          <w:spacing w:val="-5"/>
          <w:sz w:val="24"/>
          <w:lang w:eastAsia="en-US"/>
        </w:rPr>
        <w:t xml:space="preserve"> osaline</w:t>
      </w:r>
      <w:r w:rsidRPr="003331EF">
        <w:rPr>
          <w:rFonts w:eastAsia="Times New Roman"/>
          <w:bCs w:val="0"/>
          <w:iCs/>
          <w:spacing w:val="-5"/>
          <w:sz w:val="24"/>
          <w:lang w:eastAsia="en-US"/>
        </w:rPr>
        <w:t xml:space="preserve"> peaks rikkuma teenuse osutamise riigis kehtestatud õigusaktide nõudeid, siis § 22 kohaselt rakendab Finantsinspektsioon viivitamata </w:t>
      </w:r>
      <w:proofErr w:type="spellStart"/>
      <w:r w:rsidRPr="003331EF">
        <w:rPr>
          <w:rFonts w:eastAsia="Times New Roman"/>
          <w:bCs w:val="0"/>
          <w:iCs/>
          <w:spacing w:val="-5"/>
          <w:sz w:val="24"/>
          <w:lang w:eastAsia="en-US"/>
        </w:rPr>
        <w:t>järelevalvelisi</w:t>
      </w:r>
      <w:proofErr w:type="spellEnd"/>
      <w:r w:rsidRPr="003331EF">
        <w:rPr>
          <w:rFonts w:eastAsia="Times New Roman"/>
          <w:bCs w:val="0"/>
          <w:iCs/>
          <w:spacing w:val="-5"/>
          <w:sz w:val="24"/>
          <w:lang w:eastAsia="en-US"/>
        </w:rPr>
        <w:t xml:space="preserve"> meetmeid rikkumise lõpetamiseks.</w:t>
      </w:r>
    </w:p>
    <w:p w14:paraId="7AE71569" w14:textId="77777777" w:rsidR="001A4507" w:rsidRPr="003331EF" w:rsidRDefault="001A4507" w:rsidP="003331EF">
      <w:pPr>
        <w:pStyle w:val="Normal2"/>
        <w:rPr>
          <w:i/>
          <w:iCs/>
          <w:sz w:val="24"/>
        </w:rPr>
      </w:pPr>
    </w:p>
    <w:p w14:paraId="4508F9B7" w14:textId="6976545F" w:rsidR="00A3139F" w:rsidRPr="003331EF" w:rsidRDefault="00A3139F" w:rsidP="003331EF">
      <w:pPr>
        <w:pStyle w:val="Normaallaadveeb"/>
        <w:spacing w:before="0" w:beforeAutospacing="0" w:after="0" w:afterAutospacing="0"/>
        <w:jc w:val="both"/>
      </w:pPr>
      <w:r w:rsidRPr="003331EF">
        <w:rPr>
          <w:rFonts w:eastAsia="Times New Roman"/>
          <w:b/>
          <w:bCs/>
          <w:iCs/>
          <w:spacing w:val="-5"/>
          <w:lang w:val="et-EE" w:eastAsia="en-US"/>
        </w:rPr>
        <w:t>Lõikega 4</w:t>
      </w:r>
      <w:r w:rsidRPr="003331EF">
        <w:rPr>
          <w:rFonts w:eastAsia="Times New Roman"/>
          <w:iCs/>
          <w:spacing w:val="-5"/>
          <w:lang w:val="et-EE" w:eastAsia="en-US"/>
        </w:rPr>
        <w:t xml:space="preserve"> sätestatakse nõuded kolmanda riigi filiaali juhtimise eest vastutavatele isikutele. </w:t>
      </w:r>
      <w:r w:rsidR="0050473E" w:rsidRPr="003331EF">
        <w:rPr>
          <w:rFonts w:eastAsia="Times New Roman"/>
          <w:iCs/>
          <w:spacing w:val="-5"/>
          <w:lang w:val="et-EE" w:eastAsia="en-US"/>
        </w:rPr>
        <w:t xml:space="preserve">Ka filiaali juhtimise puhul on oluline tagada, et juhtimise eest vastutav isik on usaldusväärne ja sobib filiaali juhtima. </w:t>
      </w:r>
      <w:commentRangeStart w:id="65"/>
      <w:r w:rsidRPr="003331EF">
        <w:rPr>
          <w:rFonts w:eastAsia="Times New Roman"/>
          <w:iCs/>
          <w:spacing w:val="-5"/>
          <w:lang w:val="et-EE" w:eastAsia="en-US"/>
        </w:rPr>
        <w:t xml:space="preserve">Vastutavaks isikuks ei sobi isik, kelle tegevus või tegevusetus on kaasa toonud </w:t>
      </w:r>
      <w:proofErr w:type="spellStart"/>
      <w:r w:rsidRPr="003331EF">
        <w:rPr>
          <w:rFonts w:eastAsia="Times New Roman"/>
          <w:iCs/>
          <w:spacing w:val="-5"/>
          <w:lang w:val="et-EE" w:eastAsia="en-US"/>
        </w:rPr>
        <w:t>krüptovaraturu</w:t>
      </w:r>
      <w:proofErr w:type="spellEnd"/>
      <w:r w:rsidRPr="003331EF">
        <w:rPr>
          <w:rFonts w:eastAsia="Times New Roman"/>
          <w:iCs/>
          <w:spacing w:val="-5"/>
          <w:lang w:val="et-EE" w:eastAsia="en-US"/>
        </w:rPr>
        <w:t xml:space="preserve"> osalise või muu finantsjärelevalve alla kuuluva isiku pankroti või tegevusloa kehtetuks tunnistamise finantsjärelevalve asutuse </w:t>
      </w:r>
      <w:r w:rsidR="006655B6" w:rsidRPr="003331EF">
        <w:rPr>
          <w:rFonts w:eastAsia="Times New Roman"/>
          <w:iCs/>
          <w:spacing w:val="-5"/>
          <w:lang w:val="et-EE" w:eastAsia="en-US"/>
        </w:rPr>
        <w:t xml:space="preserve">(ei pruugi olla Eesti pädev asutus) </w:t>
      </w:r>
      <w:r w:rsidRPr="003331EF">
        <w:rPr>
          <w:rFonts w:eastAsia="Times New Roman"/>
          <w:iCs/>
          <w:spacing w:val="-5"/>
          <w:lang w:val="et-EE" w:eastAsia="en-US"/>
        </w:rPr>
        <w:t xml:space="preserve">algatusel </w:t>
      </w:r>
      <w:commentRangeEnd w:id="65"/>
      <w:r w:rsidR="00B62AD0">
        <w:rPr>
          <w:rStyle w:val="Kommentaariviide"/>
          <w:rFonts w:eastAsia="Times New Roman"/>
          <w:lang w:val="en-GB" w:eastAsia="en-US"/>
        </w:rPr>
        <w:commentReference w:id="65"/>
      </w:r>
      <w:r w:rsidRPr="003331EF">
        <w:rPr>
          <w:rFonts w:eastAsia="Times New Roman"/>
          <w:iCs/>
          <w:spacing w:val="-5"/>
          <w:lang w:val="et-EE" w:eastAsia="en-US"/>
        </w:rPr>
        <w:t xml:space="preserve">või keda on karistatud majandusalase, ametialase, varavastase või avaliku usalduse vastase süüteo eest või terrorikuriteo või selle toimepanemisele suunatud tegevuse rahastamise või toetamise ees ning tema vastavad karistusandmed ei ole karistusregistri seaduse kohaselt karistusregistrist kustutatud </w:t>
      </w:r>
      <w:r w:rsidRPr="003331EF">
        <w:rPr>
          <w:rFonts w:eastAsia="Times New Roman"/>
          <w:iCs/>
          <w:spacing w:val="-5"/>
          <w:lang w:val="et-EE" w:eastAsia="en-US"/>
        </w:rPr>
        <w:lastRenderedPageBreak/>
        <w:t xml:space="preserve">või tema suhtes on kohaldatud rahvusvahelist sanktsiooni. Samuti ei tohiks selle isiku suhtes </w:t>
      </w:r>
      <w:r w:rsidR="00070C12" w:rsidRPr="003331EF">
        <w:rPr>
          <w:rFonts w:eastAsia="Times New Roman"/>
          <w:iCs/>
          <w:spacing w:val="-5"/>
          <w:lang w:val="et-EE" w:eastAsia="en-US"/>
        </w:rPr>
        <w:t>kehtida tegutsemiskeeldu või ettevõtluskeeldu ega ka ärikeeldu või teataval erialal või ametikohal töötamise keeldu või teda on karistatud sellise keelu rikkumise eest.</w:t>
      </w:r>
      <w:r w:rsidR="00DF4BDB" w:rsidRPr="003331EF">
        <w:rPr>
          <w:rFonts w:eastAsia="Times New Roman"/>
          <w:iCs/>
          <w:spacing w:val="-5"/>
          <w:lang w:val="et-EE" w:eastAsia="en-US"/>
        </w:rPr>
        <w:t xml:space="preserve"> </w:t>
      </w:r>
      <w:r w:rsidR="00070C12" w:rsidRPr="003331EF">
        <w:rPr>
          <w:rFonts w:eastAsia="Times New Roman"/>
          <w:iCs/>
          <w:spacing w:val="-5"/>
          <w:lang w:val="et-EE" w:eastAsia="en-US"/>
        </w:rPr>
        <w:t>V</w:t>
      </w:r>
      <w:r w:rsidRPr="003331EF">
        <w:rPr>
          <w:rFonts w:eastAsia="Times New Roman"/>
          <w:iCs/>
          <w:spacing w:val="-5"/>
          <w:lang w:val="et-EE" w:eastAsia="en-US"/>
        </w:rPr>
        <w:t xml:space="preserve">astutavaks isikuks ei tohiks olla ka isik, kelle tegevus on näidanud, et ta ei ole suuteline korraldama </w:t>
      </w:r>
      <w:proofErr w:type="spellStart"/>
      <w:r w:rsidR="00070C12" w:rsidRPr="003331EF">
        <w:rPr>
          <w:rFonts w:eastAsia="Times New Roman"/>
          <w:iCs/>
          <w:spacing w:val="-5"/>
          <w:lang w:val="et-EE" w:eastAsia="en-US"/>
        </w:rPr>
        <w:t>krüptovaraturu</w:t>
      </w:r>
      <w:proofErr w:type="spellEnd"/>
      <w:r w:rsidR="00070C12" w:rsidRPr="003331EF">
        <w:rPr>
          <w:rFonts w:eastAsia="Times New Roman"/>
          <w:iCs/>
          <w:spacing w:val="-5"/>
          <w:lang w:val="et-EE" w:eastAsia="en-US"/>
        </w:rPr>
        <w:t xml:space="preserve"> osalise</w:t>
      </w:r>
      <w:r w:rsidRPr="003331EF">
        <w:rPr>
          <w:rFonts w:eastAsia="Times New Roman"/>
          <w:iCs/>
          <w:spacing w:val="-5"/>
          <w:lang w:val="et-EE" w:eastAsia="en-US"/>
        </w:rPr>
        <w:t xml:space="preserve"> tegevust selliselt, et </w:t>
      </w:r>
      <w:proofErr w:type="spellStart"/>
      <w:r w:rsidR="00070C12" w:rsidRPr="003331EF">
        <w:rPr>
          <w:rFonts w:eastAsia="Times New Roman"/>
          <w:iCs/>
          <w:spacing w:val="-5"/>
          <w:lang w:val="et-EE" w:eastAsia="en-US"/>
        </w:rPr>
        <w:t>krüptovaraturu</w:t>
      </w:r>
      <w:proofErr w:type="spellEnd"/>
      <w:r w:rsidR="00070C12" w:rsidRPr="003331EF">
        <w:rPr>
          <w:rFonts w:eastAsia="Times New Roman"/>
          <w:iCs/>
          <w:spacing w:val="-5"/>
          <w:lang w:val="et-EE" w:eastAsia="en-US"/>
        </w:rPr>
        <w:t xml:space="preserve"> osalise klie</w:t>
      </w:r>
      <w:r w:rsidR="00267BD1">
        <w:rPr>
          <w:rFonts w:eastAsia="Times New Roman"/>
          <w:iCs/>
          <w:spacing w:val="-5"/>
          <w:lang w:val="et-EE" w:eastAsia="en-US"/>
        </w:rPr>
        <w:t>n</w:t>
      </w:r>
      <w:r w:rsidR="00070C12" w:rsidRPr="003331EF">
        <w:rPr>
          <w:rFonts w:eastAsia="Times New Roman"/>
          <w:iCs/>
          <w:spacing w:val="-5"/>
          <w:lang w:val="et-EE" w:eastAsia="en-US"/>
        </w:rPr>
        <w:t xml:space="preserve">tide huvid </w:t>
      </w:r>
      <w:r w:rsidRPr="003331EF">
        <w:rPr>
          <w:rFonts w:eastAsia="Times New Roman"/>
          <w:iCs/>
          <w:spacing w:val="-5"/>
          <w:lang w:val="et-EE" w:eastAsia="en-US"/>
        </w:rPr>
        <w:t>oleksid küllaldaselt kaitstud. Vastutavaks isikuks ei tohi olla isik, kes on pannud toime esimese astme kuriteo ja tema karistusandmed ei ole karistusregistrist kustutatud</w:t>
      </w:r>
      <w:r w:rsidR="00002D42" w:rsidRPr="003331EF">
        <w:rPr>
          <w:rFonts w:eastAsia="Times New Roman"/>
          <w:iCs/>
          <w:spacing w:val="-5"/>
          <w:lang w:val="et-EE" w:eastAsia="en-US"/>
        </w:rPr>
        <w:t xml:space="preserve"> (võrdluseks, et </w:t>
      </w:r>
      <w:proofErr w:type="spellStart"/>
      <w:r w:rsidR="00002D42" w:rsidRPr="003331EF">
        <w:rPr>
          <w:rFonts w:eastAsia="Times New Roman"/>
          <w:iCs/>
          <w:spacing w:val="-5"/>
          <w:lang w:val="et-EE" w:eastAsia="en-US"/>
        </w:rPr>
        <w:t>MiCA</w:t>
      </w:r>
      <w:proofErr w:type="spellEnd"/>
      <w:r w:rsidR="00002D42" w:rsidRPr="003331EF">
        <w:rPr>
          <w:rFonts w:eastAsia="Times New Roman"/>
          <w:iCs/>
          <w:spacing w:val="-5"/>
          <w:lang w:val="et-EE" w:eastAsia="en-US"/>
        </w:rPr>
        <w:t xml:space="preserve"> määruse artikli 67 lõikes 1 on sätestatud, et </w:t>
      </w:r>
      <w:proofErr w:type="spellStart"/>
      <w:r w:rsidR="00002D42" w:rsidRPr="003331EF">
        <w:rPr>
          <w:rFonts w:eastAsia="Times New Roman"/>
          <w:iCs/>
          <w:spacing w:val="-5"/>
          <w:lang w:val="et-EE" w:eastAsia="en-US"/>
        </w:rPr>
        <w:t>krüptovarateenuse</w:t>
      </w:r>
      <w:proofErr w:type="spellEnd"/>
      <w:r w:rsidR="00002D42" w:rsidRPr="003331EF">
        <w:rPr>
          <w:rFonts w:eastAsia="Times New Roman"/>
          <w:iCs/>
          <w:spacing w:val="-5"/>
          <w:lang w:val="et-EE" w:eastAsia="en-US"/>
        </w:rPr>
        <w:t xml:space="preserve"> osutaja juhtorgani liikmed ei tohi olla süüdi</w:t>
      </w:r>
      <w:r w:rsidR="00737A7B" w:rsidRPr="003331EF">
        <w:rPr>
          <w:rFonts w:eastAsia="Times New Roman"/>
          <w:iCs/>
          <w:spacing w:val="-5"/>
          <w:lang w:val="et-EE" w:eastAsia="en-US"/>
        </w:rPr>
        <w:t xml:space="preserve"> mõistetud</w:t>
      </w:r>
      <w:r w:rsidR="00002D42" w:rsidRPr="003331EF">
        <w:rPr>
          <w:rFonts w:eastAsia="Times New Roman"/>
          <w:iCs/>
          <w:spacing w:val="-5"/>
          <w:lang w:val="et-EE" w:eastAsia="en-US"/>
        </w:rPr>
        <w:t xml:space="preserve"> mh süüteos, mis võiks nende head mainet kahjustada. Esimese astme kuritegu kahtlemata on mainet kahjustav asjaolu)</w:t>
      </w:r>
      <w:r w:rsidRPr="003331EF">
        <w:rPr>
          <w:rFonts w:eastAsia="Times New Roman"/>
          <w:iCs/>
          <w:spacing w:val="-5"/>
          <w:lang w:val="et-EE" w:eastAsia="en-US"/>
        </w:rPr>
        <w:t xml:space="preserve"> või kes on esitanud </w:t>
      </w:r>
      <w:r w:rsidR="00070C12" w:rsidRPr="003331EF">
        <w:rPr>
          <w:rFonts w:eastAsia="Times New Roman"/>
          <w:iCs/>
          <w:spacing w:val="-5"/>
          <w:lang w:val="et-EE" w:eastAsia="en-US"/>
        </w:rPr>
        <w:t>Finantsinspektsioonile</w:t>
      </w:r>
      <w:r w:rsidRPr="003331EF">
        <w:rPr>
          <w:rFonts w:eastAsia="Times New Roman"/>
          <w:iCs/>
          <w:spacing w:val="-5"/>
          <w:lang w:val="et-EE" w:eastAsia="en-US"/>
        </w:rPr>
        <w:t xml:space="preserve"> valeinformatsiooni või jätnud olulise informatsiooni esitamata.</w:t>
      </w:r>
    </w:p>
    <w:p w14:paraId="0C255C94" w14:textId="77777777" w:rsidR="00254FC0" w:rsidRPr="003331EF" w:rsidRDefault="00254FC0" w:rsidP="003331EF">
      <w:pPr>
        <w:pStyle w:val="Normal2"/>
        <w:rPr>
          <w:i/>
          <w:iCs/>
          <w:sz w:val="24"/>
        </w:rPr>
      </w:pPr>
    </w:p>
    <w:p w14:paraId="321DCEEB" w14:textId="2A6E1203" w:rsidR="00F86CE1" w:rsidRPr="00A03096" w:rsidRDefault="001A4507" w:rsidP="003A07D7">
      <w:pPr>
        <w:spacing w:before="0"/>
        <w:rPr>
          <w:iCs/>
          <w:spacing w:val="-5"/>
          <w:lang w:eastAsia="en-US"/>
        </w:rPr>
      </w:pPr>
      <w:r w:rsidRPr="003331EF">
        <w:rPr>
          <w:b/>
        </w:rPr>
        <w:t xml:space="preserve">Lõike </w:t>
      </w:r>
      <w:r w:rsidR="00254FC0" w:rsidRPr="003331EF">
        <w:rPr>
          <w:b/>
        </w:rPr>
        <w:t>5</w:t>
      </w:r>
      <w:r w:rsidRPr="003331EF">
        <w:rPr>
          <w:b/>
        </w:rPr>
        <w:t xml:space="preserve"> </w:t>
      </w:r>
      <w:r w:rsidRPr="003331EF">
        <w:rPr>
          <w:iCs/>
          <w:spacing w:val="-5"/>
          <w:lang w:eastAsia="en-US"/>
        </w:rPr>
        <w:t>punktides 1</w:t>
      </w:r>
      <w:r w:rsidR="003A07D7">
        <w:rPr>
          <w:iCs/>
          <w:spacing w:val="-5"/>
          <w:lang w:eastAsia="en-US"/>
        </w:rPr>
        <w:t>–</w:t>
      </w:r>
      <w:r w:rsidR="00DA714D">
        <w:rPr>
          <w:iCs/>
          <w:spacing w:val="-5"/>
          <w:lang w:eastAsia="en-US"/>
        </w:rPr>
        <w:t>7</w:t>
      </w:r>
      <w:r w:rsidRPr="003331EF">
        <w:rPr>
          <w:iCs/>
          <w:spacing w:val="-5"/>
          <w:lang w:eastAsia="en-US"/>
        </w:rPr>
        <w:t xml:space="preserve"> on nimetatud asjaolud, mille tuvastamisel on Finantsinspektsioonil õigus teha ettekirjutus filiaali asutamise või teenuse piirülese osutamise või </w:t>
      </w:r>
      <w:proofErr w:type="spellStart"/>
      <w:r w:rsidRPr="003331EF">
        <w:rPr>
          <w:iCs/>
          <w:spacing w:val="-5"/>
          <w:lang w:eastAsia="en-US"/>
        </w:rPr>
        <w:t>krüptovara</w:t>
      </w:r>
      <w:proofErr w:type="spellEnd"/>
      <w:r w:rsidRPr="003331EF">
        <w:rPr>
          <w:iCs/>
          <w:spacing w:val="-5"/>
          <w:lang w:eastAsia="en-US"/>
        </w:rPr>
        <w:t xml:space="preserve"> pakkumise </w:t>
      </w:r>
      <w:r w:rsidR="00CB3721" w:rsidRPr="003331EF">
        <w:rPr>
          <w:iCs/>
          <w:spacing w:val="-5"/>
          <w:lang w:eastAsia="en-US"/>
        </w:rPr>
        <w:t xml:space="preserve">loa andmisest </w:t>
      </w:r>
      <w:r w:rsidRPr="003331EF">
        <w:rPr>
          <w:iCs/>
          <w:spacing w:val="-5"/>
          <w:lang w:eastAsia="en-US"/>
        </w:rPr>
        <w:t>keel</w:t>
      </w:r>
      <w:r w:rsidR="0033154B" w:rsidRPr="003331EF">
        <w:rPr>
          <w:iCs/>
          <w:spacing w:val="-5"/>
          <w:lang w:eastAsia="en-US"/>
        </w:rPr>
        <w:t>dumiseks</w:t>
      </w:r>
      <w:r w:rsidRPr="003331EF">
        <w:rPr>
          <w:iCs/>
          <w:spacing w:val="-5"/>
          <w:lang w:eastAsia="en-US"/>
        </w:rPr>
        <w:t xml:space="preserve">. Finantsinspektsioonil on vastav alus, kui esitatud tegevuskava rakendamine võib kahjustada klientide huve, </w:t>
      </w:r>
      <w:proofErr w:type="spellStart"/>
      <w:r w:rsidRPr="003331EF">
        <w:rPr>
          <w:iCs/>
          <w:spacing w:val="-5"/>
          <w:lang w:eastAsia="en-US"/>
        </w:rPr>
        <w:t>krüptovaraturu</w:t>
      </w:r>
      <w:proofErr w:type="spellEnd"/>
      <w:r w:rsidRPr="003331EF">
        <w:rPr>
          <w:iCs/>
          <w:spacing w:val="-5"/>
          <w:lang w:eastAsia="en-US"/>
        </w:rPr>
        <w:t xml:space="preserve"> osalise finantsseisundit või tegevuse usaldusväärsust (punkt 1), </w:t>
      </w:r>
      <w:proofErr w:type="spellStart"/>
      <w:r w:rsidR="00CB3721" w:rsidRPr="003331EF">
        <w:rPr>
          <w:iCs/>
          <w:spacing w:val="-5"/>
          <w:lang w:eastAsia="en-US"/>
        </w:rPr>
        <w:t>krüptovaraturu</w:t>
      </w:r>
      <w:proofErr w:type="spellEnd"/>
      <w:r w:rsidR="00CB3721" w:rsidRPr="003331EF">
        <w:rPr>
          <w:iCs/>
          <w:spacing w:val="-5"/>
          <w:lang w:eastAsia="en-US"/>
        </w:rPr>
        <w:t xml:space="preserve"> osalise finantsseisund, organisatsiooniline ülesehitus või muud võimalused ei ole piisavad tegevuskavas nimetatud teenuste ja tegevuste osutamiseks sihtriigis (punkt 2)</w:t>
      </w:r>
      <w:r w:rsidR="00335937" w:rsidRPr="003331EF">
        <w:rPr>
          <w:iCs/>
          <w:spacing w:val="-5"/>
          <w:lang w:eastAsia="en-US"/>
        </w:rPr>
        <w:t>, filiaali juht</w:t>
      </w:r>
      <w:r w:rsidR="0050473E" w:rsidRPr="003331EF">
        <w:rPr>
          <w:iCs/>
          <w:spacing w:val="-5"/>
          <w:lang w:eastAsia="en-US"/>
        </w:rPr>
        <w:t>imise eest vastutav isik</w:t>
      </w:r>
      <w:r w:rsidR="00335937" w:rsidRPr="003331EF">
        <w:rPr>
          <w:iCs/>
          <w:spacing w:val="-5"/>
          <w:lang w:eastAsia="en-US"/>
        </w:rPr>
        <w:t xml:space="preserve"> ei vasta ettenähtud nõuetele (punkt 3)</w:t>
      </w:r>
      <w:r w:rsidR="00CB3721" w:rsidRPr="003331EF">
        <w:rPr>
          <w:iCs/>
          <w:spacing w:val="-5"/>
          <w:lang w:eastAsia="en-US"/>
        </w:rPr>
        <w:t xml:space="preserve"> </w:t>
      </w:r>
      <w:r w:rsidRPr="003331EF">
        <w:rPr>
          <w:iCs/>
          <w:spacing w:val="-5"/>
          <w:lang w:eastAsia="en-US"/>
        </w:rPr>
        <w:t xml:space="preserve">või kui tegevuskava rakendamisega võib tekkida seoseid rahapesu või terrorismi rahastamisega või rahvusvahelise sanktsiooni rikkumisega või kõrvale hiilimisega, selle katsega või suurendab selliseid riske (punkt </w:t>
      </w:r>
      <w:r w:rsidR="00335937" w:rsidRPr="003331EF">
        <w:rPr>
          <w:iCs/>
          <w:spacing w:val="-5"/>
          <w:lang w:eastAsia="en-US"/>
        </w:rPr>
        <w:t>4</w:t>
      </w:r>
      <w:r w:rsidRPr="003331EF">
        <w:rPr>
          <w:iCs/>
          <w:spacing w:val="-5"/>
          <w:lang w:eastAsia="en-US"/>
        </w:rPr>
        <w:t xml:space="preserve">). Lisaks on punktis </w:t>
      </w:r>
      <w:r w:rsidR="00335937" w:rsidRPr="003331EF">
        <w:rPr>
          <w:iCs/>
          <w:spacing w:val="-5"/>
          <w:lang w:eastAsia="en-US"/>
        </w:rPr>
        <w:t xml:space="preserve">5 </w:t>
      </w:r>
      <w:r w:rsidRPr="003331EF">
        <w:rPr>
          <w:iCs/>
          <w:spacing w:val="-5"/>
          <w:lang w:eastAsia="en-US"/>
        </w:rPr>
        <w:t xml:space="preserve">ette nähtud keeldumise alusena see, kui </w:t>
      </w:r>
      <w:proofErr w:type="spellStart"/>
      <w:r w:rsidRPr="003331EF">
        <w:rPr>
          <w:iCs/>
          <w:spacing w:val="-5"/>
          <w:lang w:eastAsia="en-US"/>
        </w:rPr>
        <w:t>krüptovaraturu</w:t>
      </w:r>
      <w:proofErr w:type="spellEnd"/>
      <w:r w:rsidRPr="003331EF">
        <w:rPr>
          <w:iCs/>
          <w:spacing w:val="-5"/>
          <w:lang w:eastAsia="en-US"/>
        </w:rPr>
        <w:t xml:space="preserve"> osaline ei ole võimeline täitma kolmandas riigis teenuse osutamisele või </w:t>
      </w:r>
      <w:proofErr w:type="spellStart"/>
      <w:r w:rsidRPr="003331EF">
        <w:rPr>
          <w:iCs/>
          <w:spacing w:val="-5"/>
          <w:lang w:eastAsia="en-US"/>
        </w:rPr>
        <w:t>krüptovara</w:t>
      </w:r>
      <w:proofErr w:type="spellEnd"/>
      <w:r w:rsidRPr="003331EF">
        <w:rPr>
          <w:iCs/>
          <w:spacing w:val="-5"/>
          <w:lang w:eastAsia="en-US"/>
        </w:rPr>
        <w:t xml:space="preserve"> pakkumisele sätestatud nõudeid. Punkt </w:t>
      </w:r>
      <w:r w:rsidR="00DA714D">
        <w:rPr>
          <w:iCs/>
          <w:spacing w:val="-5"/>
          <w:lang w:eastAsia="en-US"/>
        </w:rPr>
        <w:t>5</w:t>
      </w:r>
      <w:r w:rsidRPr="003331EF">
        <w:rPr>
          <w:iCs/>
          <w:spacing w:val="-5"/>
          <w:lang w:eastAsia="en-US"/>
        </w:rPr>
        <w:t xml:space="preserve"> on mõeldud kohaldamiseks juhtudel, kui kolmandas riigis tegutsemisega seotud normistik erineb olulisel määral Eesti omast ning Finantsinspektsiooni hinnangul ei ole </w:t>
      </w:r>
      <w:proofErr w:type="spellStart"/>
      <w:r w:rsidRPr="003331EF">
        <w:rPr>
          <w:iCs/>
          <w:spacing w:val="-5"/>
          <w:lang w:eastAsia="en-US"/>
        </w:rPr>
        <w:t>krüptovaraturu</w:t>
      </w:r>
      <w:proofErr w:type="spellEnd"/>
      <w:r w:rsidRPr="003331EF">
        <w:rPr>
          <w:iCs/>
          <w:spacing w:val="-5"/>
          <w:lang w:eastAsia="en-US"/>
        </w:rPr>
        <w:t xml:space="preserve"> osaline võimeline nimetatud nõudeid täitma.</w:t>
      </w:r>
      <w:r w:rsidR="00CB3721" w:rsidRPr="003331EF">
        <w:rPr>
          <w:iCs/>
          <w:spacing w:val="-5"/>
          <w:lang w:eastAsia="en-US"/>
        </w:rPr>
        <w:t xml:space="preserve"> Samuti ei saa </w:t>
      </w:r>
      <w:proofErr w:type="spellStart"/>
      <w:r w:rsidR="0033154B" w:rsidRPr="003331EF">
        <w:rPr>
          <w:iCs/>
          <w:spacing w:val="-5"/>
          <w:lang w:eastAsia="en-US"/>
        </w:rPr>
        <w:t>krüptovaraturu</w:t>
      </w:r>
      <w:proofErr w:type="spellEnd"/>
      <w:r w:rsidR="0033154B" w:rsidRPr="003331EF">
        <w:rPr>
          <w:iCs/>
          <w:spacing w:val="-5"/>
          <w:lang w:eastAsia="en-US"/>
        </w:rPr>
        <w:t xml:space="preserve"> osaline </w:t>
      </w:r>
      <w:r w:rsidR="00CB3721" w:rsidRPr="003331EF">
        <w:rPr>
          <w:iCs/>
          <w:spacing w:val="-5"/>
          <w:lang w:eastAsia="en-US"/>
        </w:rPr>
        <w:t xml:space="preserve">luba, kui  </w:t>
      </w:r>
      <w:r w:rsidR="0033154B" w:rsidRPr="003331EF">
        <w:rPr>
          <w:iCs/>
          <w:spacing w:val="-5"/>
          <w:lang w:eastAsia="en-US"/>
        </w:rPr>
        <w:t>tema</w:t>
      </w:r>
      <w:r w:rsidR="00CB3721" w:rsidRPr="003331EF">
        <w:rPr>
          <w:iCs/>
          <w:spacing w:val="-5"/>
          <w:lang w:eastAsia="en-US"/>
        </w:rPr>
        <w:t xml:space="preserve"> poolt esitatud andmed või dokumendid on ebaõiged või eksitavad või ei vasta käesolevas seaduses sätestatud nõuetele (punkt </w:t>
      </w:r>
      <w:r w:rsidR="00335937" w:rsidRPr="003331EF">
        <w:rPr>
          <w:iCs/>
          <w:spacing w:val="-5"/>
          <w:lang w:eastAsia="en-US"/>
        </w:rPr>
        <w:t>6</w:t>
      </w:r>
      <w:r w:rsidR="00CB3721" w:rsidRPr="003331EF">
        <w:rPr>
          <w:iCs/>
          <w:spacing w:val="-5"/>
          <w:lang w:eastAsia="en-US"/>
        </w:rPr>
        <w:t>).</w:t>
      </w:r>
      <w:r w:rsidR="00F86CE1" w:rsidRPr="003331EF">
        <w:rPr>
          <w:iCs/>
          <w:spacing w:val="-5"/>
          <w:lang w:eastAsia="en-US"/>
        </w:rPr>
        <w:t xml:space="preserve"> Lisaks võib takistavaks teguriks olla probleemid järelevalve teostamisel juhul, kui koostöö kolmanda riigi pädeva asutusega on takistatud (punkt</w:t>
      </w:r>
      <w:r w:rsidR="003A07D7">
        <w:rPr>
          <w:iCs/>
          <w:spacing w:val="-5"/>
          <w:lang w:eastAsia="en-US"/>
        </w:rPr>
        <w:t> </w:t>
      </w:r>
      <w:r w:rsidR="00335937" w:rsidRPr="003331EF">
        <w:rPr>
          <w:iCs/>
          <w:spacing w:val="-5"/>
          <w:lang w:eastAsia="en-US"/>
        </w:rPr>
        <w:t>7</w:t>
      </w:r>
      <w:r w:rsidR="00F86CE1" w:rsidRPr="003331EF">
        <w:rPr>
          <w:iCs/>
          <w:spacing w:val="-5"/>
          <w:lang w:eastAsia="en-US"/>
        </w:rPr>
        <w:t>).</w:t>
      </w:r>
      <w:r w:rsidR="0050473E" w:rsidRPr="003331EF">
        <w:rPr>
          <w:iCs/>
          <w:spacing w:val="-5"/>
          <w:lang w:eastAsia="en-US"/>
        </w:rPr>
        <w:t xml:space="preserve"> Näiteks reguleerib seaduse § 28 </w:t>
      </w:r>
      <w:r w:rsidR="009A1BBA" w:rsidRPr="003331EF">
        <w:rPr>
          <w:iCs/>
          <w:spacing w:val="-5"/>
          <w:lang w:eastAsia="en-US"/>
        </w:rPr>
        <w:t xml:space="preserve">järelevalvet kolmandas riigis </w:t>
      </w:r>
      <w:proofErr w:type="spellStart"/>
      <w:r w:rsidR="009A1BBA" w:rsidRPr="003331EF">
        <w:rPr>
          <w:iCs/>
          <w:spacing w:val="-5"/>
          <w:lang w:eastAsia="en-US"/>
        </w:rPr>
        <w:t>krüptovarateenuse</w:t>
      </w:r>
      <w:proofErr w:type="spellEnd"/>
      <w:r w:rsidR="009A1BBA" w:rsidRPr="003331EF">
        <w:rPr>
          <w:iCs/>
          <w:spacing w:val="-5"/>
          <w:lang w:eastAsia="en-US"/>
        </w:rPr>
        <w:t xml:space="preserve"> osutamise ja </w:t>
      </w:r>
      <w:proofErr w:type="spellStart"/>
      <w:r w:rsidR="009A1BBA" w:rsidRPr="003331EF">
        <w:rPr>
          <w:iCs/>
          <w:spacing w:val="-5"/>
          <w:lang w:eastAsia="en-US"/>
        </w:rPr>
        <w:t>krüptovara</w:t>
      </w:r>
      <w:proofErr w:type="spellEnd"/>
      <w:r w:rsidR="009A1BBA" w:rsidRPr="003331EF">
        <w:rPr>
          <w:iCs/>
          <w:spacing w:val="-5"/>
          <w:lang w:eastAsia="en-US"/>
        </w:rPr>
        <w:t xml:space="preserve"> pakkumise või kauplemisele võtmise taotlemise üle ning kui koostöö kolmanda riigi pädeva asutusega on takistatud, ei pruugi ka Finantsinspektsioon jõuda õigeaegselt sekkuda, et kaitsta klientide huvi. </w:t>
      </w:r>
    </w:p>
    <w:p w14:paraId="0E2D6A03" w14:textId="7AAB2E5B" w:rsidR="001A4507" w:rsidRPr="003331EF" w:rsidRDefault="001A4507" w:rsidP="003331EF">
      <w:pPr>
        <w:pStyle w:val="Normal2"/>
        <w:rPr>
          <w:sz w:val="24"/>
        </w:rPr>
      </w:pPr>
    </w:p>
    <w:p w14:paraId="7F48BB25" w14:textId="0ED3763E" w:rsidR="001A4507" w:rsidRPr="003331EF" w:rsidRDefault="0099302C" w:rsidP="003A07D7">
      <w:pPr>
        <w:pStyle w:val="Normal2"/>
        <w:rPr>
          <w:rFonts w:eastAsia="Times New Roman"/>
          <w:bCs w:val="0"/>
          <w:iCs/>
          <w:spacing w:val="-5"/>
          <w:sz w:val="24"/>
          <w:lang w:eastAsia="en-US"/>
        </w:rPr>
      </w:pPr>
      <w:r w:rsidRPr="003331EF">
        <w:rPr>
          <w:b/>
          <w:bCs w:val="0"/>
          <w:sz w:val="24"/>
        </w:rPr>
        <w:t xml:space="preserve">Lõiked </w:t>
      </w:r>
      <w:r w:rsidR="00DA714D">
        <w:rPr>
          <w:b/>
          <w:bCs w:val="0"/>
          <w:sz w:val="24"/>
        </w:rPr>
        <w:t>6</w:t>
      </w:r>
      <w:r w:rsidRPr="003331EF">
        <w:rPr>
          <w:b/>
          <w:bCs w:val="0"/>
          <w:sz w:val="24"/>
        </w:rPr>
        <w:t xml:space="preserve"> ja </w:t>
      </w:r>
      <w:r w:rsidR="00DA714D">
        <w:rPr>
          <w:b/>
          <w:bCs w:val="0"/>
          <w:sz w:val="24"/>
        </w:rPr>
        <w:t>7</w:t>
      </w:r>
      <w:r w:rsidRPr="003331EF">
        <w:rPr>
          <w:b/>
          <w:bCs w:val="0"/>
          <w:sz w:val="24"/>
        </w:rPr>
        <w:t xml:space="preserve">. </w:t>
      </w:r>
      <w:r w:rsidRPr="003331EF">
        <w:rPr>
          <w:rFonts w:eastAsia="Times New Roman"/>
          <w:bCs w:val="0"/>
          <w:iCs/>
          <w:spacing w:val="-5"/>
          <w:sz w:val="24"/>
          <w:lang w:eastAsia="en-US"/>
        </w:rPr>
        <w:t xml:space="preserve">Otsus loa andmise kohta tuleks teha kahe kuu jooksul, misjärel teeb Finantsinspektsioon otsuse viivitamata teatavaks ka </w:t>
      </w:r>
      <w:proofErr w:type="spellStart"/>
      <w:r w:rsidRPr="003331EF">
        <w:rPr>
          <w:rFonts w:eastAsia="Times New Roman"/>
          <w:bCs w:val="0"/>
          <w:iCs/>
          <w:spacing w:val="-5"/>
          <w:sz w:val="24"/>
          <w:lang w:eastAsia="en-US"/>
        </w:rPr>
        <w:t>krüptovaraturu</w:t>
      </w:r>
      <w:proofErr w:type="spellEnd"/>
      <w:r w:rsidRPr="003331EF">
        <w:rPr>
          <w:rFonts w:eastAsia="Times New Roman"/>
          <w:bCs w:val="0"/>
          <w:iCs/>
          <w:spacing w:val="-5"/>
          <w:sz w:val="24"/>
          <w:lang w:eastAsia="en-US"/>
        </w:rPr>
        <w:t xml:space="preserve"> osalisel</w:t>
      </w:r>
      <w:r w:rsidR="00DA714D">
        <w:rPr>
          <w:rFonts w:eastAsia="Times New Roman"/>
          <w:bCs w:val="0"/>
          <w:iCs/>
          <w:spacing w:val="-5"/>
          <w:sz w:val="24"/>
          <w:lang w:eastAsia="en-US"/>
        </w:rPr>
        <w:t>e</w:t>
      </w:r>
      <w:r w:rsidRPr="003331EF">
        <w:rPr>
          <w:rFonts w:eastAsia="Times New Roman"/>
          <w:bCs w:val="0"/>
          <w:iCs/>
          <w:spacing w:val="-5"/>
          <w:sz w:val="24"/>
          <w:lang w:eastAsia="en-US"/>
        </w:rPr>
        <w:t xml:space="preserve">. </w:t>
      </w:r>
      <w:proofErr w:type="spellStart"/>
      <w:r w:rsidRPr="003331EF">
        <w:rPr>
          <w:rFonts w:eastAsia="Times New Roman"/>
          <w:bCs w:val="0"/>
          <w:iCs/>
          <w:spacing w:val="-5"/>
          <w:sz w:val="24"/>
          <w:lang w:eastAsia="en-US"/>
        </w:rPr>
        <w:t>Krüptovaraturu</w:t>
      </w:r>
      <w:proofErr w:type="spellEnd"/>
      <w:r w:rsidRPr="003331EF">
        <w:rPr>
          <w:rFonts w:eastAsia="Times New Roman"/>
          <w:bCs w:val="0"/>
          <w:iCs/>
          <w:spacing w:val="-5"/>
          <w:sz w:val="24"/>
          <w:lang w:eastAsia="en-US"/>
        </w:rPr>
        <w:t xml:space="preserve"> osaline võib alustada tegevust kolmanda riigis pärast loa kättesaamist, kuid peab eelnevalt ka Finantsinspektsiooni teavitama kuupäevast, mill</w:t>
      </w:r>
      <w:r w:rsidR="000B09E5" w:rsidRPr="003331EF">
        <w:rPr>
          <w:rFonts w:eastAsia="Times New Roman"/>
          <w:bCs w:val="0"/>
          <w:iCs/>
          <w:spacing w:val="-5"/>
          <w:sz w:val="24"/>
          <w:lang w:eastAsia="en-US"/>
        </w:rPr>
        <w:t>a</w:t>
      </w:r>
      <w:r w:rsidRPr="003331EF">
        <w:rPr>
          <w:rFonts w:eastAsia="Times New Roman"/>
          <w:bCs w:val="0"/>
          <w:iCs/>
          <w:spacing w:val="-5"/>
          <w:sz w:val="24"/>
          <w:lang w:eastAsia="en-US"/>
        </w:rPr>
        <w:t xml:space="preserve">l kolmandas riigi tegutsemist alustatakse. </w:t>
      </w:r>
    </w:p>
    <w:p w14:paraId="0175BB60" w14:textId="77777777" w:rsidR="001A4507" w:rsidRPr="003331EF" w:rsidRDefault="001A4507" w:rsidP="003A07D7">
      <w:pPr>
        <w:pStyle w:val="Normal2"/>
        <w:rPr>
          <w:i/>
          <w:iCs/>
          <w:sz w:val="24"/>
        </w:rPr>
      </w:pPr>
    </w:p>
    <w:p w14:paraId="1CA1F073" w14:textId="2F5C989B" w:rsidR="001A4507" w:rsidRPr="003331EF" w:rsidRDefault="001A4507" w:rsidP="003A07D7">
      <w:pPr>
        <w:pStyle w:val="Normal2"/>
        <w:rPr>
          <w:rFonts w:eastAsia="Times New Roman"/>
          <w:bCs w:val="0"/>
          <w:iCs/>
          <w:spacing w:val="-5"/>
          <w:sz w:val="24"/>
          <w:lang w:eastAsia="en-US"/>
        </w:rPr>
      </w:pPr>
      <w:r w:rsidRPr="003331EF">
        <w:rPr>
          <w:b/>
          <w:sz w:val="24"/>
        </w:rPr>
        <w:t xml:space="preserve">Lõike </w:t>
      </w:r>
      <w:r w:rsidR="00DA714D">
        <w:rPr>
          <w:b/>
          <w:sz w:val="24"/>
        </w:rPr>
        <w:t>8</w:t>
      </w:r>
      <w:r w:rsidRPr="003331EF">
        <w:rPr>
          <w:b/>
          <w:sz w:val="24"/>
        </w:rPr>
        <w:t xml:space="preserve"> </w:t>
      </w:r>
      <w:r w:rsidRPr="003331EF">
        <w:rPr>
          <w:rFonts w:eastAsia="Times New Roman"/>
          <w:bCs w:val="0"/>
          <w:iCs/>
          <w:spacing w:val="-5"/>
          <w:sz w:val="24"/>
          <w:lang w:eastAsia="en-US"/>
        </w:rPr>
        <w:t xml:space="preserve">alusel kohustub </w:t>
      </w:r>
      <w:proofErr w:type="spellStart"/>
      <w:r w:rsidRPr="003331EF">
        <w:rPr>
          <w:rFonts w:eastAsia="Times New Roman"/>
          <w:bCs w:val="0"/>
          <w:iCs/>
          <w:spacing w:val="-5"/>
          <w:sz w:val="24"/>
          <w:lang w:eastAsia="en-US"/>
        </w:rPr>
        <w:t>krüptovaraturu</w:t>
      </w:r>
      <w:proofErr w:type="spellEnd"/>
      <w:r w:rsidRPr="003331EF">
        <w:rPr>
          <w:rFonts w:eastAsia="Times New Roman"/>
          <w:bCs w:val="0"/>
          <w:iCs/>
          <w:spacing w:val="-5"/>
          <w:sz w:val="24"/>
          <w:lang w:eastAsia="en-US"/>
        </w:rPr>
        <w:t xml:space="preserve"> osaline viivitamata teavitama Finantsinspektsiooni, kui sama paragrahvi lõikes 1 nimetatud andmetes või dokumentides on toimunud muudatusi. Eelduslikult tuleb Finantsinspektsiooni teavitada ennetavalt, st vähemalt üks kuu enne muudatuste rakendumist, kuid kui see ei ole võimalik, tuleks muudatustest teavitada viivitamata.</w:t>
      </w:r>
      <w:r w:rsidR="0099302C" w:rsidRPr="003331EF">
        <w:rPr>
          <w:rFonts w:eastAsia="Times New Roman"/>
          <w:bCs w:val="0"/>
          <w:iCs/>
          <w:spacing w:val="-5"/>
          <w:sz w:val="24"/>
          <w:lang w:eastAsia="en-US"/>
        </w:rPr>
        <w:t xml:space="preserve"> Finantsinspektsioonil on õigus keelata muudatuste tegemine lõikes 4 sätestatud alustel. </w:t>
      </w:r>
    </w:p>
    <w:p w14:paraId="0B922374" w14:textId="77777777" w:rsidR="001A4507" w:rsidRPr="003A07D7" w:rsidRDefault="001A4507" w:rsidP="003A07D7">
      <w:pPr>
        <w:pStyle w:val="Normal2"/>
        <w:rPr>
          <w:b/>
          <w:sz w:val="24"/>
        </w:rPr>
      </w:pPr>
    </w:p>
    <w:p w14:paraId="5B903DE8" w14:textId="1E84DC8E" w:rsidR="0099302C" w:rsidRPr="003331EF" w:rsidRDefault="0099302C" w:rsidP="003331EF">
      <w:pPr>
        <w:pStyle w:val="Normal2"/>
        <w:rPr>
          <w:b/>
          <w:sz w:val="24"/>
        </w:rPr>
      </w:pPr>
      <w:r w:rsidRPr="003331EF">
        <w:rPr>
          <w:b/>
          <w:sz w:val="24"/>
        </w:rPr>
        <w:t xml:space="preserve">Paragrahv 11. </w:t>
      </w:r>
      <w:r w:rsidR="00AE68EA" w:rsidRPr="003331EF">
        <w:rPr>
          <w:b/>
          <w:sz w:val="24"/>
        </w:rPr>
        <w:t>Kolmandas riigis tegutsemise loa kehtetuks tunnistamine</w:t>
      </w:r>
    </w:p>
    <w:p w14:paraId="56A10596" w14:textId="77777777" w:rsidR="0099302C" w:rsidRPr="003331EF" w:rsidRDefault="0099302C" w:rsidP="003331EF">
      <w:pPr>
        <w:pStyle w:val="Normal2"/>
        <w:rPr>
          <w:b/>
          <w:sz w:val="24"/>
        </w:rPr>
      </w:pPr>
    </w:p>
    <w:p w14:paraId="7873A615" w14:textId="5BB5D701" w:rsidR="00AE68EA" w:rsidRPr="003331EF" w:rsidRDefault="00AE68EA" w:rsidP="003331EF">
      <w:pPr>
        <w:pStyle w:val="Normaallaadveeb"/>
        <w:shd w:val="clear" w:color="auto" w:fill="FFFFFF"/>
        <w:spacing w:before="0" w:beforeAutospacing="0" w:after="0" w:afterAutospacing="0"/>
        <w:jc w:val="both"/>
      </w:pPr>
      <w:r w:rsidRPr="003331EF">
        <w:t>Paragrahvis nähakse ette alused kolmandas riigis tegutsemis</w:t>
      </w:r>
      <w:r w:rsidR="003A07D7">
        <w:rPr>
          <w:lang w:val="et-EE"/>
        </w:rPr>
        <w:t>e</w:t>
      </w:r>
      <w:r w:rsidRPr="003331EF">
        <w:t xml:space="preserve"> loa kehtetuks tunnistamiseks, mille aluseks on näiteks juhtum, kus loa taotlemisel on esitatud valeandmeid, nõuetekohased aruanded on esitamata jms</w:t>
      </w:r>
      <w:r w:rsidR="000B09E5" w:rsidRPr="003331EF">
        <w:t xml:space="preserve"> </w:t>
      </w:r>
      <w:r w:rsidR="000B09E5" w:rsidRPr="003331EF">
        <w:rPr>
          <w:b/>
        </w:rPr>
        <w:t>(lõige 1)</w:t>
      </w:r>
      <w:r w:rsidRPr="003331EF">
        <w:t xml:space="preserve">. </w:t>
      </w:r>
      <w:r w:rsidR="00531BF0" w:rsidRPr="003331EF">
        <w:t xml:space="preserve">Kuna § 10 lõike 3 kohaselt </w:t>
      </w:r>
      <w:r w:rsidR="00531BF0" w:rsidRPr="003331EF">
        <w:rPr>
          <w:lang w:val="et-EE"/>
        </w:rPr>
        <w:t>võib k</w:t>
      </w:r>
      <w:proofErr w:type="spellStart"/>
      <w:r w:rsidR="00531BF0" w:rsidRPr="003331EF">
        <w:t>rüptovaraturu</w:t>
      </w:r>
      <w:proofErr w:type="spellEnd"/>
      <w:r w:rsidR="00531BF0" w:rsidRPr="003331EF">
        <w:t xml:space="preserve"> osaline kolmandas riigis filiaali asutada, piiriüleselt teenust osutada, </w:t>
      </w:r>
      <w:proofErr w:type="spellStart"/>
      <w:r w:rsidR="00531BF0" w:rsidRPr="003331EF">
        <w:t>krüptovara</w:t>
      </w:r>
      <w:proofErr w:type="spellEnd"/>
      <w:r w:rsidR="00531BF0" w:rsidRPr="003331EF">
        <w:t xml:space="preserve"> pakkuda ja kauplemisele võtmist taotleda vastavalt selle riigi õigusaktides,</w:t>
      </w:r>
      <w:r w:rsidR="00531BF0" w:rsidRPr="003331EF">
        <w:rPr>
          <w:sz w:val="22"/>
          <w:szCs w:val="22"/>
        </w:rPr>
        <w:t xml:space="preserve"> </w:t>
      </w:r>
      <w:r w:rsidR="00531BF0" w:rsidRPr="003331EF">
        <w:t>käesolevas seaduses ja selle alusel antud õigusaktides</w:t>
      </w:r>
      <w:r w:rsidR="00531BF0" w:rsidRPr="003331EF">
        <w:rPr>
          <w:sz w:val="22"/>
        </w:rPr>
        <w:t xml:space="preserve"> </w:t>
      </w:r>
      <w:r w:rsidR="00531BF0" w:rsidRPr="003331EF">
        <w:t xml:space="preserve">sätestatule ning võttes arvesse Finantsinspektsiooni ja asjakohasel </w:t>
      </w:r>
      <w:r w:rsidR="00531BF0" w:rsidRPr="003331EF">
        <w:lastRenderedPageBreak/>
        <w:t xml:space="preserve">juhul kolmanda riigi </w:t>
      </w:r>
      <w:r w:rsidR="009A1BBA" w:rsidRPr="003331EF">
        <w:rPr>
          <w:lang w:val="et-EE"/>
        </w:rPr>
        <w:t>pädeva asutuse</w:t>
      </w:r>
      <w:r w:rsidR="00531BF0" w:rsidRPr="003331EF">
        <w:t xml:space="preserve"> kehtestatud nõudeid</w:t>
      </w:r>
      <w:r w:rsidR="00531BF0" w:rsidRPr="003331EF">
        <w:rPr>
          <w:lang w:val="et-EE"/>
        </w:rPr>
        <w:t>, siis on üheks loa kehtetuks tunnistamise aluseks</w:t>
      </w:r>
      <w:r w:rsidR="002B330B" w:rsidRPr="003331EF">
        <w:rPr>
          <w:lang w:val="et-EE"/>
        </w:rPr>
        <w:t xml:space="preserve"> asjaolu</w:t>
      </w:r>
      <w:r w:rsidR="00531BF0" w:rsidRPr="003331EF">
        <w:rPr>
          <w:lang w:val="et-EE"/>
        </w:rPr>
        <w:t xml:space="preserve">, et </w:t>
      </w:r>
      <w:proofErr w:type="spellStart"/>
      <w:r w:rsidR="00531BF0" w:rsidRPr="003331EF">
        <w:t>krüptovaraturu</w:t>
      </w:r>
      <w:proofErr w:type="spellEnd"/>
      <w:r w:rsidR="00531BF0" w:rsidRPr="003331EF">
        <w:t xml:space="preserve"> osaline on olulisel määral rikkunud asjaomase kolmanda riigi õigusaktide</w:t>
      </w:r>
      <w:r w:rsidR="009C3C08" w:rsidRPr="003331EF">
        <w:rPr>
          <w:lang w:val="et-EE"/>
        </w:rPr>
        <w:t xml:space="preserve">s ette nähtud </w:t>
      </w:r>
      <w:r w:rsidR="00531BF0" w:rsidRPr="003331EF">
        <w:t xml:space="preserve">nõudeid ja see võib kahjustada </w:t>
      </w:r>
      <w:proofErr w:type="spellStart"/>
      <w:r w:rsidR="00531BF0" w:rsidRPr="003331EF">
        <w:t>krüptovaraturu</w:t>
      </w:r>
      <w:proofErr w:type="spellEnd"/>
      <w:r w:rsidR="00531BF0" w:rsidRPr="003331EF">
        <w:t xml:space="preserve"> osalise klientide huve</w:t>
      </w:r>
      <w:r w:rsidR="00531BF0" w:rsidRPr="003331EF">
        <w:rPr>
          <w:lang w:val="et-EE"/>
        </w:rPr>
        <w:t xml:space="preserve">. </w:t>
      </w:r>
      <w:r w:rsidR="009C3C08" w:rsidRPr="003331EF">
        <w:rPr>
          <w:lang w:val="et-EE"/>
        </w:rPr>
        <w:t>Olulise rikkumise hindamisel lähtutakse eelkõige klintide huvide kaitsest ning kui on oht klie</w:t>
      </w:r>
      <w:r w:rsidR="007B2D56">
        <w:rPr>
          <w:lang w:val="et-EE"/>
        </w:rPr>
        <w:t>n</w:t>
      </w:r>
      <w:r w:rsidR="009C3C08" w:rsidRPr="003331EF">
        <w:rPr>
          <w:lang w:val="et-EE"/>
        </w:rPr>
        <w:t xml:space="preserve">tide huvile, siis võib seda pidada juba oluliseks rikkumiseks. </w:t>
      </w:r>
      <w:r w:rsidR="002172AF" w:rsidRPr="003331EF">
        <w:rPr>
          <w:lang w:val="et-EE"/>
        </w:rPr>
        <w:t xml:space="preserve">Kolmandas riigis tegutsemise loa võib </w:t>
      </w:r>
      <w:proofErr w:type="spellStart"/>
      <w:r w:rsidR="002172AF" w:rsidRPr="003331EF">
        <w:rPr>
          <w:lang w:val="et-EE"/>
        </w:rPr>
        <w:t>kehetutks</w:t>
      </w:r>
      <w:proofErr w:type="spellEnd"/>
      <w:r w:rsidR="002172AF" w:rsidRPr="003331EF">
        <w:rPr>
          <w:lang w:val="et-EE"/>
        </w:rPr>
        <w:t xml:space="preserve"> tunnistada ka siis, kui </w:t>
      </w:r>
      <w:proofErr w:type="spellStart"/>
      <w:r w:rsidR="002172AF" w:rsidRPr="003331EF">
        <w:rPr>
          <w:lang w:val="et-EE"/>
        </w:rPr>
        <w:t>krüptovaraturu</w:t>
      </w:r>
      <w:proofErr w:type="spellEnd"/>
      <w:r w:rsidR="002172AF" w:rsidRPr="003331EF">
        <w:rPr>
          <w:lang w:val="et-EE"/>
        </w:rPr>
        <w:t xml:space="preserve"> osaline ei vasta enam kolmandas riigis loa saamise tingimustele</w:t>
      </w:r>
      <w:r w:rsidR="00EE2416" w:rsidRPr="003331EF">
        <w:rPr>
          <w:lang w:val="et-EE"/>
        </w:rPr>
        <w:t xml:space="preserve">, sealjuures on ilmnenud § 10 lõikes </w:t>
      </w:r>
      <w:r w:rsidR="001E7E46" w:rsidRPr="003331EF">
        <w:rPr>
          <w:lang w:val="et-EE"/>
        </w:rPr>
        <w:t>5</w:t>
      </w:r>
      <w:r w:rsidR="00EE2416" w:rsidRPr="003331EF">
        <w:rPr>
          <w:lang w:val="et-EE"/>
        </w:rPr>
        <w:t xml:space="preserve"> sätestatud asjaolud. </w:t>
      </w:r>
      <w:r w:rsidR="00DD0B5D" w:rsidRPr="003331EF">
        <w:rPr>
          <w:lang w:val="et-EE"/>
        </w:rPr>
        <w:t xml:space="preserve">Ka </w:t>
      </w:r>
      <w:proofErr w:type="spellStart"/>
      <w:r w:rsidR="00DD0B5D" w:rsidRPr="003331EF">
        <w:rPr>
          <w:lang w:val="et-EE"/>
        </w:rPr>
        <w:t>krüptovaraturu</w:t>
      </w:r>
      <w:proofErr w:type="spellEnd"/>
      <w:r w:rsidR="00DD0B5D" w:rsidRPr="003331EF">
        <w:rPr>
          <w:lang w:val="et-EE"/>
        </w:rPr>
        <w:t xml:space="preserve"> osalisele määratud ettekirjutuse mittetäitmine võib viia selleni, et kolmandas riigis tegutsemise luba tunnistatakse kehtetuks.</w:t>
      </w:r>
    </w:p>
    <w:p w14:paraId="74D50A33" w14:textId="77777777" w:rsidR="000B09E5" w:rsidRPr="003331EF" w:rsidRDefault="000B09E5" w:rsidP="003331EF">
      <w:pPr>
        <w:pStyle w:val="Normaallaadveeb"/>
        <w:shd w:val="clear" w:color="auto" w:fill="FFFFFF"/>
        <w:spacing w:before="0" w:beforeAutospacing="0" w:after="0" w:afterAutospacing="0"/>
        <w:jc w:val="both"/>
        <w:rPr>
          <w:lang w:val="et-EE"/>
        </w:rPr>
      </w:pPr>
    </w:p>
    <w:p w14:paraId="1FC1CA84" w14:textId="4A9B10C7" w:rsidR="000B09E5" w:rsidRPr="003331EF" w:rsidRDefault="000B09E5" w:rsidP="003331EF">
      <w:pPr>
        <w:pStyle w:val="Normaallaadveeb"/>
        <w:shd w:val="clear" w:color="auto" w:fill="FFFFFF"/>
        <w:spacing w:before="0" w:beforeAutospacing="0" w:after="0" w:afterAutospacing="0"/>
        <w:jc w:val="both"/>
        <w:rPr>
          <w:rFonts w:eastAsia="Times New Roman"/>
          <w:iCs/>
          <w:spacing w:val="-5"/>
          <w:lang w:val="et-EE" w:eastAsia="en-US"/>
        </w:rPr>
      </w:pPr>
      <w:r w:rsidRPr="003331EF">
        <w:rPr>
          <w:b/>
          <w:bCs/>
          <w:lang w:val="et-EE"/>
        </w:rPr>
        <w:t>Lõige 2</w:t>
      </w:r>
      <w:r w:rsidRPr="003331EF">
        <w:rPr>
          <w:lang w:val="et-EE"/>
        </w:rPr>
        <w:t xml:space="preserve">. </w:t>
      </w:r>
      <w:r w:rsidRPr="003331EF">
        <w:rPr>
          <w:rFonts w:eastAsia="Times New Roman"/>
          <w:iCs/>
          <w:spacing w:val="-5"/>
          <w:lang w:val="et-EE" w:eastAsia="en-US"/>
        </w:rPr>
        <w:t xml:space="preserve">Loa kehtetuks tunnistamise otsuse teeb Finantsinspektsioon </w:t>
      </w:r>
      <w:proofErr w:type="spellStart"/>
      <w:r w:rsidRPr="003331EF">
        <w:rPr>
          <w:rFonts w:eastAsia="Times New Roman"/>
          <w:iCs/>
          <w:spacing w:val="-5"/>
          <w:lang w:val="et-EE" w:eastAsia="en-US"/>
        </w:rPr>
        <w:t>krüptovaraturu</w:t>
      </w:r>
      <w:proofErr w:type="spellEnd"/>
      <w:r w:rsidRPr="003331EF">
        <w:rPr>
          <w:rFonts w:eastAsia="Times New Roman"/>
          <w:iCs/>
          <w:spacing w:val="-5"/>
          <w:lang w:val="et-EE" w:eastAsia="en-US"/>
        </w:rPr>
        <w:t xml:space="preserve"> osalisele ja asjakohasel juhul kolmanda riigi finantsjärelevalve asutusele viivitamata teatavaks. Kolmandas riigis tegutsemine tuleb lõpetada hiljemalt Finantsinspektsiooni määratud tähtpäevaks.</w:t>
      </w:r>
    </w:p>
    <w:p w14:paraId="299F70FB" w14:textId="77777777" w:rsidR="009C3C08" w:rsidRPr="003331EF" w:rsidRDefault="009C3C08" w:rsidP="003331EF">
      <w:pPr>
        <w:pStyle w:val="Normaallaadveeb"/>
        <w:shd w:val="clear" w:color="auto" w:fill="FFFFFF"/>
        <w:spacing w:before="0" w:beforeAutospacing="0" w:after="0" w:afterAutospacing="0"/>
        <w:jc w:val="both"/>
        <w:rPr>
          <w:rFonts w:eastAsia="Times New Roman"/>
          <w:iCs/>
          <w:spacing w:val="-5"/>
          <w:lang w:val="et-EE" w:eastAsia="en-US"/>
        </w:rPr>
      </w:pPr>
    </w:p>
    <w:p w14:paraId="45137E45" w14:textId="2FD957B4" w:rsidR="009C3C08" w:rsidRPr="003331EF" w:rsidRDefault="009C3C08" w:rsidP="003331EF">
      <w:pPr>
        <w:spacing w:before="0"/>
        <w:rPr>
          <w:b/>
        </w:rPr>
      </w:pPr>
      <w:r w:rsidRPr="003331EF">
        <w:rPr>
          <w:b/>
        </w:rPr>
        <w:t xml:space="preserve">Paragrahv 12. </w:t>
      </w:r>
      <w:r w:rsidR="00E7716C" w:rsidRPr="003331EF">
        <w:rPr>
          <w:b/>
        </w:rPr>
        <w:t xml:space="preserve">Lepinguriigi </w:t>
      </w:r>
      <w:proofErr w:type="spellStart"/>
      <w:r w:rsidR="00E7716C" w:rsidRPr="003331EF">
        <w:rPr>
          <w:b/>
        </w:rPr>
        <w:t>krüptovaraturu</w:t>
      </w:r>
      <w:proofErr w:type="spellEnd"/>
      <w:r w:rsidR="00E7716C" w:rsidRPr="003331EF">
        <w:rPr>
          <w:b/>
        </w:rPr>
        <w:t xml:space="preserve"> osalise tegevus Eestis</w:t>
      </w:r>
    </w:p>
    <w:p w14:paraId="17E00106" w14:textId="77777777" w:rsidR="009C3C08" w:rsidRPr="003331EF" w:rsidRDefault="009C3C08" w:rsidP="003331EF">
      <w:pPr>
        <w:spacing w:before="0"/>
        <w:rPr>
          <w:bCs/>
        </w:rPr>
      </w:pPr>
    </w:p>
    <w:p w14:paraId="28A88619" w14:textId="204CE66B" w:rsidR="00E7716C" w:rsidRPr="003331EF" w:rsidRDefault="00E7716C" w:rsidP="003331EF">
      <w:pPr>
        <w:spacing w:before="0"/>
        <w:rPr>
          <w:bCs/>
        </w:rPr>
      </w:pPr>
      <w:r w:rsidRPr="003331EF">
        <w:rPr>
          <w:b/>
        </w:rPr>
        <w:t>Lõike 1</w:t>
      </w:r>
      <w:r w:rsidRPr="003331EF">
        <w:rPr>
          <w:bCs/>
        </w:rPr>
        <w:t xml:space="preserve"> puhul on selguse huvides välja toodud, et kui lepinguriigi </w:t>
      </w:r>
      <w:proofErr w:type="spellStart"/>
      <w:r w:rsidRPr="003331EF">
        <w:rPr>
          <w:bCs/>
        </w:rPr>
        <w:t>krüptovaraturu</w:t>
      </w:r>
      <w:proofErr w:type="spellEnd"/>
      <w:r w:rsidRPr="003331EF">
        <w:rPr>
          <w:bCs/>
        </w:rPr>
        <w:t xml:space="preserve"> osaline soovib Eestis tegutseda, siis ta saab seda teha filiaali kaudu või tegutsedes piiriüleselt. </w:t>
      </w:r>
      <w:r w:rsidR="00EB7F35" w:rsidRPr="003331EF">
        <w:rPr>
          <w:bCs/>
        </w:rPr>
        <w:t xml:space="preserve">Näiteks </w:t>
      </w:r>
      <w:r w:rsidR="005D498D" w:rsidRPr="003331EF">
        <w:rPr>
          <w:bCs/>
        </w:rPr>
        <w:t xml:space="preserve">ütleb </w:t>
      </w:r>
      <w:proofErr w:type="spellStart"/>
      <w:r w:rsidR="00EB7F35" w:rsidRPr="003331EF">
        <w:rPr>
          <w:bCs/>
        </w:rPr>
        <w:t>MiCA</w:t>
      </w:r>
      <w:proofErr w:type="spellEnd"/>
      <w:r w:rsidR="00EB7F35" w:rsidRPr="003331EF">
        <w:rPr>
          <w:bCs/>
        </w:rPr>
        <w:t xml:space="preserve"> määruse artikli 59 lõige 7, et </w:t>
      </w:r>
      <w:proofErr w:type="spellStart"/>
      <w:r w:rsidR="00EB7F35" w:rsidRPr="003331EF">
        <w:rPr>
          <w:bCs/>
        </w:rPr>
        <w:t>krüptovarateenuse</w:t>
      </w:r>
      <w:proofErr w:type="spellEnd"/>
      <w:r w:rsidR="00EB7F35" w:rsidRPr="003331EF">
        <w:rPr>
          <w:bCs/>
        </w:rPr>
        <w:t xml:space="preserve"> osutajal on lubatud </w:t>
      </w:r>
      <w:proofErr w:type="spellStart"/>
      <w:r w:rsidR="00EB7F35" w:rsidRPr="003331EF">
        <w:rPr>
          <w:bCs/>
        </w:rPr>
        <w:t>krüptovarateenuseid</w:t>
      </w:r>
      <w:proofErr w:type="spellEnd"/>
      <w:r w:rsidR="00EB7F35" w:rsidRPr="003331EF">
        <w:rPr>
          <w:bCs/>
        </w:rPr>
        <w:t xml:space="preserve"> osutada kogu liidus asutamisõiguse, sealhulgas filiaali kaudu, või teenuste osutamise vabaduse alusel. </w:t>
      </w:r>
    </w:p>
    <w:p w14:paraId="1F42CEC4" w14:textId="77777777" w:rsidR="002B330B" w:rsidRPr="003331EF" w:rsidRDefault="002B330B" w:rsidP="003331EF">
      <w:pPr>
        <w:spacing w:before="0"/>
        <w:rPr>
          <w:bCs/>
        </w:rPr>
      </w:pPr>
    </w:p>
    <w:p w14:paraId="358FB0E7" w14:textId="2F6C2D6A" w:rsidR="00DB634A" w:rsidRPr="003331EF" w:rsidRDefault="00E7716C" w:rsidP="003331EF">
      <w:pPr>
        <w:spacing w:before="0"/>
        <w:rPr>
          <w:bCs/>
        </w:rPr>
      </w:pPr>
      <w:proofErr w:type="spellStart"/>
      <w:r w:rsidRPr="003331EF">
        <w:rPr>
          <w:bCs/>
        </w:rPr>
        <w:t>MiCA</w:t>
      </w:r>
      <w:proofErr w:type="spellEnd"/>
      <w:r w:rsidRPr="003331EF">
        <w:rPr>
          <w:bCs/>
        </w:rPr>
        <w:t xml:space="preserve"> määruse artiklis 65 on reguleeritud</w:t>
      </w:r>
      <w:r w:rsidR="001E3C04" w:rsidRPr="003331EF">
        <w:rPr>
          <w:bCs/>
        </w:rPr>
        <w:t xml:space="preserve">, mis tingimused peavad olema täidetud (teabe esitamine päritolu järelevalveasutusele, kes edastab selle vastuvõtvale </w:t>
      </w:r>
      <w:proofErr w:type="spellStart"/>
      <w:r w:rsidR="001E3C04" w:rsidRPr="003331EF">
        <w:rPr>
          <w:bCs/>
        </w:rPr>
        <w:t>järelevalveasutsuele</w:t>
      </w:r>
      <w:proofErr w:type="spellEnd"/>
      <w:r w:rsidR="001E3C04" w:rsidRPr="003331EF">
        <w:rPr>
          <w:bCs/>
        </w:rPr>
        <w:t xml:space="preserve">), kui </w:t>
      </w:r>
      <w:proofErr w:type="spellStart"/>
      <w:r w:rsidR="001E3C04" w:rsidRPr="003331EF">
        <w:rPr>
          <w:bCs/>
        </w:rPr>
        <w:t>krüptovarateenuse</w:t>
      </w:r>
      <w:proofErr w:type="spellEnd"/>
      <w:r w:rsidR="001E3C04" w:rsidRPr="003331EF">
        <w:rPr>
          <w:bCs/>
        </w:rPr>
        <w:t xml:space="preserve"> osutaja soovib piiriüleselt teenust osutada. </w:t>
      </w:r>
      <w:proofErr w:type="spellStart"/>
      <w:r w:rsidR="001E3C04" w:rsidRPr="003331EF">
        <w:rPr>
          <w:bCs/>
        </w:rPr>
        <w:t>Krüptovara</w:t>
      </w:r>
      <w:proofErr w:type="spellEnd"/>
      <w:r w:rsidR="001E3C04" w:rsidRPr="003331EF">
        <w:rPr>
          <w:bCs/>
        </w:rPr>
        <w:t xml:space="preserve"> pakkumise ja kauplemisele võtmise taotlemise puhul ei ole määruses nii spetsiifiliselt osutatud piiriülesele tegevusele, kuid näiteks </w:t>
      </w:r>
      <w:proofErr w:type="spellStart"/>
      <w:r w:rsidR="001E3C04" w:rsidRPr="003331EF">
        <w:rPr>
          <w:bCs/>
        </w:rPr>
        <w:t>MiCA</w:t>
      </w:r>
      <w:proofErr w:type="spellEnd"/>
      <w:r w:rsidR="001E3C04" w:rsidRPr="003331EF">
        <w:rPr>
          <w:bCs/>
        </w:rPr>
        <w:t xml:space="preserve"> määruse artikli 21 lõike 5 kohaselt edastavad pädevad asutused vastuvõtvate liikmesriikide ühtsele kontaktpunktile, ESMA-</w:t>
      </w:r>
      <w:proofErr w:type="spellStart"/>
      <w:r w:rsidR="001E3C04" w:rsidRPr="003331EF">
        <w:rPr>
          <w:bCs/>
        </w:rPr>
        <w:t>le</w:t>
      </w:r>
      <w:proofErr w:type="spellEnd"/>
      <w:r w:rsidR="001E3C04" w:rsidRPr="003331EF">
        <w:rPr>
          <w:bCs/>
        </w:rPr>
        <w:t xml:space="preserve">, </w:t>
      </w:r>
      <w:proofErr w:type="spellStart"/>
      <w:r w:rsidR="001E3C04" w:rsidRPr="003331EF">
        <w:rPr>
          <w:bCs/>
        </w:rPr>
        <w:t>EBA-le</w:t>
      </w:r>
      <w:proofErr w:type="spellEnd"/>
      <w:r w:rsidR="001E3C04" w:rsidRPr="003331EF">
        <w:rPr>
          <w:bCs/>
        </w:rPr>
        <w:t xml:space="preserve">, Euroopa Keskpangale ja, kui see on kohaldatav, artikli 20 lõikes 4 osutatud keskpangale kahe tööpäeva jooksul alates tegevusloa andmisest artikli 109 lõikes 3 osutatud teabe. Artikli 109 lõike 3 punkti d kohaselt sisaldab see mh teavet vastuvõtvate liikmesriikide loetelu kohta, kui taotlev emitent kavatseb avalikult pakkuda varapõhist </w:t>
      </w:r>
      <w:proofErr w:type="spellStart"/>
      <w:r w:rsidR="001E3C04" w:rsidRPr="003331EF">
        <w:rPr>
          <w:bCs/>
        </w:rPr>
        <w:t>tokeni</w:t>
      </w:r>
      <w:proofErr w:type="spellEnd"/>
      <w:r w:rsidR="001E3C04" w:rsidRPr="003331EF">
        <w:rPr>
          <w:bCs/>
        </w:rPr>
        <w:t xml:space="preserve"> või kavatseb taotleda varapõhise </w:t>
      </w:r>
      <w:proofErr w:type="spellStart"/>
      <w:r w:rsidR="001E3C04" w:rsidRPr="003331EF">
        <w:rPr>
          <w:bCs/>
        </w:rPr>
        <w:t>tokeni</w:t>
      </w:r>
      <w:proofErr w:type="spellEnd"/>
      <w:r w:rsidR="001E3C04" w:rsidRPr="003331EF">
        <w:rPr>
          <w:bCs/>
        </w:rPr>
        <w:t xml:space="preserve"> kauplemisele võtmist. </w:t>
      </w:r>
      <w:r w:rsidR="00DB634A" w:rsidRPr="003331EF">
        <w:rPr>
          <w:bCs/>
        </w:rPr>
        <w:t xml:space="preserve">Samuti on </w:t>
      </w:r>
      <w:proofErr w:type="spellStart"/>
      <w:r w:rsidR="00DB634A" w:rsidRPr="003331EF">
        <w:rPr>
          <w:bCs/>
        </w:rPr>
        <w:t>MiCA</w:t>
      </w:r>
      <w:proofErr w:type="spellEnd"/>
      <w:r w:rsidR="00DB634A" w:rsidRPr="003331EF">
        <w:rPr>
          <w:bCs/>
        </w:rPr>
        <w:t xml:space="preserve"> määruse artikli 8 lõikes 6 sätestatud, et muu </w:t>
      </w:r>
      <w:proofErr w:type="spellStart"/>
      <w:r w:rsidR="00DB634A" w:rsidRPr="003331EF">
        <w:rPr>
          <w:bCs/>
        </w:rPr>
        <w:t>krüptovara</w:t>
      </w:r>
      <w:proofErr w:type="spellEnd"/>
      <w:r w:rsidR="00DB634A" w:rsidRPr="003331EF">
        <w:rPr>
          <w:bCs/>
        </w:rPr>
        <w:t xml:space="preserve"> pakkujad ja nende kauplemisele võtmist taotlevad isikud esitavad koos valge raamatuga oma päritoluliikmesriigi pädevale asutusele nimekirja võimalikest vastuvõtvatest liikmesriikidest, kus nad kavatsevad </w:t>
      </w:r>
      <w:proofErr w:type="spellStart"/>
      <w:r w:rsidR="00DB634A" w:rsidRPr="003331EF">
        <w:rPr>
          <w:bCs/>
        </w:rPr>
        <w:t>krüptovara</w:t>
      </w:r>
      <w:proofErr w:type="spellEnd"/>
      <w:r w:rsidR="00DB634A" w:rsidRPr="003331EF">
        <w:rPr>
          <w:bCs/>
        </w:rPr>
        <w:t xml:space="preserve"> avalikult pakkuda või selle kauplemisele võtmist taotleda ning päritoluliikmesriigi pädev asutus teavitab vastuvõtvate liikmesriikide ühtset kontaktpunkti kavandatud avalikust pakkumisest või kauplemisele võtmisest ning edastab sellele ühtsele kontaktpunktile vastava </w:t>
      </w:r>
      <w:proofErr w:type="spellStart"/>
      <w:r w:rsidR="00DB634A" w:rsidRPr="003331EF">
        <w:rPr>
          <w:bCs/>
        </w:rPr>
        <w:t>krüptovara</w:t>
      </w:r>
      <w:proofErr w:type="spellEnd"/>
      <w:r w:rsidR="00DB634A" w:rsidRPr="003331EF">
        <w:rPr>
          <w:bCs/>
        </w:rPr>
        <w:t xml:space="preserve"> valge raamatu viie tööpäeva jooksul alates vastuvõtvate liikmesriikide nimekirja kättesaamisest.</w:t>
      </w:r>
    </w:p>
    <w:p w14:paraId="01EF2FBB" w14:textId="77777777" w:rsidR="00EB7F35" w:rsidRPr="003331EF" w:rsidRDefault="00EB7F35" w:rsidP="003331EF">
      <w:pPr>
        <w:spacing w:before="0"/>
        <w:rPr>
          <w:bCs/>
        </w:rPr>
      </w:pPr>
    </w:p>
    <w:p w14:paraId="58112A02" w14:textId="41CE7C17" w:rsidR="001E3C04" w:rsidRPr="003331EF" w:rsidRDefault="00EB7F35" w:rsidP="003331EF">
      <w:pPr>
        <w:spacing w:before="0"/>
        <w:rPr>
          <w:bCs/>
        </w:rPr>
      </w:pPr>
      <w:r w:rsidRPr="003331EF">
        <w:rPr>
          <w:b/>
        </w:rPr>
        <w:t>Lõige 2</w:t>
      </w:r>
      <w:r w:rsidRPr="003331EF">
        <w:rPr>
          <w:bCs/>
        </w:rPr>
        <w:t xml:space="preserve">. Kuna järelevalve, sealhulgas järelevalvetasude määramise seisukohast on oluline teada, millal filiaal Eestis tegutsemist alustab, tuleks </w:t>
      </w:r>
      <w:proofErr w:type="spellStart"/>
      <w:r w:rsidRPr="003331EF">
        <w:rPr>
          <w:bCs/>
        </w:rPr>
        <w:t>päristuoluriigi</w:t>
      </w:r>
      <w:proofErr w:type="spellEnd"/>
      <w:r w:rsidRPr="003331EF">
        <w:rPr>
          <w:bCs/>
        </w:rPr>
        <w:t xml:space="preserve"> järelevalveasutuse vahendusel teavitada Finantsinspektsiooni, mis kuupäeval filiaal Eestis tegutsemist alustab. Samuti on </w:t>
      </w:r>
      <w:r w:rsidR="002B330B" w:rsidRPr="003331EF">
        <w:rPr>
          <w:bCs/>
        </w:rPr>
        <w:t xml:space="preserve">Finantsinspektsioonil </w:t>
      </w:r>
      <w:r w:rsidRPr="003331EF">
        <w:rPr>
          <w:bCs/>
        </w:rPr>
        <w:t>oluline teada, kui filiaal kavandab lõpetada oma tegevuse Eestis</w:t>
      </w:r>
      <w:r w:rsidR="005D498D" w:rsidRPr="003331EF">
        <w:rPr>
          <w:bCs/>
        </w:rPr>
        <w:t xml:space="preserve"> (</w:t>
      </w:r>
      <w:r w:rsidR="005D498D" w:rsidRPr="003331EF">
        <w:rPr>
          <w:b/>
        </w:rPr>
        <w:t xml:space="preserve">lõige </w:t>
      </w:r>
      <w:r w:rsidR="00F5049D" w:rsidRPr="003331EF">
        <w:rPr>
          <w:b/>
        </w:rPr>
        <w:t>4</w:t>
      </w:r>
      <w:r w:rsidR="005D498D" w:rsidRPr="003331EF">
        <w:rPr>
          <w:b/>
        </w:rPr>
        <w:t>)</w:t>
      </w:r>
      <w:r w:rsidRPr="003331EF">
        <w:rPr>
          <w:b/>
        </w:rPr>
        <w:t>.</w:t>
      </w:r>
      <w:r w:rsidRPr="003331EF">
        <w:rPr>
          <w:bCs/>
        </w:rPr>
        <w:t xml:space="preserve"> </w:t>
      </w:r>
      <w:r w:rsidR="00DB634A" w:rsidRPr="003331EF">
        <w:rPr>
          <w:bCs/>
        </w:rPr>
        <w:t xml:space="preserve"> </w:t>
      </w:r>
    </w:p>
    <w:p w14:paraId="5FD3CC7A" w14:textId="77777777" w:rsidR="001E3C04" w:rsidRPr="003331EF" w:rsidRDefault="001E3C04" w:rsidP="003331EF">
      <w:pPr>
        <w:spacing w:before="0"/>
        <w:rPr>
          <w:bCs/>
          <w:i/>
          <w:iCs/>
        </w:rPr>
      </w:pPr>
    </w:p>
    <w:p w14:paraId="0794027F" w14:textId="77777777" w:rsidR="009C3C08" w:rsidRPr="003331EF" w:rsidRDefault="009C3C08" w:rsidP="003331EF">
      <w:pPr>
        <w:spacing w:before="0"/>
        <w:rPr>
          <w:bCs/>
        </w:rPr>
      </w:pPr>
    </w:p>
    <w:p w14:paraId="54308845" w14:textId="257286B3" w:rsidR="009C3C08" w:rsidRPr="003331EF" w:rsidRDefault="009C3C08" w:rsidP="003331EF">
      <w:pPr>
        <w:spacing w:before="0"/>
        <w:rPr>
          <w:bCs/>
        </w:rPr>
      </w:pPr>
      <w:r w:rsidRPr="003331EF">
        <w:rPr>
          <w:b/>
        </w:rPr>
        <w:t xml:space="preserve">Lõige </w:t>
      </w:r>
      <w:r w:rsidR="00EB7F35" w:rsidRPr="003331EF">
        <w:rPr>
          <w:b/>
        </w:rPr>
        <w:t>3</w:t>
      </w:r>
      <w:r w:rsidRPr="003331EF">
        <w:rPr>
          <w:b/>
        </w:rPr>
        <w:t xml:space="preserve">. </w:t>
      </w:r>
      <w:r w:rsidRPr="003331EF">
        <w:rPr>
          <w:iCs/>
          <w:spacing w:val="-5"/>
          <w:lang w:eastAsia="en-US"/>
        </w:rPr>
        <w:t xml:space="preserve">Kuna </w:t>
      </w:r>
      <w:r w:rsidR="00EB7F35" w:rsidRPr="003331EF">
        <w:rPr>
          <w:iCs/>
          <w:spacing w:val="-5"/>
          <w:lang w:eastAsia="en-US"/>
        </w:rPr>
        <w:t xml:space="preserve">eelkirjeldatud põhjal võivad </w:t>
      </w:r>
      <w:r w:rsidRPr="003331EF">
        <w:rPr>
          <w:iCs/>
          <w:spacing w:val="-5"/>
          <w:lang w:eastAsia="en-US"/>
        </w:rPr>
        <w:t xml:space="preserve">Eestis </w:t>
      </w:r>
      <w:r w:rsidR="00EB7F35" w:rsidRPr="003331EF">
        <w:rPr>
          <w:iCs/>
          <w:spacing w:val="-5"/>
          <w:lang w:eastAsia="en-US"/>
        </w:rPr>
        <w:t>tegutseda</w:t>
      </w:r>
      <w:r w:rsidRPr="003331EF">
        <w:rPr>
          <w:iCs/>
          <w:spacing w:val="-5"/>
          <w:lang w:eastAsia="en-US"/>
        </w:rPr>
        <w:t xml:space="preserve"> ka teise lepinguriigi </w:t>
      </w:r>
      <w:proofErr w:type="spellStart"/>
      <w:r w:rsidRPr="003331EF">
        <w:rPr>
          <w:iCs/>
          <w:spacing w:val="-5"/>
          <w:lang w:eastAsia="en-US"/>
        </w:rPr>
        <w:t>krüptovarateenuse</w:t>
      </w:r>
      <w:proofErr w:type="spellEnd"/>
      <w:r w:rsidRPr="003331EF">
        <w:rPr>
          <w:iCs/>
          <w:spacing w:val="-5"/>
          <w:lang w:eastAsia="en-US"/>
        </w:rPr>
        <w:t xml:space="preserve"> osutajad</w:t>
      </w:r>
      <w:r w:rsidR="00EB7F35" w:rsidRPr="003331EF">
        <w:rPr>
          <w:iCs/>
          <w:spacing w:val="-5"/>
          <w:lang w:eastAsia="en-US"/>
        </w:rPr>
        <w:t xml:space="preserve"> ja </w:t>
      </w:r>
      <w:proofErr w:type="spellStart"/>
      <w:r w:rsidR="00EB7F35" w:rsidRPr="003331EF">
        <w:rPr>
          <w:iCs/>
          <w:spacing w:val="-5"/>
          <w:lang w:eastAsia="en-US"/>
        </w:rPr>
        <w:t>krüptovara</w:t>
      </w:r>
      <w:proofErr w:type="spellEnd"/>
      <w:r w:rsidR="00EB7F35" w:rsidRPr="003331EF">
        <w:rPr>
          <w:iCs/>
          <w:spacing w:val="-5"/>
          <w:lang w:eastAsia="en-US"/>
        </w:rPr>
        <w:t xml:space="preserve"> pakkujad ja </w:t>
      </w:r>
      <w:proofErr w:type="spellStart"/>
      <w:r w:rsidR="00EB7F35" w:rsidRPr="003331EF">
        <w:rPr>
          <w:iCs/>
          <w:spacing w:val="-5"/>
          <w:lang w:eastAsia="en-US"/>
        </w:rPr>
        <w:t>krüptovara</w:t>
      </w:r>
      <w:proofErr w:type="spellEnd"/>
      <w:r w:rsidR="00EB7F35" w:rsidRPr="003331EF">
        <w:rPr>
          <w:iCs/>
          <w:spacing w:val="-5"/>
          <w:lang w:eastAsia="en-US"/>
        </w:rPr>
        <w:t xml:space="preserve"> kauplemisele võtmist taotlevad isikud</w:t>
      </w:r>
      <w:r w:rsidRPr="003331EF">
        <w:rPr>
          <w:iCs/>
          <w:spacing w:val="-5"/>
          <w:lang w:eastAsia="en-US"/>
        </w:rPr>
        <w:t xml:space="preserve">, on lõikes </w:t>
      </w:r>
      <w:r w:rsidR="005D498D" w:rsidRPr="003331EF">
        <w:rPr>
          <w:iCs/>
          <w:spacing w:val="-5"/>
          <w:lang w:eastAsia="en-US"/>
        </w:rPr>
        <w:t>4</w:t>
      </w:r>
      <w:r w:rsidRPr="003331EF">
        <w:rPr>
          <w:iCs/>
          <w:spacing w:val="-5"/>
          <w:lang w:eastAsia="en-US"/>
        </w:rPr>
        <w:t xml:space="preserve"> välja toodud, et nad peavad järgima ka käesoleva seadusega ja selle alusel tema tegevusele kehtestatud nõudeid ning muid Eesti õigusaktidest tulenevaid nõudeid Eestis tegutsemise kohta. </w:t>
      </w:r>
      <w:r w:rsidRPr="003331EF">
        <w:rPr>
          <w:iCs/>
          <w:spacing w:val="-5"/>
          <w:lang w:eastAsia="en-US"/>
        </w:rPr>
        <w:lastRenderedPageBreak/>
        <w:t>Käesolevas seaduses (§ 1</w:t>
      </w:r>
      <w:r w:rsidR="00EB7F35" w:rsidRPr="003331EF">
        <w:rPr>
          <w:iCs/>
          <w:spacing w:val="-5"/>
          <w:lang w:eastAsia="en-US"/>
        </w:rPr>
        <w:t>5</w:t>
      </w:r>
      <w:r w:rsidRPr="003331EF">
        <w:rPr>
          <w:iCs/>
          <w:spacing w:val="-5"/>
          <w:lang w:eastAsia="en-US"/>
        </w:rPr>
        <w:t xml:space="preserve">) on näiteks sätestatud kohustus esitada Finantsinspektsioonile </w:t>
      </w:r>
      <w:proofErr w:type="spellStart"/>
      <w:r w:rsidRPr="003331EF">
        <w:rPr>
          <w:iCs/>
          <w:spacing w:val="-5"/>
          <w:lang w:eastAsia="en-US"/>
        </w:rPr>
        <w:t>järelevlavelist</w:t>
      </w:r>
      <w:proofErr w:type="spellEnd"/>
      <w:r w:rsidRPr="003331EF">
        <w:rPr>
          <w:iCs/>
          <w:spacing w:val="-5"/>
          <w:lang w:eastAsia="en-US"/>
        </w:rPr>
        <w:t xml:space="preserve"> aruandlust. F</w:t>
      </w:r>
      <w:r w:rsidR="005D498D" w:rsidRPr="003331EF">
        <w:rPr>
          <w:iCs/>
          <w:spacing w:val="-5"/>
          <w:lang w:eastAsia="en-US"/>
        </w:rPr>
        <w:t>i</w:t>
      </w:r>
      <w:r w:rsidRPr="003331EF">
        <w:rPr>
          <w:iCs/>
          <w:spacing w:val="-5"/>
          <w:lang w:eastAsia="en-US"/>
        </w:rPr>
        <w:t xml:space="preserve">nantsinspektsiooni seadus näeb ette järelevalvetasu maksmise kohustuse. </w:t>
      </w:r>
    </w:p>
    <w:p w14:paraId="5EA7D449" w14:textId="77777777" w:rsidR="002B330B" w:rsidRPr="003331EF" w:rsidRDefault="002B330B" w:rsidP="003331EF">
      <w:pPr>
        <w:spacing w:before="0"/>
        <w:rPr>
          <w:rFonts w:eastAsiaTheme="minorHAnsi"/>
        </w:rPr>
      </w:pPr>
    </w:p>
    <w:p w14:paraId="0A7A068B" w14:textId="35A63F38" w:rsidR="00AE68EA" w:rsidRPr="003331EF" w:rsidRDefault="00AE68EA" w:rsidP="003331EF">
      <w:pPr>
        <w:spacing w:before="0"/>
        <w:rPr>
          <w:bCs/>
        </w:rPr>
      </w:pPr>
      <w:r w:rsidRPr="003331EF">
        <w:rPr>
          <w:b/>
        </w:rPr>
        <w:t xml:space="preserve">Seaduse </w:t>
      </w:r>
      <w:r w:rsidR="001E7E46" w:rsidRPr="003331EF">
        <w:rPr>
          <w:b/>
        </w:rPr>
        <w:t>4</w:t>
      </w:r>
      <w:r w:rsidRPr="003331EF">
        <w:rPr>
          <w:b/>
        </w:rPr>
        <w:t>. peatük</w:t>
      </w:r>
      <w:r w:rsidR="003856AF" w:rsidRPr="003331EF">
        <w:rPr>
          <w:b/>
        </w:rPr>
        <w:t>is</w:t>
      </w:r>
      <w:r w:rsidRPr="003331EF">
        <w:rPr>
          <w:b/>
        </w:rPr>
        <w:t xml:space="preserve"> </w:t>
      </w:r>
      <w:r w:rsidRPr="003331EF">
        <w:rPr>
          <w:bCs/>
        </w:rPr>
        <w:t>tä</w:t>
      </w:r>
      <w:r w:rsidR="003856AF" w:rsidRPr="003331EF">
        <w:rPr>
          <w:bCs/>
        </w:rPr>
        <w:t xml:space="preserve">psustatakse </w:t>
      </w:r>
      <w:r w:rsidRPr="003331EF">
        <w:rPr>
          <w:bCs/>
        </w:rPr>
        <w:t xml:space="preserve">regulatsiooni seoses olulise osaluse omandamisega, eelkõige seoses Finantsinspektsiooni </w:t>
      </w:r>
      <w:r w:rsidR="0078573D" w:rsidRPr="003331EF">
        <w:rPr>
          <w:bCs/>
        </w:rPr>
        <w:t>järelevalveliste õigustega</w:t>
      </w:r>
      <w:r w:rsidRPr="003331EF">
        <w:rPr>
          <w:bCs/>
        </w:rPr>
        <w:t>.</w:t>
      </w:r>
      <w:r w:rsidR="003856AF" w:rsidRPr="003331EF">
        <w:rPr>
          <w:bCs/>
        </w:rPr>
        <w:t xml:space="preserve"> </w:t>
      </w:r>
    </w:p>
    <w:p w14:paraId="69FE8577" w14:textId="77777777" w:rsidR="00AE68EA" w:rsidRPr="003331EF" w:rsidRDefault="00AE68EA" w:rsidP="003331EF">
      <w:pPr>
        <w:spacing w:before="0"/>
        <w:rPr>
          <w:bCs/>
        </w:rPr>
      </w:pPr>
    </w:p>
    <w:p w14:paraId="2EFAF2C5" w14:textId="45D4180B" w:rsidR="00AE68EA" w:rsidRPr="003331EF" w:rsidRDefault="00AE68EA" w:rsidP="003331EF">
      <w:pPr>
        <w:spacing w:before="0"/>
        <w:rPr>
          <w:b/>
          <w:bCs/>
        </w:rPr>
      </w:pPr>
      <w:r w:rsidRPr="003331EF">
        <w:rPr>
          <w:b/>
        </w:rPr>
        <w:t xml:space="preserve">Paragrahv </w:t>
      </w:r>
      <w:r w:rsidR="00EB7F35" w:rsidRPr="003331EF">
        <w:rPr>
          <w:b/>
        </w:rPr>
        <w:t>13</w:t>
      </w:r>
      <w:r w:rsidRPr="003331EF">
        <w:rPr>
          <w:bCs/>
        </w:rPr>
        <w:t xml:space="preserve">. </w:t>
      </w:r>
      <w:r w:rsidRPr="003331EF">
        <w:rPr>
          <w:b/>
          <w:bCs/>
        </w:rPr>
        <w:t>Olulise osaluse omandamise</w:t>
      </w:r>
      <w:r w:rsidR="00612D37" w:rsidRPr="003331EF">
        <w:rPr>
          <w:b/>
          <w:bCs/>
        </w:rPr>
        <w:t>, selle suurendamise ja kontrollitavaks äriühinguks muutmise</w:t>
      </w:r>
      <w:r w:rsidRPr="003331EF">
        <w:rPr>
          <w:b/>
          <w:bCs/>
        </w:rPr>
        <w:t xml:space="preserve"> keelamine ja osaluse ebaseadusliku omandamise tagajärjed</w:t>
      </w:r>
    </w:p>
    <w:p w14:paraId="5F2B214C" w14:textId="77777777" w:rsidR="00AE68EA" w:rsidRPr="003331EF" w:rsidRDefault="00AE68EA" w:rsidP="003331EF">
      <w:pPr>
        <w:spacing w:before="0"/>
        <w:rPr>
          <w:b/>
          <w:bCs/>
        </w:rPr>
      </w:pPr>
    </w:p>
    <w:p w14:paraId="108FBB61" w14:textId="4A881D6E" w:rsidR="005C53D6" w:rsidRPr="003331EF" w:rsidRDefault="008E6D99" w:rsidP="003331EF">
      <w:pPr>
        <w:spacing w:before="0"/>
        <w:rPr>
          <w:iCs/>
          <w:spacing w:val="-5"/>
          <w:lang w:eastAsia="en-US"/>
        </w:rPr>
      </w:pPr>
      <w:r w:rsidRPr="003331EF">
        <w:rPr>
          <w:iCs/>
          <w:spacing w:val="-5"/>
          <w:lang w:eastAsia="en-US"/>
        </w:rPr>
        <w:t xml:space="preserve">Olulise osaluse omandamine on reguleeritud varapõhise </w:t>
      </w:r>
      <w:proofErr w:type="spellStart"/>
      <w:r w:rsidRPr="003331EF">
        <w:rPr>
          <w:iCs/>
          <w:spacing w:val="-5"/>
          <w:lang w:eastAsia="en-US"/>
        </w:rPr>
        <w:t>tokeni</w:t>
      </w:r>
      <w:proofErr w:type="spellEnd"/>
      <w:r w:rsidRPr="003331EF">
        <w:rPr>
          <w:iCs/>
          <w:spacing w:val="-5"/>
          <w:lang w:eastAsia="en-US"/>
        </w:rPr>
        <w:t xml:space="preserve"> emitendi puhul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 artiklites 41 ja 42 ning varapõhise </w:t>
      </w:r>
      <w:proofErr w:type="spellStart"/>
      <w:r w:rsidRPr="003331EF">
        <w:rPr>
          <w:iCs/>
          <w:spacing w:val="-5"/>
          <w:lang w:eastAsia="en-US"/>
        </w:rPr>
        <w:t>tokeni</w:t>
      </w:r>
      <w:proofErr w:type="spellEnd"/>
      <w:r w:rsidRPr="003331EF">
        <w:rPr>
          <w:iCs/>
          <w:spacing w:val="-5"/>
          <w:lang w:eastAsia="en-US"/>
        </w:rPr>
        <w:t xml:space="preserve"> emitendi puhul artiklites 83 ja 84. </w:t>
      </w:r>
    </w:p>
    <w:p w14:paraId="1DCE8CF9" w14:textId="77777777" w:rsidR="008E6D99" w:rsidRPr="003331EF" w:rsidRDefault="008E6D99" w:rsidP="003331EF">
      <w:pPr>
        <w:spacing w:before="0"/>
      </w:pPr>
    </w:p>
    <w:p w14:paraId="5281DEBC" w14:textId="4C3088D7" w:rsidR="008E6D99" w:rsidRPr="003331EF" w:rsidRDefault="008E6D99" w:rsidP="003331EF">
      <w:pPr>
        <w:spacing w:before="0"/>
      </w:pPr>
      <w:r w:rsidRPr="003331EF">
        <w:rPr>
          <w:b/>
          <w:bCs/>
        </w:rPr>
        <w:t xml:space="preserve">Lõike 1 </w:t>
      </w:r>
      <w:r w:rsidRPr="003331EF">
        <w:rPr>
          <w:iCs/>
          <w:spacing w:val="-5"/>
          <w:lang w:eastAsia="en-US"/>
        </w:rPr>
        <w:t>eesmärk on täpsustada, et kui Finantsinspektsioon otsustab keelata olulise osal</w:t>
      </w:r>
      <w:r w:rsidR="00D24368">
        <w:rPr>
          <w:iCs/>
          <w:spacing w:val="-5"/>
          <w:lang w:eastAsia="en-US"/>
        </w:rPr>
        <w:t>u</w:t>
      </w:r>
      <w:r w:rsidRPr="003331EF">
        <w:rPr>
          <w:iCs/>
          <w:spacing w:val="-5"/>
          <w:lang w:eastAsia="en-US"/>
        </w:rPr>
        <w:t xml:space="preserve">se omandamise, selle suurendamise või varapõhise </w:t>
      </w:r>
      <w:proofErr w:type="spellStart"/>
      <w:r w:rsidRPr="003331EF">
        <w:rPr>
          <w:iCs/>
          <w:spacing w:val="-5"/>
          <w:lang w:eastAsia="en-US"/>
        </w:rPr>
        <w:t>tokeni</w:t>
      </w:r>
      <w:proofErr w:type="spellEnd"/>
      <w:r w:rsidRPr="003331EF">
        <w:rPr>
          <w:iCs/>
          <w:spacing w:val="-5"/>
          <w:lang w:eastAsia="en-US"/>
        </w:rPr>
        <w:t xml:space="preserve"> emitendi või </w:t>
      </w:r>
      <w:proofErr w:type="spellStart"/>
      <w:r w:rsidRPr="003331EF">
        <w:rPr>
          <w:iCs/>
          <w:spacing w:val="-5"/>
          <w:lang w:eastAsia="en-US"/>
        </w:rPr>
        <w:t>krüptovarateenuse</w:t>
      </w:r>
      <w:proofErr w:type="spellEnd"/>
      <w:r w:rsidRPr="003331EF">
        <w:rPr>
          <w:iCs/>
          <w:spacing w:val="-5"/>
          <w:lang w:eastAsia="en-US"/>
        </w:rPr>
        <w:t xml:space="preserve"> osutaja kontrollitavaks äriühinguks muutmise, siis ta </w:t>
      </w:r>
      <w:r w:rsidR="001C54B4" w:rsidRPr="003331EF">
        <w:rPr>
          <w:iCs/>
          <w:spacing w:val="-5"/>
          <w:lang w:eastAsia="en-US"/>
        </w:rPr>
        <w:t>teeb seda ettekirjutusega.</w:t>
      </w:r>
      <w:r w:rsidR="001C54B4" w:rsidRPr="003331EF">
        <w:rPr>
          <w:shd w:val="clear" w:color="auto" w:fill="FFFFFF"/>
        </w:rPr>
        <w:t xml:space="preserve"> </w:t>
      </w:r>
    </w:p>
    <w:p w14:paraId="5D81DE68" w14:textId="77777777" w:rsidR="008E6D99" w:rsidRPr="003331EF" w:rsidRDefault="008E6D99" w:rsidP="003331EF">
      <w:pPr>
        <w:spacing w:before="0"/>
      </w:pPr>
    </w:p>
    <w:p w14:paraId="463617F7" w14:textId="4845D9D9" w:rsidR="001C54B4" w:rsidRPr="003331EF" w:rsidRDefault="001C54B4" w:rsidP="003331EF">
      <w:pPr>
        <w:spacing w:before="0"/>
      </w:pPr>
      <w:r w:rsidRPr="003331EF">
        <w:rPr>
          <w:iCs/>
          <w:spacing w:val="-5"/>
          <w:lang w:eastAsia="en-US"/>
        </w:rPr>
        <w:t xml:space="preserve">Juhul kui sama keelamise asjaolud ilmnevad pärast olulise osaluse omandamist või suurendamist või kontrollitavaks äriühinguks muutmist, võib Finantsinspektsioon teha ettekirjutuse, mille kohaselt loetakse osaluse omandamine või varapõhise </w:t>
      </w:r>
      <w:proofErr w:type="spellStart"/>
      <w:r w:rsidRPr="003331EF">
        <w:rPr>
          <w:iCs/>
          <w:spacing w:val="-5"/>
          <w:lang w:eastAsia="en-US"/>
        </w:rPr>
        <w:t>tokeni</w:t>
      </w:r>
      <w:proofErr w:type="spellEnd"/>
      <w:r w:rsidRPr="003331EF">
        <w:rPr>
          <w:iCs/>
          <w:spacing w:val="-5"/>
          <w:lang w:eastAsia="en-US"/>
        </w:rPr>
        <w:t xml:space="preserve"> emitendi või </w:t>
      </w:r>
      <w:proofErr w:type="spellStart"/>
      <w:r w:rsidRPr="003331EF">
        <w:rPr>
          <w:iCs/>
          <w:spacing w:val="-5"/>
          <w:lang w:eastAsia="en-US"/>
        </w:rPr>
        <w:t>krüptovarateenuse</w:t>
      </w:r>
      <w:proofErr w:type="spellEnd"/>
      <w:r w:rsidRPr="003331EF">
        <w:rPr>
          <w:iCs/>
          <w:spacing w:val="-5"/>
          <w:lang w:eastAsia="en-US"/>
        </w:rPr>
        <w:t xml:space="preserve"> osutaja kontrollitavaks äriühinguks muutmine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määrusega vastuolus olevaks</w:t>
      </w:r>
      <w:r w:rsidRPr="003331EF">
        <w:t xml:space="preserve"> (</w:t>
      </w:r>
      <w:r w:rsidRPr="003331EF">
        <w:rPr>
          <w:b/>
          <w:bCs/>
        </w:rPr>
        <w:t>lõige 2</w:t>
      </w:r>
      <w:r w:rsidRPr="003331EF">
        <w:t xml:space="preserve">). </w:t>
      </w:r>
    </w:p>
    <w:p w14:paraId="00F03196" w14:textId="77777777" w:rsidR="001C54B4" w:rsidRPr="003331EF" w:rsidRDefault="001C54B4" w:rsidP="003331EF">
      <w:pPr>
        <w:spacing w:before="0"/>
      </w:pPr>
    </w:p>
    <w:p w14:paraId="04BBE51A" w14:textId="2FA8FC9F" w:rsidR="005C53D6" w:rsidRPr="003331EF" w:rsidRDefault="001C54B4" w:rsidP="003331EF">
      <w:pPr>
        <w:spacing w:before="0"/>
        <w:rPr>
          <w:bCs/>
        </w:rPr>
      </w:pPr>
      <w:r w:rsidRPr="003331EF">
        <w:rPr>
          <w:b/>
          <w:bCs/>
        </w:rPr>
        <w:t>Lõike 3</w:t>
      </w:r>
      <w:r w:rsidRPr="003331EF">
        <w:t xml:space="preserve"> </w:t>
      </w:r>
      <w:r w:rsidRPr="003331EF">
        <w:rPr>
          <w:iCs/>
          <w:spacing w:val="-5"/>
          <w:lang w:eastAsia="en-US"/>
        </w:rPr>
        <w:t xml:space="preserve">kohaselt on Finantsinspektsioonil õigus oma ettekirjutusega omandajal või isikul, kellel on varapõhise </w:t>
      </w:r>
      <w:proofErr w:type="spellStart"/>
      <w:r w:rsidRPr="003331EF">
        <w:rPr>
          <w:iCs/>
          <w:spacing w:val="-5"/>
          <w:lang w:eastAsia="en-US"/>
        </w:rPr>
        <w:t>tokeni</w:t>
      </w:r>
      <w:proofErr w:type="spellEnd"/>
      <w:r w:rsidRPr="003331EF">
        <w:rPr>
          <w:iCs/>
          <w:spacing w:val="-5"/>
          <w:lang w:eastAsia="en-US"/>
        </w:rPr>
        <w:t xml:space="preserve"> emitendis või </w:t>
      </w:r>
      <w:proofErr w:type="spellStart"/>
      <w:r w:rsidRPr="003331EF">
        <w:rPr>
          <w:iCs/>
          <w:spacing w:val="-5"/>
          <w:lang w:eastAsia="en-US"/>
        </w:rPr>
        <w:t>krüptovarateenuse</w:t>
      </w:r>
      <w:proofErr w:type="spellEnd"/>
      <w:r w:rsidRPr="003331EF">
        <w:rPr>
          <w:iCs/>
          <w:spacing w:val="-5"/>
          <w:lang w:eastAsia="en-US"/>
        </w:rPr>
        <w:t xml:space="preserve"> osutajas oluline osalus või kelle kontrollitavaks äriühinguks ta on, temas hääleõiguse või muude kontrolli võimaldavate õiguste teostamine iga kord keelata või seda piirata, kui esinevad samad asjaolud. Finantsinspektsioon võib teha ettekirjutuse olenemata nimetatud lõigetes sätestatud ettekirjutuse tegemisest. Finantsinspektsioon avalikustab ettekirjutuse või selle osa oma veebilehel omandaja nõudmisel või vajaduse korral omal algatusel.</w:t>
      </w:r>
    </w:p>
    <w:p w14:paraId="2988C664" w14:textId="77777777" w:rsidR="005C53D6" w:rsidRPr="003331EF" w:rsidRDefault="005C53D6" w:rsidP="003331EF">
      <w:pPr>
        <w:spacing w:before="0"/>
        <w:rPr>
          <w:bCs/>
        </w:rPr>
      </w:pPr>
    </w:p>
    <w:p w14:paraId="3440FEF2" w14:textId="62C21AD1" w:rsidR="005C53D6" w:rsidRPr="003331EF" w:rsidRDefault="005C53D6" w:rsidP="003331EF">
      <w:pPr>
        <w:spacing w:before="0"/>
      </w:pPr>
      <w:r w:rsidRPr="003331EF">
        <w:rPr>
          <w:b/>
          <w:bCs/>
        </w:rPr>
        <w:t>Lõigete 4–7</w:t>
      </w:r>
      <w:r w:rsidRPr="003331EF">
        <w:t xml:space="preserve"> </w:t>
      </w:r>
      <w:r w:rsidRPr="003331EF">
        <w:rPr>
          <w:iCs/>
          <w:spacing w:val="-5"/>
          <w:lang w:eastAsia="en-US"/>
        </w:rPr>
        <w:t xml:space="preserve">eesmärgiks on täpsustada, et isik ei omanda aktsiatega ega osaga kaasnevat hääleõigust ning aktsiatega ega osaga esindatud hääli ei arvata üldkoosoleku või osanike koosoleku kvoorumisse, kui tehing on vastuolus Finantsinspektsiooni ettekirjutusega, Finantsinspektsioon on teinud lõigete 2 ja 3 alusel ettekirjutuse, tehingust ei ole Finantsinspektsiooni nõuetekohaselt teavitatud, kui otsus on tehtud pärast Finantsinspektsiooni poolt ette nähtud omandamise tähtaja möödumist või enne, kui olulise osaluse omandamine on lubatud </w:t>
      </w:r>
      <w:r w:rsidRPr="003331EF">
        <w:t>(</w:t>
      </w:r>
      <w:r w:rsidRPr="003331EF">
        <w:rPr>
          <w:b/>
          <w:bCs/>
        </w:rPr>
        <w:t>lõige 4</w:t>
      </w:r>
      <w:r w:rsidRPr="003331EF">
        <w:t xml:space="preserve">). </w:t>
      </w:r>
    </w:p>
    <w:p w14:paraId="44221BFD" w14:textId="77777777" w:rsidR="005C53D6" w:rsidRPr="003331EF" w:rsidRDefault="005C53D6" w:rsidP="003331EF">
      <w:pPr>
        <w:spacing w:before="0"/>
      </w:pPr>
    </w:p>
    <w:p w14:paraId="1610F3EC" w14:textId="30666179" w:rsidR="005C53D6" w:rsidRPr="003331EF" w:rsidRDefault="005C53D6" w:rsidP="003331EF">
      <w:pPr>
        <w:spacing w:before="0"/>
      </w:pPr>
      <w:r w:rsidRPr="003331EF">
        <w:rPr>
          <w:iCs/>
          <w:spacing w:val="-5"/>
          <w:lang w:eastAsia="en-US"/>
        </w:rPr>
        <w:t xml:space="preserve">Kui esineb lõikes 4 nimetatud alus, siis taolise tehingu tulemusel ei teki isikul õigusi, mis muudaksid </w:t>
      </w:r>
      <w:proofErr w:type="spellStart"/>
      <w:r w:rsidRPr="003331EF">
        <w:rPr>
          <w:iCs/>
          <w:spacing w:val="-5"/>
          <w:lang w:eastAsia="en-US"/>
        </w:rPr>
        <w:t>krüptovarateenuse</w:t>
      </w:r>
      <w:proofErr w:type="spellEnd"/>
      <w:r w:rsidRPr="003331EF">
        <w:rPr>
          <w:iCs/>
          <w:spacing w:val="-5"/>
          <w:lang w:eastAsia="en-US"/>
        </w:rPr>
        <w:t xml:space="preserve"> osutaja või varapõhise </w:t>
      </w:r>
      <w:proofErr w:type="spellStart"/>
      <w:r w:rsidRPr="003331EF">
        <w:rPr>
          <w:iCs/>
          <w:spacing w:val="-5"/>
          <w:lang w:eastAsia="en-US"/>
        </w:rPr>
        <w:t>tokeni</w:t>
      </w:r>
      <w:proofErr w:type="spellEnd"/>
      <w:r w:rsidRPr="003331EF">
        <w:rPr>
          <w:iCs/>
          <w:spacing w:val="-5"/>
          <w:lang w:eastAsia="en-US"/>
        </w:rPr>
        <w:t xml:space="preserve"> emitendi tema kontrollitavaks äriühinguks</w:t>
      </w:r>
      <w:r w:rsidRPr="003331EF">
        <w:t xml:space="preserve"> (</w:t>
      </w:r>
      <w:r w:rsidRPr="003331EF">
        <w:rPr>
          <w:b/>
          <w:bCs/>
        </w:rPr>
        <w:t>lõige 5</w:t>
      </w:r>
      <w:r w:rsidRPr="003331EF">
        <w:t xml:space="preserve">). </w:t>
      </w:r>
      <w:r w:rsidRPr="003331EF">
        <w:rPr>
          <w:iCs/>
          <w:spacing w:val="-5"/>
          <w:lang w:eastAsia="en-US"/>
        </w:rPr>
        <w:t xml:space="preserve">Kui siiski </w:t>
      </w:r>
      <w:r w:rsidR="00CF4E91" w:rsidRPr="003331EF">
        <w:rPr>
          <w:iCs/>
          <w:spacing w:val="-5"/>
          <w:lang w:eastAsia="en-US"/>
        </w:rPr>
        <w:t>sellise</w:t>
      </w:r>
      <w:r w:rsidRPr="003331EF">
        <w:rPr>
          <w:iCs/>
          <w:spacing w:val="-5"/>
          <w:lang w:eastAsia="en-US"/>
        </w:rPr>
        <w:t xml:space="preserve"> tehingu tulemusel, mille puhul esines mõni lõikes 4 nimetatud asjaolu, omandatud või suurendatud olulist osalust esindavad hääled arvati üldkoosoleku või osanike koosoleku kvoorumisse ja need mõjutasid üldkoosoleku või osanike koosoleku otsuse vastuvõtmist, on üldkoosoleku või osanike koosoleku otsus tühine. Kohus võib Finantsinspektsiooni, aktsionäri, osaniku või äriühingu juhtorgani liikme avalduse alusel tuvastada üldkoosoleku või osanike koosoleku otsuse tühisuse, kui avaldus on esitatud kuue kuu jooksul üldkoosoleku või osanike koosoleku otsuse vastuvõtmisest arvates </w:t>
      </w:r>
      <w:r w:rsidRPr="003331EF">
        <w:t>(</w:t>
      </w:r>
      <w:r w:rsidRPr="003331EF">
        <w:rPr>
          <w:b/>
          <w:bCs/>
        </w:rPr>
        <w:t>lõige 6</w:t>
      </w:r>
      <w:r w:rsidRPr="003331EF">
        <w:t xml:space="preserve">). </w:t>
      </w:r>
    </w:p>
    <w:p w14:paraId="53F54C39" w14:textId="77777777" w:rsidR="005C53D6" w:rsidRPr="003331EF" w:rsidRDefault="005C53D6" w:rsidP="003331EF">
      <w:pPr>
        <w:spacing w:before="0"/>
      </w:pPr>
    </w:p>
    <w:p w14:paraId="3D0313FE" w14:textId="5D81F220" w:rsidR="005C53D6" w:rsidRPr="003331EF" w:rsidRDefault="0078573D" w:rsidP="003331EF">
      <w:pPr>
        <w:spacing w:before="0"/>
        <w:rPr>
          <w:bCs/>
        </w:rPr>
      </w:pPr>
      <w:r w:rsidRPr="003331EF">
        <w:rPr>
          <w:iCs/>
          <w:spacing w:val="-5"/>
          <w:lang w:eastAsia="en-US"/>
        </w:rPr>
        <w:t>K</w:t>
      </w:r>
      <w:r w:rsidR="005C53D6" w:rsidRPr="003331EF">
        <w:rPr>
          <w:iCs/>
          <w:spacing w:val="-5"/>
          <w:lang w:eastAsia="en-US"/>
        </w:rPr>
        <w:t xml:space="preserve">ui teostati tehingust, millega </w:t>
      </w:r>
      <w:proofErr w:type="spellStart"/>
      <w:r w:rsidRPr="003331EF">
        <w:rPr>
          <w:iCs/>
          <w:spacing w:val="-5"/>
          <w:lang w:eastAsia="en-US"/>
        </w:rPr>
        <w:t>krüptovarateenuse</w:t>
      </w:r>
      <w:proofErr w:type="spellEnd"/>
      <w:r w:rsidRPr="003331EF">
        <w:rPr>
          <w:iCs/>
          <w:spacing w:val="-5"/>
          <w:lang w:eastAsia="en-US"/>
        </w:rPr>
        <w:t xml:space="preserve"> osutaja või varapõhise </w:t>
      </w:r>
      <w:proofErr w:type="spellStart"/>
      <w:r w:rsidRPr="003331EF">
        <w:rPr>
          <w:iCs/>
          <w:spacing w:val="-5"/>
          <w:lang w:eastAsia="en-US"/>
        </w:rPr>
        <w:t>tokeni</w:t>
      </w:r>
      <w:proofErr w:type="spellEnd"/>
      <w:r w:rsidRPr="003331EF">
        <w:rPr>
          <w:iCs/>
          <w:spacing w:val="-5"/>
          <w:lang w:eastAsia="en-US"/>
        </w:rPr>
        <w:t xml:space="preserve"> emitent</w:t>
      </w:r>
      <w:r w:rsidR="005C53D6" w:rsidRPr="003331EF">
        <w:rPr>
          <w:iCs/>
          <w:spacing w:val="-5"/>
          <w:lang w:eastAsia="en-US"/>
        </w:rPr>
        <w:t xml:space="preserve"> pidi muutuma isiku kontrollitavaks äriühinguks ja mille puhul esineb mõni lõikes </w:t>
      </w:r>
      <w:r w:rsidRPr="003331EF">
        <w:rPr>
          <w:iCs/>
          <w:spacing w:val="-5"/>
          <w:lang w:eastAsia="en-US"/>
        </w:rPr>
        <w:t>4</w:t>
      </w:r>
      <w:r w:rsidR="005C53D6" w:rsidRPr="003331EF">
        <w:rPr>
          <w:iCs/>
          <w:spacing w:val="-5"/>
          <w:lang w:eastAsia="en-US"/>
        </w:rPr>
        <w:t xml:space="preserve"> nimetatud asjaolu, tulenevaid kontrolli võimaldavaid õigusi, võib kohus Finantsinspektsiooni, aktsionäri, osaniku või äriühingu juhtorgani liikme avalduse alusel tunnistada selliste õiguste teostamise kehtetuks, kui avaldus on esitatud kolme kuu jooksul õiguste teostamisest arvates</w:t>
      </w:r>
      <w:r w:rsidR="005C53D6" w:rsidRPr="003331EF">
        <w:t xml:space="preserve"> (</w:t>
      </w:r>
      <w:r w:rsidR="005C53D6" w:rsidRPr="003331EF">
        <w:rPr>
          <w:b/>
          <w:bCs/>
        </w:rPr>
        <w:t>lõige 7</w:t>
      </w:r>
      <w:r w:rsidR="005C53D6" w:rsidRPr="003331EF">
        <w:t>).</w:t>
      </w:r>
    </w:p>
    <w:p w14:paraId="34EB5629" w14:textId="77777777" w:rsidR="00AE68EA" w:rsidRPr="003331EF" w:rsidRDefault="00AE68EA" w:rsidP="003331EF">
      <w:pPr>
        <w:spacing w:before="0"/>
        <w:rPr>
          <w:b/>
        </w:rPr>
      </w:pPr>
    </w:p>
    <w:p w14:paraId="0066D68C" w14:textId="2141F67B" w:rsidR="001A4507" w:rsidRPr="003331EF" w:rsidRDefault="001A4507" w:rsidP="003331EF">
      <w:pPr>
        <w:spacing w:before="0"/>
      </w:pPr>
      <w:r w:rsidRPr="003331EF">
        <w:rPr>
          <w:b/>
        </w:rPr>
        <w:lastRenderedPageBreak/>
        <w:t xml:space="preserve">Seaduse </w:t>
      </w:r>
      <w:r w:rsidR="00581F9E" w:rsidRPr="003331EF">
        <w:rPr>
          <w:b/>
        </w:rPr>
        <w:t>5</w:t>
      </w:r>
      <w:r w:rsidRPr="003331EF">
        <w:rPr>
          <w:b/>
        </w:rPr>
        <w:t>. peatükk</w:t>
      </w:r>
      <w:r w:rsidRPr="003331EF">
        <w:t xml:space="preserve"> </w:t>
      </w:r>
      <w:r w:rsidRPr="003331EF">
        <w:rPr>
          <w:iCs/>
          <w:spacing w:val="-5"/>
          <w:lang w:eastAsia="en-US"/>
        </w:rPr>
        <w:t>sätestab nõuded raamatupidamisele, Finantsinspektsioonile esitatavatele aruannetele ja audiitorkontrollile</w:t>
      </w:r>
    </w:p>
    <w:p w14:paraId="044179F0" w14:textId="77777777" w:rsidR="001A4507" w:rsidRPr="003331EF" w:rsidRDefault="001A4507" w:rsidP="003331EF">
      <w:pPr>
        <w:spacing w:before="0"/>
        <w:rPr>
          <w:i/>
          <w:iCs/>
        </w:rPr>
      </w:pPr>
    </w:p>
    <w:p w14:paraId="61DA2B0C" w14:textId="5833EE24" w:rsidR="00581F9E" w:rsidRPr="003331EF" w:rsidRDefault="00581F9E" w:rsidP="003331EF">
      <w:pPr>
        <w:pStyle w:val="Normal2"/>
        <w:rPr>
          <w:rStyle w:val="NormalMrk"/>
          <w:b/>
          <w:sz w:val="24"/>
        </w:rPr>
      </w:pPr>
      <w:r w:rsidRPr="003331EF">
        <w:rPr>
          <w:rStyle w:val="NormalMrk"/>
          <w:b/>
          <w:sz w:val="24"/>
        </w:rPr>
        <w:t>Paragrahv 1</w:t>
      </w:r>
      <w:r w:rsidR="007273B5" w:rsidRPr="003331EF">
        <w:rPr>
          <w:rStyle w:val="NormalMrk"/>
          <w:b/>
          <w:sz w:val="24"/>
        </w:rPr>
        <w:t>4</w:t>
      </w:r>
      <w:r w:rsidRPr="003331EF">
        <w:rPr>
          <w:rStyle w:val="NormalMrk"/>
          <w:b/>
          <w:sz w:val="24"/>
        </w:rPr>
        <w:t>. Raamatupidamise korraldamine</w:t>
      </w:r>
    </w:p>
    <w:p w14:paraId="460483D4" w14:textId="77777777" w:rsidR="00581F9E" w:rsidRPr="003331EF" w:rsidRDefault="00581F9E" w:rsidP="003331EF">
      <w:pPr>
        <w:pStyle w:val="Normal2"/>
        <w:rPr>
          <w:rStyle w:val="NormalMrk"/>
          <w:b/>
          <w:sz w:val="24"/>
        </w:rPr>
      </w:pPr>
    </w:p>
    <w:p w14:paraId="5EEFA971" w14:textId="5B43C39A" w:rsidR="001A4507" w:rsidRPr="003331EF" w:rsidRDefault="001A4507" w:rsidP="003331EF">
      <w:pPr>
        <w:pStyle w:val="Normal2"/>
        <w:rPr>
          <w:sz w:val="24"/>
        </w:rPr>
      </w:pPr>
      <w:r w:rsidRPr="003331EF">
        <w:rPr>
          <w:rStyle w:val="NormalMrk"/>
          <w:b/>
          <w:sz w:val="24"/>
        </w:rPr>
        <w:t xml:space="preserve">Paragrahvi </w:t>
      </w:r>
      <w:r w:rsidR="00581F9E" w:rsidRPr="003331EF">
        <w:rPr>
          <w:rStyle w:val="NormalMrk"/>
          <w:b/>
          <w:sz w:val="24"/>
        </w:rPr>
        <w:t>1</w:t>
      </w:r>
      <w:r w:rsidR="007273B5" w:rsidRPr="003331EF">
        <w:rPr>
          <w:rStyle w:val="NormalMrk"/>
          <w:b/>
          <w:sz w:val="24"/>
        </w:rPr>
        <w:t>4</w:t>
      </w:r>
      <w:r w:rsidRPr="003331EF">
        <w:rPr>
          <w:rStyle w:val="NormalMrk"/>
          <w:sz w:val="24"/>
        </w:rPr>
        <w:t xml:space="preserve"> </w:t>
      </w:r>
      <w:r w:rsidRPr="003331EF">
        <w:rPr>
          <w:rFonts w:eastAsia="Times New Roman"/>
          <w:iCs/>
          <w:spacing w:val="-5"/>
          <w:lang w:eastAsia="en-US"/>
        </w:rPr>
        <w:t>kohaselt tuleb</w:t>
      </w:r>
      <w:r w:rsidRPr="003331EF">
        <w:rPr>
          <w:rFonts w:eastAsia="Times New Roman"/>
          <w:bCs w:val="0"/>
          <w:iCs/>
          <w:spacing w:val="-5"/>
          <w:sz w:val="24"/>
          <w:lang w:eastAsia="en-US"/>
        </w:rPr>
        <w:t xml:space="preserve"> raamatupidamisarvestust ja aruandlust korraldada vastavalt seaduses, raamatupidamise seaduses, </w:t>
      </w:r>
      <w:proofErr w:type="spellStart"/>
      <w:r w:rsidRPr="003331EF">
        <w:rPr>
          <w:rFonts w:eastAsia="Times New Roman"/>
          <w:bCs w:val="0"/>
          <w:iCs/>
          <w:spacing w:val="-5"/>
          <w:sz w:val="24"/>
          <w:lang w:eastAsia="en-US"/>
        </w:rPr>
        <w:t>krüptovaraturu</w:t>
      </w:r>
      <w:proofErr w:type="spellEnd"/>
      <w:r w:rsidRPr="003331EF">
        <w:rPr>
          <w:rFonts w:eastAsia="Times New Roman"/>
          <w:bCs w:val="0"/>
          <w:iCs/>
          <w:spacing w:val="-5"/>
          <w:sz w:val="24"/>
          <w:lang w:eastAsia="en-US"/>
        </w:rPr>
        <w:t xml:space="preserve"> osalise põhikirjas ja raamatupidamise </w:t>
      </w:r>
      <w:proofErr w:type="spellStart"/>
      <w:r w:rsidRPr="003331EF">
        <w:rPr>
          <w:rFonts w:eastAsia="Times New Roman"/>
          <w:bCs w:val="0"/>
          <w:iCs/>
          <w:spacing w:val="-5"/>
          <w:sz w:val="24"/>
          <w:lang w:eastAsia="en-US"/>
        </w:rPr>
        <w:t>sise</w:t>
      </w:r>
      <w:proofErr w:type="spellEnd"/>
      <w:r w:rsidRPr="003331EF">
        <w:rPr>
          <w:rFonts w:eastAsia="Times New Roman"/>
          <w:bCs w:val="0"/>
          <w:iCs/>
          <w:spacing w:val="-5"/>
          <w:sz w:val="24"/>
          <w:lang w:eastAsia="en-US"/>
        </w:rPr>
        <w:t>-eeskirjas ning muudes õigusaktides sätestatule. Raamatupidamine peab vastama muuhulgas ka raamatupidamise seaduse §-le 4.</w:t>
      </w:r>
    </w:p>
    <w:p w14:paraId="2B443BED" w14:textId="77777777" w:rsidR="001A4507" w:rsidRPr="003331EF" w:rsidRDefault="001A4507" w:rsidP="003331EF">
      <w:pPr>
        <w:pStyle w:val="Normal2"/>
        <w:tabs>
          <w:tab w:val="left" w:pos="1701"/>
        </w:tabs>
        <w:rPr>
          <w:rStyle w:val="NormalMrk"/>
          <w:b/>
          <w:bCs/>
          <w:i/>
          <w:iCs/>
          <w:sz w:val="24"/>
        </w:rPr>
      </w:pPr>
    </w:p>
    <w:p w14:paraId="22366C6D" w14:textId="51B3D3B2" w:rsidR="008C1624" w:rsidRPr="003331EF" w:rsidRDefault="008C1624" w:rsidP="003331EF">
      <w:pPr>
        <w:pStyle w:val="Normal2"/>
        <w:tabs>
          <w:tab w:val="left" w:pos="1701"/>
        </w:tabs>
        <w:rPr>
          <w:rStyle w:val="NormalMrk"/>
          <w:b/>
          <w:sz w:val="24"/>
        </w:rPr>
      </w:pPr>
      <w:r w:rsidRPr="003331EF">
        <w:rPr>
          <w:rStyle w:val="NormalMrk"/>
          <w:b/>
          <w:sz w:val="24"/>
        </w:rPr>
        <w:t>Paragrahv 1</w:t>
      </w:r>
      <w:r w:rsidR="007273B5" w:rsidRPr="003331EF">
        <w:rPr>
          <w:rStyle w:val="NormalMrk"/>
          <w:b/>
          <w:sz w:val="24"/>
        </w:rPr>
        <w:t>5</w:t>
      </w:r>
      <w:r w:rsidRPr="003331EF">
        <w:rPr>
          <w:rStyle w:val="NormalMrk"/>
          <w:b/>
          <w:sz w:val="24"/>
        </w:rPr>
        <w:t>. Aruannete esitamine Finantsinspektsioonile</w:t>
      </w:r>
    </w:p>
    <w:p w14:paraId="17FD2C95" w14:textId="77777777" w:rsidR="008C1624" w:rsidRPr="003331EF" w:rsidRDefault="008C1624" w:rsidP="003331EF">
      <w:pPr>
        <w:pStyle w:val="Normal2"/>
        <w:tabs>
          <w:tab w:val="left" w:pos="1701"/>
        </w:tabs>
        <w:rPr>
          <w:rStyle w:val="NormalMrk"/>
          <w:b/>
          <w:sz w:val="24"/>
        </w:rPr>
      </w:pPr>
    </w:p>
    <w:p w14:paraId="73BBC345" w14:textId="7ACD2AF4" w:rsidR="001A4507" w:rsidRPr="003331EF" w:rsidRDefault="001A4507" w:rsidP="003331EF">
      <w:pPr>
        <w:pStyle w:val="Normal2"/>
        <w:tabs>
          <w:tab w:val="left" w:pos="1701"/>
        </w:tabs>
        <w:rPr>
          <w:sz w:val="24"/>
        </w:rPr>
      </w:pPr>
      <w:r w:rsidRPr="003331EF">
        <w:rPr>
          <w:rStyle w:val="NormalMrk"/>
          <w:b/>
          <w:sz w:val="24"/>
        </w:rPr>
        <w:t>Paragrahviga 1</w:t>
      </w:r>
      <w:r w:rsidR="007273B5" w:rsidRPr="003331EF">
        <w:rPr>
          <w:rStyle w:val="NormalMrk"/>
          <w:b/>
          <w:sz w:val="24"/>
        </w:rPr>
        <w:t>5</w:t>
      </w:r>
      <w:r w:rsidRPr="003331EF">
        <w:rPr>
          <w:sz w:val="24"/>
        </w:rPr>
        <w:t xml:space="preserve"> </w:t>
      </w:r>
      <w:r w:rsidRPr="003331EF">
        <w:rPr>
          <w:rFonts w:eastAsia="Times New Roman"/>
          <w:bCs w:val="0"/>
          <w:iCs/>
          <w:spacing w:val="-5"/>
          <w:sz w:val="24"/>
          <w:lang w:eastAsia="en-US"/>
        </w:rPr>
        <w:t xml:space="preserve">kehtestatakse nõuded aruannete Finantsinspektsioonile esitamisele. </w:t>
      </w:r>
    </w:p>
    <w:p w14:paraId="053F158C" w14:textId="77777777" w:rsidR="001A4507" w:rsidRPr="003331EF" w:rsidRDefault="001A4507" w:rsidP="003331EF">
      <w:pPr>
        <w:spacing w:before="0"/>
      </w:pPr>
    </w:p>
    <w:p w14:paraId="0DCEA23C" w14:textId="3EAB0F51" w:rsidR="000C23A9" w:rsidRPr="003331EF" w:rsidRDefault="001A4507" w:rsidP="003331EF">
      <w:pPr>
        <w:spacing w:before="0"/>
        <w:rPr>
          <w:rFonts w:eastAsiaTheme="majorEastAsia"/>
        </w:rPr>
      </w:pPr>
      <w:r w:rsidRPr="003331EF">
        <w:rPr>
          <w:rFonts w:eastAsiaTheme="majorEastAsia"/>
          <w:b/>
        </w:rPr>
        <w:t xml:space="preserve">Lõikes 1 </w:t>
      </w:r>
      <w:r w:rsidRPr="003331EF">
        <w:rPr>
          <w:iCs/>
          <w:spacing w:val="-5"/>
          <w:lang w:eastAsia="en-US"/>
        </w:rPr>
        <w:t>on loetelu aruannetest, mis tuleb Finantsinspektsioonile esitada. Esitama peab majandusaasta aruande, kasumi jaotamise või kahjumi katmise ettepaneku ja otsuse ning üldkoosoleku või osanike koosoleku protokolli väljavõtte majandusaasta aruande kinnitamise või kinnitamata jätmise otsuse kohta kahe nädala jooksul pärast aktsionäride üldkoosoleku või osanike koosoleku toimumist, kuid mitte hiljem kui kuus kuud pärast majandusaasta lõppu. Eelnimetatud täpsustuse eesmärk on mitte siduda nimetatud aruanded vaid aktsionäride üldkoosoleku või osanike koosoleku toimumisega, vaid piirata ka ajaliselt, millise aja jooksul nimetatud koosolek peab toimuma, tagamaks viidatud sättes nimetatud aruannete kohane esitamine Finantsinspektsioonile.</w:t>
      </w:r>
      <w:r w:rsidRPr="003331EF">
        <w:rPr>
          <w:rFonts w:eastAsiaTheme="majorEastAsia"/>
        </w:rPr>
        <w:t xml:space="preserve"> </w:t>
      </w:r>
    </w:p>
    <w:p w14:paraId="56FF8579" w14:textId="77777777" w:rsidR="000C23A9" w:rsidRPr="003331EF" w:rsidRDefault="000C23A9" w:rsidP="003331EF">
      <w:pPr>
        <w:spacing w:before="0"/>
        <w:rPr>
          <w:rFonts w:eastAsiaTheme="majorEastAsia"/>
        </w:rPr>
      </w:pPr>
    </w:p>
    <w:p w14:paraId="51523200" w14:textId="58EAEDDB" w:rsidR="001A4507" w:rsidRPr="003331EF" w:rsidRDefault="000C23A9" w:rsidP="003331EF">
      <w:pPr>
        <w:spacing w:before="0"/>
        <w:rPr>
          <w:i/>
          <w:iCs/>
        </w:rPr>
      </w:pPr>
      <w:r w:rsidRPr="003331EF">
        <w:rPr>
          <w:rFonts w:eastAsiaTheme="majorEastAsia"/>
          <w:b/>
          <w:bCs/>
        </w:rPr>
        <w:t>Lõige 2</w:t>
      </w:r>
      <w:r w:rsidRPr="003331EF">
        <w:rPr>
          <w:rFonts w:eastAsiaTheme="majorEastAsia"/>
        </w:rPr>
        <w:t xml:space="preserve">. </w:t>
      </w:r>
      <w:r w:rsidR="001A4507" w:rsidRPr="003331EF">
        <w:rPr>
          <w:iCs/>
          <w:spacing w:val="-5"/>
          <w:lang w:eastAsia="en-US"/>
        </w:rPr>
        <w:t xml:space="preserve">Erand </w:t>
      </w:r>
      <w:r w:rsidRPr="003331EF">
        <w:rPr>
          <w:iCs/>
          <w:spacing w:val="-5"/>
          <w:lang w:eastAsia="en-US"/>
        </w:rPr>
        <w:t xml:space="preserve">lõikes 1 nimetatud </w:t>
      </w:r>
      <w:r w:rsidR="001A4507" w:rsidRPr="003331EF">
        <w:rPr>
          <w:iCs/>
          <w:spacing w:val="-5"/>
          <w:lang w:eastAsia="en-US"/>
        </w:rPr>
        <w:t xml:space="preserve">andmete ja dokumentide esitamisele kohaldub </w:t>
      </w:r>
      <w:r w:rsidR="00806652" w:rsidRPr="003331EF">
        <w:rPr>
          <w:iCs/>
          <w:spacing w:val="-5"/>
          <w:lang w:eastAsia="en-US"/>
        </w:rPr>
        <w:t>juhul</w:t>
      </w:r>
      <w:r w:rsidR="001A4507" w:rsidRPr="003331EF">
        <w:rPr>
          <w:iCs/>
          <w:spacing w:val="-5"/>
          <w:lang w:eastAsia="en-US"/>
        </w:rPr>
        <w:t xml:space="preserve">, kui </w:t>
      </w:r>
      <w:proofErr w:type="spellStart"/>
      <w:r w:rsidR="00806652" w:rsidRPr="003331EF">
        <w:rPr>
          <w:iCs/>
          <w:spacing w:val="-5"/>
          <w:lang w:eastAsia="en-US"/>
        </w:rPr>
        <w:t>krüptovaraturu</w:t>
      </w:r>
      <w:proofErr w:type="spellEnd"/>
      <w:r w:rsidR="00806652" w:rsidRPr="003331EF">
        <w:rPr>
          <w:iCs/>
          <w:spacing w:val="-5"/>
          <w:lang w:eastAsia="en-US"/>
        </w:rPr>
        <w:t xml:space="preserve"> osaline</w:t>
      </w:r>
      <w:r w:rsidR="001A4507" w:rsidRPr="003331EF">
        <w:rPr>
          <w:iCs/>
          <w:spacing w:val="-5"/>
          <w:lang w:eastAsia="en-US"/>
        </w:rPr>
        <w:t xml:space="preserve"> on avalikustanud eeltoodud andmed ja dokumendid oma veebilehel.</w:t>
      </w:r>
      <w:r w:rsidRPr="003331EF">
        <w:rPr>
          <w:iCs/>
          <w:spacing w:val="-5"/>
          <w:lang w:eastAsia="en-US"/>
        </w:rPr>
        <w:t xml:space="preserve"> Samas peavad need seal kättesaadava</w:t>
      </w:r>
      <w:r w:rsidR="00806652" w:rsidRPr="003331EF">
        <w:rPr>
          <w:iCs/>
          <w:spacing w:val="-5"/>
          <w:lang w:eastAsia="en-US"/>
        </w:rPr>
        <w:t>l</w:t>
      </w:r>
      <w:r w:rsidRPr="003331EF">
        <w:rPr>
          <w:iCs/>
          <w:spacing w:val="-5"/>
          <w:lang w:eastAsia="en-US"/>
        </w:rPr>
        <w:t xml:space="preserve"> olema vähemalt seitsme aasta jooksul.</w:t>
      </w:r>
      <w:r w:rsidRPr="003331EF">
        <w:rPr>
          <w:rFonts w:eastAsiaTheme="majorEastAsia"/>
        </w:rPr>
        <w:t xml:space="preserve"> </w:t>
      </w:r>
    </w:p>
    <w:p w14:paraId="77E624C4" w14:textId="77777777" w:rsidR="000C23A9" w:rsidRPr="003331EF" w:rsidRDefault="000C23A9" w:rsidP="003331EF">
      <w:pPr>
        <w:pStyle w:val="Normal2"/>
        <w:rPr>
          <w:b/>
          <w:sz w:val="24"/>
        </w:rPr>
      </w:pPr>
    </w:p>
    <w:p w14:paraId="57F3FECC" w14:textId="6A4BA255" w:rsidR="00D73F03" w:rsidRPr="003331EF" w:rsidRDefault="00D73F03" w:rsidP="003331EF">
      <w:pPr>
        <w:pStyle w:val="Normal2"/>
        <w:rPr>
          <w:bCs w:val="0"/>
          <w:sz w:val="24"/>
        </w:rPr>
      </w:pPr>
      <w:r w:rsidRPr="003331EF">
        <w:rPr>
          <w:b/>
          <w:bCs w:val="0"/>
          <w:sz w:val="24"/>
        </w:rPr>
        <w:t>Lõige 3</w:t>
      </w:r>
      <w:r w:rsidRPr="003331EF">
        <w:rPr>
          <w:sz w:val="24"/>
        </w:rPr>
        <w:t xml:space="preserve"> </w:t>
      </w:r>
      <w:r w:rsidRPr="003331EF">
        <w:rPr>
          <w:rFonts w:eastAsia="Times New Roman"/>
          <w:bCs w:val="0"/>
          <w:iCs/>
          <w:spacing w:val="-5"/>
          <w:sz w:val="24"/>
          <w:lang w:eastAsia="en-US"/>
        </w:rPr>
        <w:t xml:space="preserve">kohustab nii </w:t>
      </w:r>
      <w:proofErr w:type="spellStart"/>
      <w:r w:rsidRPr="003331EF">
        <w:rPr>
          <w:rFonts w:eastAsia="Times New Roman"/>
          <w:bCs w:val="0"/>
          <w:iCs/>
          <w:spacing w:val="-5"/>
          <w:sz w:val="24"/>
          <w:lang w:eastAsia="en-US"/>
        </w:rPr>
        <w:t>krüptovaraturu</w:t>
      </w:r>
      <w:proofErr w:type="spellEnd"/>
      <w:r w:rsidRPr="003331EF">
        <w:rPr>
          <w:rFonts w:eastAsia="Times New Roman"/>
          <w:bCs w:val="0"/>
          <w:iCs/>
          <w:spacing w:val="-5"/>
          <w:sz w:val="24"/>
          <w:lang w:eastAsia="en-US"/>
        </w:rPr>
        <w:t xml:space="preserve"> osalis</w:t>
      </w:r>
      <w:r w:rsidR="00F41197" w:rsidRPr="003331EF">
        <w:rPr>
          <w:rFonts w:eastAsia="Times New Roman"/>
          <w:bCs w:val="0"/>
          <w:iCs/>
          <w:spacing w:val="-5"/>
          <w:sz w:val="24"/>
          <w:lang w:eastAsia="en-US"/>
        </w:rPr>
        <w:t>t</w:t>
      </w:r>
      <w:r w:rsidRPr="003331EF">
        <w:rPr>
          <w:rFonts w:eastAsia="Times New Roman"/>
          <w:bCs w:val="0"/>
          <w:iCs/>
          <w:spacing w:val="-5"/>
          <w:sz w:val="24"/>
          <w:lang w:eastAsia="en-US"/>
        </w:rPr>
        <w:t xml:space="preserve">, lepinguriigi </w:t>
      </w:r>
      <w:proofErr w:type="spellStart"/>
      <w:r w:rsidRPr="003331EF">
        <w:rPr>
          <w:rFonts w:eastAsia="Times New Roman"/>
          <w:bCs w:val="0"/>
          <w:iCs/>
          <w:spacing w:val="-5"/>
          <w:sz w:val="24"/>
          <w:lang w:eastAsia="en-US"/>
        </w:rPr>
        <w:t>krüptovarateenuse</w:t>
      </w:r>
      <w:proofErr w:type="spellEnd"/>
      <w:r w:rsidRPr="003331EF">
        <w:rPr>
          <w:rFonts w:eastAsia="Times New Roman"/>
          <w:bCs w:val="0"/>
          <w:iCs/>
          <w:spacing w:val="-5"/>
          <w:sz w:val="24"/>
          <w:lang w:eastAsia="en-US"/>
        </w:rPr>
        <w:t xml:space="preserve"> osutaja Eesti filiaali ja lepinguriigi varapõhise </w:t>
      </w:r>
      <w:proofErr w:type="spellStart"/>
      <w:r w:rsidRPr="003331EF">
        <w:rPr>
          <w:rFonts w:eastAsia="Times New Roman"/>
          <w:bCs w:val="0"/>
          <w:iCs/>
          <w:spacing w:val="-5"/>
          <w:sz w:val="24"/>
          <w:lang w:eastAsia="en-US"/>
        </w:rPr>
        <w:t>tokeni</w:t>
      </w:r>
      <w:proofErr w:type="spellEnd"/>
      <w:r w:rsidRPr="003331EF">
        <w:rPr>
          <w:rFonts w:eastAsia="Times New Roman"/>
          <w:bCs w:val="0"/>
          <w:iCs/>
          <w:spacing w:val="-5"/>
          <w:sz w:val="24"/>
          <w:lang w:eastAsia="en-US"/>
        </w:rPr>
        <w:t xml:space="preserve"> emitendi Eesti filiaali koostama ja esitama Finantsinspektsioonile aruandeid nii käesolevas paragrahvis kui ka </w:t>
      </w:r>
      <w:proofErr w:type="spellStart"/>
      <w:r w:rsidRPr="003331EF">
        <w:rPr>
          <w:rFonts w:eastAsia="Times New Roman"/>
          <w:bCs w:val="0"/>
          <w:iCs/>
          <w:spacing w:val="-5"/>
          <w:sz w:val="24"/>
          <w:lang w:eastAsia="en-US"/>
        </w:rPr>
        <w:t>M</w:t>
      </w:r>
      <w:r w:rsidR="00A03096">
        <w:rPr>
          <w:rFonts w:eastAsia="Times New Roman"/>
          <w:bCs w:val="0"/>
          <w:iCs/>
          <w:spacing w:val="-5"/>
          <w:sz w:val="24"/>
          <w:lang w:eastAsia="en-US"/>
        </w:rPr>
        <w:t>i</w:t>
      </w:r>
      <w:r w:rsidRPr="003331EF">
        <w:rPr>
          <w:rFonts w:eastAsia="Times New Roman"/>
          <w:bCs w:val="0"/>
          <w:iCs/>
          <w:spacing w:val="-5"/>
          <w:sz w:val="24"/>
          <w:lang w:eastAsia="en-US"/>
        </w:rPr>
        <w:t>CA</w:t>
      </w:r>
      <w:proofErr w:type="spellEnd"/>
      <w:r w:rsidRPr="003331EF">
        <w:rPr>
          <w:rFonts w:eastAsia="Times New Roman"/>
          <w:bCs w:val="0"/>
          <w:iCs/>
          <w:spacing w:val="-5"/>
          <w:sz w:val="24"/>
          <w:lang w:eastAsia="en-US"/>
        </w:rPr>
        <w:t xml:space="preserve"> määruses sätestatud korras. </w:t>
      </w:r>
      <w:proofErr w:type="spellStart"/>
      <w:r w:rsidRPr="003331EF">
        <w:rPr>
          <w:rFonts w:eastAsia="Times New Roman"/>
          <w:bCs w:val="0"/>
          <w:iCs/>
          <w:spacing w:val="-5"/>
          <w:sz w:val="24"/>
          <w:lang w:eastAsia="en-US"/>
        </w:rPr>
        <w:t>M</w:t>
      </w:r>
      <w:r w:rsidR="00A03096">
        <w:rPr>
          <w:rFonts w:eastAsia="Times New Roman"/>
          <w:bCs w:val="0"/>
          <w:iCs/>
          <w:spacing w:val="-5"/>
          <w:sz w:val="24"/>
          <w:lang w:eastAsia="en-US"/>
        </w:rPr>
        <w:t>i</w:t>
      </w:r>
      <w:r w:rsidRPr="003331EF">
        <w:rPr>
          <w:rFonts w:eastAsia="Times New Roman"/>
          <w:bCs w:val="0"/>
          <w:iCs/>
          <w:spacing w:val="-5"/>
          <w:sz w:val="24"/>
          <w:lang w:eastAsia="en-US"/>
        </w:rPr>
        <w:t>CA</w:t>
      </w:r>
      <w:proofErr w:type="spellEnd"/>
      <w:r w:rsidRPr="003331EF">
        <w:rPr>
          <w:rFonts w:eastAsia="Times New Roman"/>
          <w:bCs w:val="0"/>
          <w:iCs/>
          <w:spacing w:val="-5"/>
          <w:sz w:val="24"/>
          <w:lang w:eastAsia="en-US"/>
        </w:rPr>
        <w:t xml:space="preserve"> määrusest tulenevalt on varapõhise </w:t>
      </w:r>
      <w:proofErr w:type="spellStart"/>
      <w:r w:rsidRPr="003331EF">
        <w:rPr>
          <w:rFonts w:eastAsia="Times New Roman"/>
          <w:bCs w:val="0"/>
          <w:iCs/>
          <w:spacing w:val="-5"/>
          <w:sz w:val="24"/>
          <w:lang w:eastAsia="en-US"/>
        </w:rPr>
        <w:t>tokeni</w:t>
      </w:r>
      <w:proofErr w:type="spellEnd"/>
      <w:r w:rsidRPr="003331EF">
        <w:rPr>
          <w:rFonts w:eastAsia="Times New Roman"/>
          <w:bCs w:val="0"/>
          <w:iCs/>
          <w:spacing w:val="-5"/>
          <w:sz w:val="24"/>
          <w:lang w:eastAsia="en-US"/>
        </w:rPr>
        <w:t xml:space="preserve"> emitendil aruandluskohustus, kui varapõhiste </w:t>
      </w:r>
      <w:proofErr w:type="spellStart"/>
      <w:r w:rsidRPr="003331EF">
        <w:rPr>
          <w:rFonts w:eastAsia="Times New Roman"/>
          <w:bCs w:val="0"/>
          <w:iCs/>
          <w:spacing w:val="-5"/>
          <w:sz w:val="24"/>
          <w:lang w:eastAsia="en-US"/>
        </w:rPr>
        <w:t>tokenite</w:t>
      </w:r>
      <w:proofErr w:type="spellEnd"/>
      <w:r w:rsidRPr="003331EF">
        <w:rPr>
          <w:rFonts w:eastAsia="Times New Roman"/>
          <w:bCs w:val="0"/>
          <w:iCs/>
          <w:spacing w:val="-5"/>
          <w:sz w:val="24"/>
          <w:lang w:eastAsia="en-US"/>
        </w:rPr>
        <w:t xml:space="preserve"> emissiooni väärtus on suurem kui 100 000</w:t>
      </w:r>
      <w:r w:rsidR="003A07D7">
        <w:rPr>
          <w:rFonts w:eastAsia="Times New Roman"/>
          <w:bCs w:val="0"/>
          <w:iCs/>
          <w:spacing w:val="-5"/>
          <w:sz w:val="24"/>
          <w:lang w:eastAsia="en-US"/>
        </w:rPr>
        <w:t> </w:t>
      </w:r>
      <w:r w:rsidRPr="003331EF">
        <w:rPr>
          <w:rFonts w:eastAsia="Times New Roman"/>
          <w:bCs w:val="0"/>
          <w:iCs/>
          <w:spacing w:val="-5"/>
          <w:sz w:val="24"/>
          <w:lang w:eastAsia="en-US"/>
        </w:rPr>
        <w:t>000</w:t>
      </w:r>
      <w:r w:rsidR="003A07D7">
        <w:rPr>
          <w:rFonts w:eastAsia="Times New Roman"/>
          <w:bCs w:val="0"/>
          <w:iCs/>
          <w:spacing w:val="-5"/>
          <w:sz w:val="24"/>
          <w:lang w:eastAsia="en-US"/>
        </w:rPr>
        <w:t> </w:t>
      </w:r>
      <w:r w:rsidRPr="003331EF">
        <w:rPr>
          <w:rFonts w:eastAsia="Times New Roman"/>
          <w:bCs w:val="0"/>
          <w:iCs/>
          <w:spacing w:val="-5"/>
          <w:sz w:val="24"/>
          <w:lang w:eastAsia="en-US"/>
        </w:rPr>
        <w:t xml:space="preserve">eurot. Sellisel juhul  peab emitent Finantsinspektsioonile esitama </w:t>
      </w:r>
      <w:proofErr w:type="spellStart"/>
      <w:r w:rsidRPr="003331EF">
        <w:rPr>
          <w:rFonts w:eastAsia="Times New Roman"/>
          <w:bCs w:val="0"/>
          <w:iCs/>
          <w:spacing w:val="-5"/>
          <w:sz w:val="24"/>
          <w:lang w:eastAsia="en-US"/>
        </w:rPr>
        <w:t>M</w:t>
      </w:r>
      <w:r w:rsidR="00A03096">
        <w:rPr>
          <w:rFonts w:eastAsia="Times New Roman"/>
          <w:bCs w:val="0"/>
          <w:iCs/>
          <w:spacing w:val="-5"/>
          <w:sz w:val="24"/>
          <w:lang w:eastAsia="en-US"/>
        </w:rPr>
        <w:t>i</w:t>
      </w:r>
      <w:r w:rsidRPr="003331EF">
        <w:rPr>
          <w:rFonts w:eastAsia="Times New Roman"/>
          <w:bCs w:val="0"/>
          <w:iCs/>
          <w:spacing w:val="-5"/>
          <w:sz w:val="24"/>
          <w:lang w:eastAsia="en-US"/>
        </w:rPr>
        <w:t>CA</w:t>
      </w:r>
      <w:proofErr w:type="spellEnd"/>
      <w:r w:rsidRPr="003331EF">
        <w:rPr>
          <w:rFonts w:eastAsia="Times New Roman"/>
          <w:bCs w:val="0"/>
          <w:iCs/>
          <w:spacing w:val="-5"/>
          <w:sz w:val="24"/>
          <w:lang w:eastAsia="en-US"/>
        </w:rPr>
        <w:t xml:space="preserve"> määruse artiklis 22 sätestatud teabe (mida täiendatakse ja täpsustatakse rakenduslike tehniliste standarditega). Samas võib Finantsinspektsioon otsustada, et vastavat aruandluskohustust kohaldatakse ka siis, kui emissiooni väärtus on alla 100 000</w:t>
      </w:r>
      <w:r w:rsidR="003A07D7">
        <w:rPr>
          <w:rFonts w:eastAsia="Times New Roman"/>
          <w:bCs w:val="0"/>
          <w:iCs/>
          <w:spacing w:val="-5"/>
          <w:sz w:val="24"/>
          <w:lang w:eastAsia="en-US"/>
        </w:rPr>
        <w:t> </w:t>
      </w:r>
      <w:r w:rsidRPr="003331EF">
        <w:rPr>
          <w:rFonts w:eastAsia="Times New Roman"/>
          <w:bCs w:val="0"/>
          <w:iCs/>
          <w:spacing w:val="-5"/>
          <w:sz w:val="24"/>
          <w:lang w:eastAsia="en-US"/>
        </w:rPr>
        <w:t>000</w:t>
      </w:r>
      <w:r w:rsidR="003A07D7">
        <w:rPr>
          <w:rFonts w:eastAsia="Times New Roman"/>
          <w:bCs w:val="0"/>
          <w:iCs/>
          <w:spacing w:val="-5"/>
          <w:sz w:val="24"/>
          <w:lang w:eastAsia="en-US"/>
        </w:rPr>
        <w:t> </w:t>
      </w:r>
      <w:r w:rsidRPr="003331EF">
        <w:rPr>
          <w:rFonts w:eastAsia="Times New Roman"/>
          <w:bCs w:val="0"/>
          <w:iCs/>
          <w:spacing w:val="-5"/>
          <w:sz w:val="24"/>
          <w:lang w:eastAsia="en-US"/>
        </w:rPr>
        <w:t>euro.</w:t>
      </w:r>
      <w:r w:rsidRPr="003331EF">
        <w:rPr>
          <w:bCs w:val="0"/>
          <w:sz w:val="24"/>
        </w:rPr>
        <w:t xml:space="preserve"> </w:t>
      </w:r>
    </w:p>
    <w:p w14:paraId="0FF3CE3C" w14:textId="77777777" w:rsidR="00D73F03" w:rsidRPr="003331EF" w:rsidRDefault="00D73F03" w:rsidP="003331EF">
      <w:pPr>
        <w:pStyle w:val="Normal2"/>
        <w:rPr>
          <w:sz w:val="24"/>
        </w:rPr>
      </w:pPr>
    </w:p>
    <w:p w14:paraId="1AE68B44" w14:textId="66C8B8E5" w:rsidR="009F48D9" w:rsidRPr="003331EF" w:rsidRDefault="001A4507" w:rsidP="003331EF">
      <w:pPr>
        <w:pStyle w:val="Normal2"/>
        <w:rPr>
          <w:sz w:val="24"/>
        </w:rPr>
      </w:pPr>
      <w:proofErr w:type="spellStart"/>
      <w:r w:rsidRPr="003331EF">
        <w:rPr>
          <w:rFonts w:eastAsia="Times New Roman"/>
          <w:bCs w:val="0"/>
          <w:iCs/>
          <w:spacing w:val="-5"/>
          <w:sz w:val="24"/>
          <w:lang w:eastAsia="en-US"/>
        </w:rPr>
        <w:t>M</w:t>
      </w:r>
      <w:r w:rsidR="00A03096">
        <w:rPr>
          <w:rFonts w:eastAsia="Times New Roman"/>
          <w:bCs w:val="0"/>
          <w:iCs/>
          <w:spacing w:val="-5"/>
          <w:sz w:val="24"/>
          <w:lang w:eastAsia="en-US"/>
        </w:rPr>
        <w:t>i</w:t>
      </w:r>
      <w:r w:rsidRPr="003331EF">
        <w:rPr>
          <w:rFonts w:eastAsia="Times New Roman"/>
          <w:bCs w:val="0"/>
          <w:iCs/>
          <w:spacing w:val="-5"/>
          <w:sz w:val="24"/>
          <w:lang w:eastAsia="en-US"/>
        </w:rPr>
        <w:t>CA</w:t>
      </w:r>
      <w:proofErr w:type="spellEnd"/>
      <w:r w:rsidRPr="003331EF">
        <w:rPr>
          <w:rFonts w:eastAsia="Times New Roman"/>
          <w:bCs w:val="0"/>
          <w:iCs/>
          <w:spacing w:val="-5"/>
          <w:sz w:val="24"/>
          <w:lang w:eastAsia="en-US"/>
        </w:rPr>
        <w:t xml:space="preserve"> määrus ei reguleeri </w:t>
      </w:r>
      <w:proofErr w:type="spellStart"/>
      <w:r w:rsidRPr="003331EF">
        <w:rPr>
          <w:rFonts w:eastAsia="Times New Roman"/>
          <w:bCs w:val="0"/>
          <w:iCs/>
          <w:spacing w:val="-5"/>
          <w:sz w:val="24"/>
          <w:lang w:eastAsia="en-US"/>
        </w:rPr>
        <w:t>krüptovarateenuse</w:t>
      </w:r>
      <w:proofErr w:type="spellEnd"/>
      <w:r w:rsidRPr="003331EF">
        <w:rPr>
          <w:rFonts w:eastAsia="Times New Roman"/>
          <w:bCs w:val="0"/>
          <w:iCs/>
          <w:spacing w:val="-5"/>
          <w:sz w:val="24"/>
          <w:lang w:eastAsia="en-US"/>
        </w:rPr>
        <w:t xml:space="preserve"> osutajate järelevalvelist aruandlust</w:t>
      </w:r>
      <w:r w:rsidR="00806652" w:rsidRPr="003331EF">
        <w:rPr>
          <w:rFonts w:eastAsia="Times New Roman"/>
          <w:bCs w:val="0"/>
          <w:iCs/>
          <w:spacing w:val="-5"/>
          <w:sz w:val="24"/>
          <w:lang w:eastAsia="en-US"/>
        </w:rPr>
        <w:t xml:space="preserve"> ega ka </w:t>
      </w:r>
      <w:r w:rsidR="006D6CA1" w:rsidRPr="003331EF">
        <w:rPr>
          <w:rFonts w:eastAsia="Times New Roman"/>
          <w:bCs w:val="0"/>
          <w:iCs/>
          <w:spacing w:val="-5"/>
          <w:sz w:val="24"/>
          <w:lang w:eastAsia="en-US"/>
        </w:rPr>
        <w:t xml:space="preserve">lepinguriigi </w:t>
      </w:r>
      <w:r w:rsidR="00806652" w:rsidRPr="003331EF">
        <w:rPr>
          <w:rFonts w:eastAsia="Times New Roman"/>
          <w:bCs w:val="0"/>
          <w:iCs/>
          <w:spacing w:val="-5"/>
          <w:sz w:val="24"/>
          <w:lang w:eastAsia="en-US"/>
        </w:rPr>
        <w:t>filiaalidega seotud aruandlust</w:t>
      </w:r>
      <w:r w:rsidRPr="003331EF">
        <w:rPr>
          <w:rFonts w:eastAsia="Times New Roman"/>
          <w:bCs w:val="0"/>
          <w:iCs/>
          <w:spacing w:val="-5"/>
          <w:sz w:val="24"/>
          <w:lang w:eastAsia="en-US"/>
        </w:rPr>
        <w:t xml:space="preserve">. </w:t>
      </w:r>
      <w:proofErr w:type="spellStart"/>
      <w:r w:rsidRPr="003331EF">
        <w:rPr>
          <w:rFonts w:eastAsia="Times New Roman"/>
          <w:bCs w:val="0"/>
          <w:iCs/>
          <w:spacing w:val="-5"/>
          <w:sz w:val="24"/>
          <w:lang w:eastAsia="en-US"/>
        </w:rPr>
        <w:t>M</w:t>
      </w:r>
      <w:r w:rsidR="00A03096">
        <w:rPr>
          <w:rFonts w:eastAsia="Times New Roman"/>
          <w:bCs w:val="0"/>
          <w:iCs/>
          <w:spacing w:val="-5"/>
          <w:sz w:val="24"/>
          <w:lang w:eastAsia="en-US"/>
        </w:rPr>
        <w:t>i</w:t>
      </w:r>
      <w:r w:rsidRPr="003331EF">
        <w:rPr>
          <w:rFonts w:eastAsia="Times New Roman"/>
          <w:bCs w:val="0"/>
          <w:iCs/>
          <w:spacing w:val="-5"/>
          <w:sz w:val="24"/>
          <w:lang w:eastAsia="en-US"/>
        </w:rPr>
        <w:t>CA</w:t>
      </w:r>
      <w:proofErr w:type="spellEnd"/>
      <w:r w:rsidRPr="003331EF">
        <w:rPr>
          <w:rFonts w:eastAsia="Times New Roman"/>
          <w:bCs w:val="0"/>
          <w:iCs/>
          <w:spacing w:val="-5"/>
          <w:sz w:val="24"/>
          <w:lang w:eastAsia="en-US"/>
        </w:rPr>
        <w:t xml:space="preserve"> määruse artikli 94 lõikes 1 sätestatud pädevate asutuste õiguste nimekiri ei ole ammend</w:t>
      </w:r>
      <w:r w:rsidR="007F4932" w:rsidRPr="003331EF">
        <w:rPr>
          <w:rFonts w:eastAsia="Times New Roman"/>
          <w:bCs w:val="0"/>
          <w:iCs/>
          <w:spacing w:val="-5"/>
          <w:sz w:val="24"/>
          <w:lang w:eastAsia="en-US"/>
        </w:rPr>
        <w:t>a</w:t>
      </w:r>
      <w:r w:rsidRPr="003331EF">
        <w:rPr>
          <w:rFonts w:eastAsia="Times New Roman"/>
          <w:bCs w:val="0"/>
          <w:iCs/>
          <w:spacing w:val="-5"/>
          <w:sz w:val="24"/>
          <w:lang w:eastAsia="en-US"/>
        </w:rPr>
        <w:t xml:space="preserve">v, võimaldades liikmesriigil ette näha ka muid </w:t>
      </w:r>
      <w:proofErr w:type="spellStart"/>
      <w:r w:rsidRPr="003331EF">
        <w:rPr>
          <w:rFonts w:eastAsia="Times New Roman"/>
          <w:bCs w:val="0"/>
          <w:iCs/>
          <w:spacing w:val="-5"/>
          <w:sz w:val="24"/>
          <w:lang w:eastAsia="en-US"/>
        </w:rPr>
        <w:t>järelevalvelisi</w:t>
      </w:r>
      <w:proofErr w:type="spellEnd"/>
      <w:r w:rsidRPr="003331EF">
        <w:rPr>
          <w:rFonts w:eastAsia="Times New Roman"/>
          <w:bCs w:val="0"/>
          <w:iCs/>
          <w:spacing w:val="-5"/>
          <w:sz w:val="24"/>
          <w:lang w:eastAsia="en-US"/>
        </w:rPr>
        <w:t xml:space="preserve"> meetmeid.</w:t>
      </w:r>
      <w:r w:rsidR="00B048B7" w:rsidRPr="003331EF">
        <w:rPr>
          <w:rFonts w:eastAsia="Times New Roman"/>
          <w:bCs w:val="0"/>
          <w:iCs/>
          <w:spacing w:val="-5"/>
          <w:sz w:val="24"/>
          <w:lang w:eastAsia="en-US"/>
        </w:rPr>
        <w:t xml:space="preserve"> Järelevalve teostamiseks vajaliku teabe kogumine on üks </w:t>
      </w:r>
      <w:proofErr w:type="spellStart"/>
      <w:r w:rsidR="00B048B7" w:rsidRPr="003331EF">
        <w:rPr>
          <w:rFonts w:eastAsia="Times New Roman"/>
          <w:bCs w:val="0"/>
          <w:iCs/>
          <w:spacing w:val="-5"/>
          <w:sz w:val="24"/>
          <w:lang w:eastAsia="en-US"/>
        </w:rPr>
        <w:t>järelevalvelistest</w:t>
      </w:r>
      <w:proofErr w:type="spellEnd"/>
      <w:r w:rsidR="00B048B7" w:rsidRPr="003331EF">
        <w:rPr>
          <w:rFonts w:eastAsia="Times New Roman"/>
          <w:bCs w:val="0"/>
          <w:iCs/>
          <w:spacing w:val="-5"/>
          <w:sz w:val="24"/>
          <w:lang w:eastAsia="en-US"/>
        </w:rPr>
        <w:t xml:space="preserve"> meetmetest.</w:t>
      </w:r>
      <w:r w:rsidR="00D73F03" w:rsidRPr="003331EF">
        <w:rPr>
          <w:rFonts w:eastAsia="Times New Roman"/>
          <w:bCs w:val="0"/>
          <w:iCs/>
          <w:spacing w:val="-5"/>
          <w:sz w:val="24"/>
          <w:lang w:eastAsia="en-US"/>
        </w:rPr>
        <w:t xml:space="preserve"> Seetõttu </w:t>
      </w:r>
      <w:r w:rsidR="000C23A9" w:rsidRPr="003331EF">
        <w:rPr>
          <w:rFonts w:eastAsia="Times New Roman"/>
          <w:bCs w:val="0"/>
          <w:iCs/>
          <w:spacing w:val="-5"/>
          <w:sz w:val="24"/>
          <w:lang w:eastAsia="en-US"/>
        </w:rPr>
        <w:t xml:space="preserve">volitatakse ministrit vajadusel </w:t>
      </w:r>
      <w:r w:rsidR="00B048B7" w:rsidRPr="003331EF">
        <w:rPr>
          <w:rFonts w:eastAsia="Times New Roman"/>
          <w:bCs w:val="0"/>
          <w:iCs/>
          <w:spacing w:val="-5"/>
          <w:sz w:val="24"/>
          <w:lang w:eastAsia="en-US"/>
        </w:rPr>
        <w:t>kehtestama regulaarsete järelevalveliste aruannete sisu, vormid, koostamise metoodika ja esitamise kord</w:t>
      </w:r>
      <w:r w:rsidR="00D73F03" w:rsidRPr="003331EF">
        <w:rPr>
          <w:rFonts w:eastAsia="Times New Roman"/>
          <w:bCs w:val="0"/>
          <w:iCs/>
          <w:spacing w:val="-5"/>
          <w:sz w:val="24"/>
          <w:lang w:eastAsia="en-US"/>
        </w:rPr>
        <w:t xml:space="preserve">, et tagada </w:t>
      </w:r>
      <w:proofErr w:type="spellStart"/>
      <w:r w:rsidR="00D73F03" w:rsidRPr="003331EF">
        <w:rPr>
          <w:rFonts w:eastAsia="Times New Roman"/>
          <w:bCs w:val="0"/>
          <w:iCs/>
          <w:spacing w:val="-5"/>
          <w:sz w:val="24"/>
          <w:lang w:eastAsia="en-US"/>
        </w:rPr>
        <w:t>krüptovaraturu</w:t>
      </w:r>
      <w:proofErr w:type="spellEnd"/>
      <w:r w:rsidR="00D73F03" w:rsidRPr="003331EF">
        <w:rPr>
          <w:rFonts w:eastAsia="Times New Roman"/>
          <w:bCs w:val="0"/>
          <w:iCs/>
          <w:spacing w:val="-5"/>
          <w:sz w:val="24"/>
          <w:lang w:eastAsia="en-US"/>
        </w:rPr>
        <w:t xml:space="preserve"> osaliste ja filiaalide järelevalveks vajaliku teabe olemasolu ka ulatuses, mis ei ole </w:t>
      </w:r>
      <w:proofErr w:type="spellStart"/>
      <w:r w:rsidR="00D73F03" w:rsidRPr="003331EF">
        <w:rPr>
          <w:rFonts w:eastAsia="Times New Roman"/>
          <w:bCs w:val="0"/>
          <w:iCs/>
          <w:spacing w:val="-5"/>
          <w:sz w:val="24"/>
          <w:lang w:eastAsia="en-US"/>
        </w:rPr>
        <w:t>M</w:t>
      </w:r>
      <w:r w:rsidR="00A03096">
        <w:rPr>
          <w:rFonts w:eastAsia="Times New Roman"/>
          <w:bCs w:val="0"/>
          <w:iCs/>
          <w:spacing w:val="-5"/>
          <w:sz w:val="24"/>
          <w:lang w:eastAsia="en-US"/>
        </w:rPr>
        <w:t>i</w:t>
      </w:r>
      <w:r w:rsidR="00D73F03" w:rsidRPr="003331EF">
        <w:rPr>
          <w:rFonts w:eastAsia="Times New Roman"/>
          <w:bCs w:val="0"/>
          <w:iCs/>
          <w:spacing w:val="-5"/>
          <w:sz w:val="24"/>
          <w:lang w:eastAsia="en-US"/>
        </w:rPr>
        <w:t>CA</w:t>
      </w:r>
      <w:proofErr w:type="spellEnd"/>
      <w:r w:rsidR="00D73F03" w:rsidRPr="003331EF">
        <w:rPr>
          <w:rFonts w:eastAsia="Times New Roman"/>
          <w:bCs w:val="0"/>
          <w:iCs/>
          <w:spacing w:val="-5"/>
          <w:sz w:val="24"/>
          <w:lang w:eastAsia="en-US"/>
        </w:rPr>
        <w:t xml:space="preserve"> määrusega reguleeritud</w:t>
      </w:r>
      <w:r w:rsidR="00B048B7" w:rsidRPr="003331EF">
        <w:rPr>
          <w:sz w:val="24"/>
        </w:rPr>
        <w:t xml:space="preserve"> (</w:t>
      </w:r>
      <w:r w:rsidR="00B048B7" w:rsidRPr="003331EF">
        <w:rPr>
          <w:b/>
          <w:bCs w:val="0"/>
          <w:sz w:val="24"/>
        </w:rPr>
        <w:t xml:space="preserve">lõige </w:t>
      </w:r>
      <w:r w:rsidR="009F48D9" w:rsidRPr="003331EF">
        <w:rPr>
          <w:b/>
          <w:bCs w:val="0"/>
          <w:sz w:val="24"/>
        </w:rPr>
        <w:t>8</w:t>
      </w:r>
      <w:r w:rsidR="00B048B7" w:rsidRPr="003331EF">
        <w:rPr>
          <w:sz w:val="24"/>
        </w:rPr>
        <w:t xml:space="preserve">). </w:t>
      </w:r>
      <w:r w:rsidR="00D73F03" w:rsidRPr="003331EF">
        <w:rPr>
          <w:rFonts w:eastAsia="Times New Roman"/>
          <w:bCs w:val="0"/>
          <w:iCs/>
          <w:spacing w:val="-5"/>
          <w:sz w:val="24"/>
          <w:lang w:eastAsia="en-US"/>
        </w:rPr>
        <w:t>Samuti nähakse</w:t>
      </w:r>
      <w:r w:rsidR="00D73F03" w:rsidRPr="003331EF">
        <w:rPr>
          <w:sz w:val="24"/>
        </w:rPr>
        <w:t xml:space="preserve"> </w:t>
      </w:r>
      <w:r w:rsidR="00D73F03" w:rsidRPr="003331EF">
        <w:rPr>
          <w:b/>
          <w:bCs w:val="0"/>
          <w:sz w:val="24"/>
        </w:rPr>
        <w:t>lõikega 4</w:t>
      </w:r>
      <w:r w:rsidR="00D73F03" w:rsidRPr="003331EF">
        <w:rPr>
          <w:sz w:val="24"/>
        </w:rPr>
        <w:t xml:space="preserve"> </w:t>
      </w:r>
      <w:r w:rsidR="00D73F03" w:rsidRPr="003331EF">
        <w:rPr>
          <w:rFonts w:eastAsia="Times New Roman"/>
          <w:bCs w:val="0"/>
          <w:iCs/>
          <w:spacing w:val="-5"/>
          <w:sz w:val="24"/>
          <w:lang w:eastAsia="en-US"/>
        </w:rPr>
        <w:t xml:space="preserve">ette, et </w:t>
      </w:r>
      <w:r w:rsidR="009F48D9" w:rsidRPr="003331EF">
        <w:rPr>
          <w:rFonts w:eastAsia="Times New Roman"/>
          <w:bCs w:val="0"/>
          <w:iCs/>
          <w:spacing w:val="-5"/>
          <w:sz w:val="24"/>
          <w:lang w:eastAsia="en-US"/>
        </w:rPr>
        <w:t xml:space="preserve">lepinguriigi </w:t>
      </w:r>
      <w:r w:rsidR="00253CB3" w:rsidRPr="003331EF">
        <w:rPr>
          <w:rFonts w:eastAsia="Times New Roman"/>
          <w:bCs w:val="0"/>
          <w:iCs/>
          <w:spacing w:val="-5"/>
          <w:sz w:val="24"/>
          <w:lang w:eastAsia="en-US"/>
        </w:rPr>
        <w:t xml:space="preserve">varapõhise </w:t>
      </w:r>
      <w:proofErr w:type="spellStart"/>
      <w:r w:rsidR="00253CB3" w:rsidRPr="003331EF">
        <w:rPr>
          <w:rFonts w:eastAsia="Times New Roman"/>
          <w:bCs w:val="0"/>
          <w:iCs/>
          <w:spacing w:val="-5"/>
          <w:sz w:val="24"/>
          <w:lang w:eastAsia="en-US"/>
        </w:rPr>
        <w:t>tokeni</w:t>
      </w:r>
      <w:proofErr w:type="spellEnd"/>
      <w:r w:rsidR="009F48D9" w:rsidRPr="003331EF">
        <w:rPr>
          <w:rFonts w:eastAsia="Times New Roman"/>
          <w:bCs w:val="0"/>
          <w:iCs/>
          <w:spacing w:val="-5"/>
          <w:sz w:val="24"/>
          <w:lang w:eastAsia="en-US"/>
        </w:rPr>
        <w:t xml:space="preserve"> emitendi Eesti filiaali </w:t>
      </w:r>
      <w:r w:rsidR="00D73F03" w:rsidRPr="003331EF">
        <w:rPr>
          <w:rFonts w:eastAsia="Times New Roman"/>
          <w:bCs w:val="0"/>
          <w:iCs/>
          <w:spacing w:val="-5"/>
          <w:sz w:val="24"/>
          <w:lang w:eastAsia="en-US"/>
        </w:rPr>
        <w:t xml:space="preserve">on kohustatud koostama ja </w:t>
      </w:r>
      <w:r w:rsidR="009F48D9" w:rsidRPr="003331EF">
        <w:rPr>
          <w:rFonts w:eastAsia="Times New Roman"/>
          <w:bCs w:val="0"/>
          <w:iCs/>
          <w:spacing w:val="-5"/>
          <w:sz w:val="24"/>
          <w:lang w:eastAsia="en-US"/>
        </w:rPr>
        <w:t xml:space="preserve">Finantsinspektsioonile kord aasta </w:t>
      </w:r>
      <w:r w:rsidR="00D73F03" w:rsidRPr="003331EF">
        <w:rPr>
          <w:rFonts w:eastAsia="Times New Roman"/>
          <w:bCs w:val="0"/>
          <w:iCs/>
          <w:spacing w:val="-5"/>
          <w:sz w:val="24"/>
          <w:lang w:eastAsia="en-US"/>
        </w:rPr>
        <w:t xml:space="preserve">esitama </w:t>
      </w:r>
      <w:r w:rsidR="009F48D9" w:rsidRPr="003331EF">
        <w:rPr>
          <w:rFonts w:eastAsia="Times New Roman"/>
          <w:bCs w:val="0"/>
          <w:iCs/>
          <w:spacing w:val="-5"/>
          <w:sz w:val="24"/>
          <w:lang w:eastAsia="en-US"/>
        </w:rPr>
        <w:t xml:space="preserve">aruande, mis sisaldab teavet varapõhiste </w:t>
      </w:r>
      <w:proofErr w:type="spellStart"/>
      <w:r w:rsidR="009F48D9" w:rsidRPr="003331EF">
        <w:rPr>
          <w:rFonts w:eastAsia="Times New Roman"/>
          <w:bCs w:val="0"/>
          <w:iCs/>
          <w:spacing w:val="-5"/>
          <w:sz w:val="24"/>
          <w:lang w:eastAsia="en-US"/>
        </w:rPr>
        <w:t>tokenite</w:t>
      </w:r>
      <w:proofErr w:type="spellEnd"/>
      <w:r w:rsidR="009F48D9" w:rsidRPr="003331EF">
        <w:rPr>
          <w:rFonts w:eastAsia="Times New Roman"/>
          <w:bCs w:val="0"/>
          <w:iCs/>
          <w:spacing w:val="-5"/>
          <w:sz w:val="24"/>
          <w:lang w:eastAsia="en-US"/>
        </w:rPr>
        <w:t xml:space="preserve"> omanike arvu ja emiteeritud </w:t>
      </w:r>
      <w:proofErr w:type="spellStart"/>
      <w:r w:rsidR="009F48D9" w:rsidRPr="003331EF">
        <w:rPr>
          <w:rFonts w:eastAsia="Times New Roman"/>
          <w:bCs w:val="0"/>
          <w:iCs/>
          <w:spacing w:val="-5"/>
          <w:sz w:val="24"/>
          <w:lang w:eastAsia="en-US"/>
        </w:rPr>
        <w:t>tokenite</w:t>
      </w:r>
      <w:proofErr w:type="spellEnd"/>
      <w:r w:rsidR="009F48D9" w:rsidRPr="003331EF">
        <w:rPr>
          <w:rFonts w:eastAsia="Times New Roman"/>
          <w:bCs w:val="0"/>
          <w:iCs/>
          <w:spacing w:val="-5"/>
          <w:sz w:val="24"/>
          <w:lang w:eastAsia="en-US"/>
        </w:rPr>
        <w:t xml:space="preserve"> väärtuse kohta. Teave emiteeritud </w:t>
      </w:r>
      <w:proofErr w:type="spellStart"/>
      <w:r w:rsidR="009F48D9" w:rsidRPr="003331EF">
        <w:rPr>
          <w:rFonts w:eastAsia="Times New Roman"/>
          <w:bCs w:val="0"/>
          <w:iCs/>
          <w:spacing w:val="-5"/>
          <w:sz w:val="24"/>
          <w:lang w:eastAsia="en-US"/>
        </w:rPr>
        <w:t>tokenite</w:t>
      </w:r>
      <w:proofErr w:type="spellEnd"/>
      <w:r w:rsidR="009F48D9" w:rsidRPr="003331EF">
        <w:rPr>
          <w:rFonts w:eastAsia="Times New Roman"/>
          <w:bCs w:val="0"/>
          <w:iCs/>
          <w:spacing w:val="-5"/>
          <w:sz w:val="24"/>
          <w:lang w:eastAsia="en-US"/>
        </w:rPr>
        <w:t xml:space="preserve"> väärtuse kohta on vajalik </w:t>
      </w:r>
      <w:r w:rsidR="00D73F03" w:rsidRPr="003331EF">
        <w:rPr>
          <w:rFonts w:eastAsia="Times New Roman"/>
          <w:bCs w:val="0"/>
          <w:iCs/>
          <w:spacing w:val="-5"/>
          <w:sz w:val="24"/>
          <w:lang w:eastAsia="en-US"/>
        </w:rPr>
        <w:t xml:space="preserve">mh </w:t>
      </w:r>
      <w:r w:rsidR="009F48D9" w:rsidRPr="003331EF">
        <w:rPr>
          <w:rFonts w:eastAsia="Times New Roman"/>
          <w:bCs w:val="0"/>
          <w:iCs/>
          <w:spacing w:val="-5"/>
          <w:sz w:val="24"/>
          <w:lang w:eastAsia="en-US"/>
        </w:rPr>
        <w:t>filiaalile järelevalvetasu määramiseks</w:t>
      </w:r>
      <w:r w:rsidR="00AC4606" w:rsidRPr="003331EF">
        <w:rPr>
          <w:rFonts w:eastAsia="Times New Roman"/>
          <w:bCs w:val="0"/>
          <w:iCs/>
          <w:spacing w:val="-5"/>
          <w:sz w:val="24"/>
          <w:lang w:eastAsia="en-US"/>
        </w:rPr>
        <w:t xml:space="preserve"> (tegemist pole </w:t>
      </w:r>
      <w:proofErr w:type="spellStart"/>
      <w:r w:rsidR="00AC4606" w:rsidRPr="003331EF">
        <w:rPr>
          <w:rFonts w:eastAsia="Times New Roman"/>
          <w:bCs w:val="0"/>
          <w:iCs/>
          <w:spacing w:val="-5"/>
          <w:sz w:val="24"/>
          <w:lang w:eastAsia="en-US"/>
        </w:rPr>
        <w:t>M</w:t>
      </w:r>
      <w:r w:rsidR="00A03096">
        <w:rPr>
          <w:rFonts w:eastAsia="Times New Roman"/>
          <w:bCs w:val="0"/>
          <w:iCs/>
          <w:spacing w:val="-5"/>
          <w:sz w:val="24"/>
          <w:lang w:eastAsia="en-US"/>
        </w:rPr>
        <w:t>i</w:t>
      </w:r>
      <w:r w:rsidR="00AC4606" w:rsidRPr="003331EF">
        <w:rPr>
          <w:rFonts w:eastAsia="Times New Roman"/>
          <w:bCs w:val="0"/>
          <w:iCs/>
          <w:spacing w:val="-5"/>
          <w:sz w:val="24"/>
          <w:lang w:eastAsia="en-US"/>
        </w:rPr>
        <w:t>CA</w:t>
      </w:r>
      <w:proofErr w:type="spellEnd"/>
      <w:r w:rsidR="00AC4606" w:rsidRPr="003331EF">
        <w:rPr>
          <w:rFonts w:eastAsia="Times New Roman"/>
          <w:bCs w:val="0"/>
          <w:iCs/>
          <w:spacing w:val="-5"/>
          <w:sz w:val="24"/>
          <w:lang w:eastAsia="en-US"/>
        </w:rPr>
        <w:t xml:space="preserve"> määrusest tuleneva kohustusega)</w:t>
      </w:r>
      <w:r w:rsidR="009F48D9" w:rsidRPr="003331EF">
        <w:rPr>
          <w:rFonts w:eastAsia="Times New Roman"/>
          <w:bCs w:val="0"/>
          <w:iCs/>
          <w:spacing w:val="-5"/>
          <w:sz w:val="24"/>
          <w:lang w:eastAsia="en-US"/>
        </w:rPr>
        <w:t>.</w:t>
      </w:r>
      <w:r w:rsidR="009F48D9" w:rsidRPr="003331EF">
        <w:rPr>
          <w:bCs w:val="0"/>
          <w:sz w:val="24"/>
        </w:rPr>
        <w:t xml:space="preserve"> </w:t>
      </w:r>
    </w:p>
    <w:p w14:paraId="749B3FA5" w14:textId="77777777" w:rsidR="009F48D9" w:rsidRPr="003331EF" w:rsidRDefault="009F48D9" w:rsidP="003331EF">
      <w:pPr>
        <w:pStyle w:val="Normal2"/>
        <w:rPr>
          <w:sz w:val="24"/>
        </w:rPr>
      </w:pPr>
    </w:p>
    <w:p w14:paraId="0C54E9E7" w14:textId="6B429551" w:rsidR="00B048B7" w:rsidRPr="003331EF" w:rsidRDefault="00B048B7" w:rsidP="003331EF">
      <w:pPr>
        <w:pStyle w:val="Normal2"/>
        <w:rPr>
          <w:sz w:val="24"/>
        </w:rPr>
      </w:pPr>
      <w:r w:rsidRPr="003331EF">
        <w:rPr>
          <w:b/>
          <w:bCs w:val="0"/>
          <w:sz w:val="24"/>
        </w:rPr>
        <w:t xml:space="preserve">Lõikega </w:t>
      </w:r>
      <w:r w:rsidR="009F48D9" w:rsidRPr="003331EF">
        <w:rPr>
          <w:b/>
          <w:bCs w:val="0"/>
          <w:sz w:val="24"/>
        </w:rPr>
        <w:t>5</w:t>
      </w:r>
      <w:r w:rsidRPr="003331EF">
        <w:rPr>
          <w:b/>
          <w:bCs w:val="0"/>
          <w:sz w:val="24"/>
        </w:rPr>
        <w:t xml:space="preserve"> </w:t>
      </w:r>
      <w:r w:rsidRPr="003331EF">
        <w:rPr>
          <w:rFonts w:eastAsia="Times New Roman"/>
          <w:bCs w:val="0"/>
          <w:iCs/>
          <w:spacing w:val="-5"/>
          <w:sz w:val="24"/>
          <w:lang w:eastAsia="en-US"/>
        </w:rPr>
        <w:t>nähakse ette, et Finantsinspektsioonile esitatavate regulaarsete järelevalveliste aruannete periood on kvartal või aasta ning aruanded tuleb esitada Finantsinspektsioonile 20 päeva jooksul pärast aruandeperioodi lõppu</w:t>
      </w:r>
      <w:r w:rsidR="00996344" w:rsidRPr="003331EF">
        <w:rPr>
          <w:rFonts w:eastAsia="Times New Roman"/>
          <w:bCs w:val="0"/>
          <w:iCs/>
          <w:spacing w:val="-5"/>
          <w:sz w:val="24"/>
          <w:lang w:eastAsia="en-US"/>
        </w:rPr>
        <w:t xml:space="preserve">, kui </w:t>
      </w:r>
      <w:r w:rsidR="003F05BB" w:rsidRPr="003331EF">
        <w:rPr>
          <w:rFonts w:eastAsia="Times New Roman"/>
          <w:bCs w:val="0"/>
          <w:iCs/>
          <w:spacing w:val="-5"/>
          <w:sz w:val="24"/>
          <w:lang w:eastAsia="en-US"/>
        </w:rPr>
        <w:t>seaduses</w:t>
      </w:r>
      <w:r w:rsidR="009F48D9" w:rsidRPr="003331EF">
        <w:rPr>
          <w:rFonts w:eastAsia="Times New Roman"/>
          <w:bCs w:val="0"/>
          <w:iCs/>
          <w:spacing w:val="-5"/>
          <w:sz w:val="24"/>
          <w:lang w:eastAsia="en-US"/>
        </w:rPr>
        <w:t xml:space="preserve"> või </w:t>
      </w:r>
      <w:proofErr w:type="spellStart"/>
      <w:r w:rsidR="00996344" w:rsidRPr="003331EF">
        <w:rPr>
          <w:rFonts w:eastAsia="Times New Roman"/>
          <w:bCs w:val="0"/>
          <w:iCs/>
          <w:spacing w:val="-5"/>
          <w:sz w:val="24"/>
          <w:lang w:eastAsia="en-US"/>
        </w:rPr>
        <w:t>M</w:t>
      </w:r>
      <w:r w:rsidR="00A03096">
        <w:rPr>
          <w:rFonts w:eastAsia="Times New Roman"/>
          <w:bCs w:val="0"/>
          <w:iCs/>
          <w:spacing w:val="-5"/>
          <w:sz w:val="24"/>
          <w:lang w:eastAsia="en-US"/>
        </w:rPr>
        <w:t>i</w:t>
      </w:r>
      <w:r w:rsidR="00996344" w:rsidRPr="003331EF">
        <w:rPr>
          <w:rFonts w:eastAsia="Times New Roman"/>
          <w:bCs w:val="0"/>
          <w:iCs/>
          <w:spacing w:val="-5"/>
          <w:sz w:val="24"/>
          <w:lang w:eastAsia="en-US"/>
        </w:rPr>
        <w:t>CA</w:t>
      </w:r>
      <w:proofErr w:type="spellEnd"/>
      <w:r w:rsidR="00996344" w:rsidRPr="003331EF">
        <w:rPr>
          <w:rFonts w:eastAsia="Times New Roman"/>
          <w:bCs w:val="0"/>
          <w:iCs/>
          <w:spacing w:val="-5"/>
          <w:sz w:val="24"/>
          <w:lang w:eastAsia="en-US"/>
        </w:rPr>
        <w:t xml:space="preserve"> määruses ei ole ette nähtud teisiti. Näiteks on </w:t>
      </w:r>
      <w:proofErr w:type="spellStart"/>
      <w:r w:rsidR="00996344" w:rsidRPr="003331EF">
        <w:rPr>
          <w:rFonts w:eastAsia="Times New Roman"/>
          <w:bCs w:val="0"/>
          <w:iCs/>
          <w:spacing w:val="-5"/>
          <w:sz w:val="24"/>
          <w:lang w:eastAsia="en-US"/>
        </w:rPr>
        <w:lastRenderedPageBreak/>
        <w:t>M</w:t>
      </w:r>
      <w:r w:rsidR="00A03096">
        <w:rPr>
          <w:rFonts w:eastAsia="Times New Roman"/>
          <w:bCs w:val="0"/>
          <w:iCs/>
          <w:spacing w:val="-5"/>
          <w:sz w:val="24"/>
          <w:lang w:eastAsia="en-US"/>
        </w:rPr>
        <w:t>i</w:t>
      </w:r>
      <w:r w:rsidR="00996344" w:rsidRPr="003331EF">
        <w:rPr>
          <w:rFonts w:eastAsia="Times New Roman"/>
          <w:bCs w:val="0"/>
          <w:iCs/>
          <w:spacing w:val="-5"/>
          <w:sz w:val="24"/>
          <w:lang w:eastAsia="en-US"/>
        </w:rPr>
        <w:t>CA</w:t>
      </w:r>
      <w:proofErr w:type="spellEnd"/>
      <w:r w:rsidR="00996344" w:rsidRPr="003331EF">
        <w:rPr>
          <w:rFonts w:eastAsia="Times New Roman"/>
          <w:bCs w:val="0"/>
          <w:iCs/>
          <w:spacing w:val="-5"/>
          <w:sz w:val="24"/>
          <w:lang w:eastAsia="en-US"/>
        </w:rPr>
        <w:t xml:space="preserve"> määruse sätestatud, et varapõhise </w:t>
      </w:r>
      <w:proofErr w:type="spellStart"/>
      <w:r w:rsidR="00996344" w:rsidRPr="003331EF">
        <w:rPr>
          <w:rFonts w:eastAsia="Times New Roman"/>
          <w:bCs w:val="0"/>
          <w:iCs/>
          <w:spacing w:val="-5"/>
          <w:sz w:val="24"/>
          <w:lang w:eastAsia="en-US"/>
        </w:rPr>
        <w:t>tokeni</w:t>
      </w:r>
      <w:proofErr w:type="spellEnd"/>
      <w:r w:rsidR="00996344" w:rsidRPr="003331EF">
        <w:rPr>
          <w:rFonts w:eastAsia="Times New Roman"/>
          <w:bCs w:val="0"/>
          <w:iCs/>
          <w:spacing w:val="-5"/>
          <w:sz w:val="24"/>
          <w:lang w:eastAsia="en-US"/>
        </w:rPr>
        <w:t xml:space="preserve"> emitent peab Finantsinspektsioonile teabe esitama kord kvartalis. Lõike </w:t>
      </w:r>
      <w:r w:rsidR="00253CB3" w:rsidRPr="003331EF">
        <w:rPr>
          <w:rFonts w:eastAsia="Times New Roman"/>
          <w:bCs w:val="0"/>
          <w:iCs/>
          <w:spacing w:val="-5"/>
          <w:sz w:val="24"/>
          <w:lang w:eastAsia="en-US"/>
        </w:rPr>
        <w:t>8</w:t>
      </w:r>
      <w:r w:rsidR="00996344" w:rsidRPr="003331EF">
        <w:rPr>
          <w:rFonts w:eastAsia="Times New Roman"/>
          <w:bCs w:val="0"/>
          <w:iCs/>
          <w:spacing w:val="-5"/>
          <w:sz w:val="24"/>
          <w:lang w:eastAsia="en-US"/>
        </w:rPr>
        <w:t xml:space="preserve"> alusel kehtestatavate aruannete sagedus ja esitamise tähta</w:t>
      </w:r>
      <w:r w:rsidR="00713F8D" w:rsidRPr="003331EF">
        <w:rPr>
          <w:rFonts w:eastAsia="Times New Roman"/>
          <w:bCs w:val="0"/>
          <w:iCs/>
          <w:spacing w:val="-5"/>
          <w:sz w:val="24"/>
          <w:lang w:eastAsia="en-US"/>
        </w:rPr>
        <w:t xml:space="preserve">jad </w:t>
      </w:r>
      <w:r w:rsidR="00996344" w:rsidRPr="003331EF">
        <w:rPr>
          <w:rFonts w:eastAsia="Times New Roman"/>
          <w:bCs w:val="0"/>
          <w:iCs/>
          <w:spacing w:val="-5"/>
          <w:sz w:val="24"/>
          <w:lang w:eastAsia="en-US"/>
        </w:rPr>
        <w:t xml:space="preserve">nähakse ette vastavas määruses </w:t>
      </w:r>
      <w:r w:rsidR="009F48D9" w:rsidRPr="003331EF">
        <w:rPr>
          <w:rFonts w:eastAsia="Times New Roman"/>
          <w:bCs w:val="0"/>
          <w:iCs/>
          <w:spacing w:val="-5"/>
          <w:sz w:val="24"/>
          <w:lang w:eastAsia="en-US"/>
        </w:rPr>
        <w:t xml:space="preserve">aruande </w:t>
      </w:r>
      <w:r w:rsidR="00996344" w:rsidRPr="003331EF">
        <w:rPr>
          <w:rFonts w:eastAsia="Times New Roman"/>
          <w:bCs w:val="0"/>
          <w:iCs/>
          <w:spacing w:val="-5"/>
          <w:sz w:val="24"/>
          <w:lang w:eastAsia="en-US"/>
        </w:rPr>
        <w:t>esitamise kor</w:t>
      </w:r>
      <w:r w:rsidR="009F48D9" w:rsidRPr="003331EF">
        <w:rPr>
          <w:rFonts w:eastAsia="Times New Roman"/>
          <w:bCs w:val="0"/>
          <w:iCs/>
          <w:spacing w:val="-5"/>
          <w:sz w:val="24"/>
          <w:lang w:eastAsia="en-US"/>
        </w:rPr>
        <w:t>ra all</w:t>
      </w:r>
      <w:r w:rsidR="00996344" w:rsidRPr="003331EF">
        <w:rPr>
          <w:rFonts w:eastAsia="Times New Roman"/>
          <w:bCs w:val="0"/>
          <w:iCs/>
          <w:spacing w:val="-5"/>
          <w:sz w:val="24"/>
          <w:lang w:eastAsia="en-US"/>
        </w:rPr>
        <w:t>.</w:t>
      </w:r>
      <w:r w:rsidR="00996344" w:rsidRPr="003331EF">
        <w:rPr>
          <w:sz w:val="24"/>
        </w:rPr>
        <w:t xml:space="preserve"> </w:t>
      </w:r>
      <w:r w:rsidRPr="003331EF">
        <w:rPr>
          <w:sz w:val="24"/>
        </w:rPr>
        <w:t xml:space="preserve"> </w:t>
      </w:r>
    </w:p>
    <w:p w14:paraId="185982B0" w14:textId="77777777" w:rsidR="00B048B7" w:rsidRPr="003331EF" w:rsidRDefault="00B048B7" w:rsidP="003331EF">
      <w:pPr>
        <w:pStyle w:val="Normal2"/>
        <w:rPr>
          <w:rFonts w:eastAsia="Times New Roman"/>
          <w:bCs w:val="0"/>
          <w:iCs/>
          <w:spacing w:val="-5"/>
          <w:sz w:val="24"/>
          <w:lang w:eastAsia="en-US"/>
        </w:rPr>
      </w:pPr>
    </w:p>
    <w:p w14:paraId="595511ED" w14:textId="279F0F51" w:rsidR="001A4507" w:rsidRPr="003331EF" w:rsidRDefault="00B048B7" w:rsidP="003331EF">
      <w:pPr>
        <w:pStyle w:val="Normal2"/>
        <w:rPr>
          <w:rFonts w:eastAsia="Times New Roman"/>
          <w:bCs w:val="0"/>
          <w:iCs/>
          <w:spacing w:val="-5"/>
          <w:sz w:val="24"/>
          <w:lang w:eastAsia="en-US"/>
        </w:rPr>
      </w:pPr>
      <w:r w:rsidRPr="003331EF">
        <w:rPr>
          <w:rFonts w:eastAsia="Times New Roman"/>
          <w:bCs w:val="0"/>
          <w:iCs/>
          <w:spacing w:val="-5"/>
          <w:sz w:val="24"/>
          <w:lang w:eastAsia="en-US"/>
        </w:rPr>
        <w:t>K</w:t>
      </w:r>
      <w:r w:rsidR="001A4507" w:rsidRPr="003331EF">
        <w:rPr>
          <w:rFonts w:eastAsia="Times New Roman"/>
          <w:bCs w:val="0"/>
          <w:iCs/>
          <w:spacing w:val="-5"/>
          <w:sz w:val="24"/>
          <w:lang w:eastAsia="en-US"/>
        </w:rPr>
        <w:t xml:space="preserve">ui </w:t>
      </w:r>
      <w:r w:rsidRPr="003331EF">
        <w:rPr>
          <w:rFonts w:eastAsia="Times New Roman"/>
          <w:bCs w:val="0"/>
          <w:iCs/>
          <w:spacing w:val="-5"/>
          <w:sz w:val="24"/>
          <w:lang w:eastAsia="en-US"/>
        </w:rPr>
        <w:t xml:space="preserve">aruande </w:t>
      </w:r>
      <w:r w:rsidR="001A4507" w:rsidRPr="003331EF">
        <w:rPr>
          <w:rFonts w:eastAsia="Times New Roman"/>
          <w:bCs w:val="0"/>
          <w:iCs/>
          <w:spacing w:val="-5"/>
          <w:sz w:val="24"/>
          <w:lang w:eastAsia="en-US"/>
        </w:rPr>
        <w:t xml:space="preserve">esitamispäev langeb puhkepäevale, siis tuleb aruanne esitada hiljemalt puhkepäevale järgneval esimesel tööpäeval. </w:t>
      </w:r>
    </w:p>
    <w:p w14:paraId="5E1D8975" w14:textId="77777777" w:rsidR="001A4507" w:rsidRPr="003331EF" w:rsidRDefault="001A4507" w:rsidP="003331EF">
      <w:pPr>
        <w:pStyle w:val="Normal2"/>
        <w:rPr>
          <w:b/>
          <w:i/>
          <w:iCs/>
          <w:sz w:val="24"/>
        </w:rPr>
      </w:pPr>
    </w:p>
    <w:p w14:paraId="00E89FB2" w14:textId="4DF031FE" w:rsidR="00D7450C" w:rsidRPr="003331EF" w:rsidRDefault="001A4507" w:rsidP="003331EF">
      <w:pPr>
        <w:pStyle w:val="Normal2"/>
        <w:rPr>
          <w:rFonts w:eastAsia="Times New Roman"/>
          <w:bCs w:val="0"/>
          <w:iCs/>
          <w:spacing w:val="-5"/>
          <w:sz w:val="24"/>
          <w:lang w:eastAsia="en-US"/>
        </w:rPr>
      </w:pPr>
      <w:r w:rsidRPr="003331EF">
        <w:rPr>
          <w:b/>
          <w:sz w:val="24"/>
        </w:rPr>
        <w:t xml:space="preserve">Lõike </w:t>
      </w:r>
      <w:r w:rsidR="009F48D9" w:rsidRPr="003331EF">
        <w:rPr>
          <w:b/>
          <w:sz w:val="24"/>
        </w:rPr>
        <w:t>6</w:t>
      </w:r>
      <w:r w:rsidRPr="003331EF">
        <w:rPr>
          <w:sz w:val="24"/>
        </w:rPr>
        <w:t xml:space="preserve"> </w:t>
      </w:r>
      <w:r w:rsidRPr="003331EF">
        <w:rPr>
          <w:rFonts w:eastAsia="Times New Roman"/>
          <w:bCs w:val="0"/>
          <w:iCs/>
          <w:spacing w:val="-5"/>
          <w:sz w:val="24"/>
          <w:lang w:eastAsia="en-US"/>
        </w:rPr>
        <w:t xml:space="preserve">kohaselt on Finantsinspektsioonil </w:t>
      </w:r>
      <w:r w:rsidR="00253396" w:rsidRPr="003331EF">
        <w:rPr>
          <w:iCs/>
          <w:spacing w:val="-5"/>
          <w:lang w:eastAsia="en-US"/>
        </w:rPr>
        <w:t xml:space="preserve">põhjendatud vajadusel </w:t>
      </w:r>
      <w:r w:rsidRPr="003331EF">
        <w:rPr>
          <w:rFonts w:eastAsia="Times New Roman"/>
          <w:bCs w:val="0"/>
          <w:iCs/>
          <w:spacing w:val="-5"/>
          <w:sz w:val="24"/>
          <w:lang w:eastAsia="en-US"/>
        </w:rPr>
        <w:t xml:space="preserve">õigus </w:t>
      </w:r>
      <w:r w:rsidR="00253396" w:rsidRPr="003331EF">
        <w:rPr>
          <w:rFonts w:eastAsia="Times New Roman"/>
          <w:bCs w:val="0"/>
          <w:iCs/>
          <w:spacing w:val="-5"/>
          <w:sz w:val="24"/>
          <w:lang w:eastAsia="en-US"/>
        </w:rPr>
        <w:t xml:space="preserve">lisaks </w:t>
      </w:r>
      <w:r w:rsidRPr="003331EF">
        <w:rPr>
          <w:rFonts w:eastAsia="Times New Roman"/>
          <w:bCs w:val="0"/>
          <w:iCs/>
          <w:spacing w:val="-5"/>
          <w:sz w:val="24"/>
          <w:lang w:eastAsia="en-US"/>
        </w:rPr>
        <w:t>nõuda regulaarselt või ühekordselt andmeid ja dokumente, mis on vajalikud järelevalve teostamiseks.</w:t>
      </w:r>
      <w:r w:rsidRPr="003331EF">
        <w:rPr>
          <w:sz w:val="24"/>
        </w:rPr>
        <w:t xml:space="preserve"> </w:t>
      </w:r>
      <w:r w:rsidR="00612D37" w:rsidRPr="003331EF">
        <w:rPr>
          <w:rFonts w:eastAsia="Times New Roman"/>
          <w:bCs w:val="0"/>
          <w:iCs/>
          <w:spacing w:val="-5"/>
          <w:sz w:val="24"/>
          <w:lang w:eastAsia="en-US"/>
        </w:rPr>
        <w:t xml:space="preserve">Kuna regulaarsete järelevalveliste aruannete esitamise sagedus on üldjuhul kvartal, siis olukorras, kus järelevalvet on vaja teostada intensiivsemalt või kui </w:t>
      </w:r>
      <w:proofErr w:type="spellStart"/>
      <w:r w:rsidR="00612D37" w:rsidRPr="003331EF">
        <w:rPr>
          <w:rFonts w:eastAsia="Times New Roman"/>
          <w:bCs w:val="0"/>
          <w:iCs/>
          <w:spacing w:val="-5"/>
          <w:sz w:val="24"/>
          <w:lang w:eastAsia="en-US"/>
        </w:rPr>
        <w:t>krüptovaraturu</w:t>
      </w:r>
      <w:proofErr w:type="spellEnd"/>
      <w:r w:rsidR="00612D37" w:rsidRPr="003331EF">
        <w:rPr>
          <w:rFonts w:eastAsia="Times New Roman"/>
          <w:bCs w:val="0"/>
          <w:iCs/>
          <w:spacing w:val="-5"/>
          <w:sz w:val="24"/>
          <w:lang w:eastAsia="en-US"/>
        </w:rPr>
        <w:t xml:space="preserve"> osalise tegevuses esineb puudusi, mille kõrvaldamine vajab sagedamat andmetes toimuvate muutuste </w:t>
      </w:r>
      <w:proofErr w:type="spellStart"/>
      <w:r w:rsidR="00612D37" w:rsidRPr="003331EF">
        <w:rPr>
          <w:rFonts w:eastAsia="Times New Roman"/>
          <w:bCs w:val="0"/>
          <w:iCs/>
          <w:spacing w:val="-5"/>
          <w:sz w:val="24"/>
          <w:lang w:eastAsia="en-US"/>
        </w:rPr>
        <w:t>monitoorimist</w:t>
      </w:r>
      <w:proofErr w:type="spellEnd"/>
      <w:r w:rsidR="00612D37" w:rsidRPr="003331EF">
        <w:rPr>
          <w:rFonts w:eastAsia="Times New Roman"/>
          <w:bCs w:val="0"/>
          <w:iCs/>
          <w:spacing w:val="-5"/>
          <w:sz w:val="24"/>
          <w:lang w:eastAsia="en-US"/>
        </w:rPr>
        <w:t xml:space="preserve">, nähakse eelnõuga ette võimalus nõuda juba kehtestatud aruannete sagedamat esitamist. </w:t>
      </w:r>
      <w:r w:rsidR="00D7450C" w:rsidRPr="003331EF">
        <w:rPr>
          <w:rFonts w:eastAsia="Times New Roman"/>
          <w:bCs w:val="0"/>
          <w:iCs/>
          <w:spacing w:val="-5"/>
          <w:sz w:val="24"/>
          <w:lang w:eastAsia="en-US"/>
        </w:rPr>
        <w:t>Selline nõue ei tähenda uute aruandluskohustuste kehtestamist.</w:t>
      </w:r>
    </w:p>
    <w:p w14:paraId="40083D65" w14:textId="77777777" w:rsidR="00D7450C" w:rsidRPr="003331EF" w:rsidRDefault="00D7450C" w:rsidP="003331EF">
      <w:pPr>
        <w:pStyle w:val="Normal2"/>
        <w:rPr>
          <w:rFonts w:eastAsia="Times New Roman"/>
          <w:bCs w:val="0"/>
          <w:iCs/>
          <w:spacing w:val="-5"/>
          <w:sz w:val="24"/>
          <w:lang w:eastAsia="en-US"/>
        </w:rPr>
      </w:pPr>
    </w:p>
    <w:p w14:paraId="3D8225D6" w14:textId="01CEF723" w:rsidR="00612D37" w:rsidRPr="003331EF" w:rsidRDefault="00612D37" w:rsidP="003331EF">
      <w:pPr>
        <w:spacing w:before="0"/>
      </w:pPr>
      <w:r w:rsidRPr="003331EF">
        <w:rPr>
          <w:iCs/>
          <w:spacing w:val="-5"/>
          <w:lang w:eastAsia="en-US"/>
        </w:rPr>
        <w:t>Samuti on Finantsinspektsioonil õigus andmete kogumiseks Euroopa järelevalveasutuste poolt püstitatud ülesannete täitmiseks vastavalt Euroopa Parlamendi ja nõukogu määrusele 1095/2010.</w:t>
      </w:r>
      <w:r w:rsidR="00D7450C" w:rsidRPr="003331EF">
        <w:rPr>
          <w:iCs/>
          <w:spacing w:val="-5"/>
          <w:lang w:eastAsia="en-US"/>
        </w:rPr>
        <w:t xml:space="preserve"> Selline täpsustus </w:t>
      </w:r>
      <w:r w:rsidRPr="003331EF">
        <w:rPr>
          <w:iCs/>
          <w:spacing w:val="-5"/>
          <w:lang w:eastAsia="en-US"/>
        </w:rPr>
        <w:t xml:space="preserve">tagab aruannete esitaja jaoks suurema läbipaistvuse andmete kogumise eesmärgist ja annab selged volitused järelevalvele koguda ka selliseid andmeid, mille kogumine on nõutud </w:t>
      </w:r>
      <w:r w:rsidR="003D5793" w:rsidRPr="003331EF">
        <w:rPr>
          <w:iCs/>
          <w:spacing w:val="-5"/>
          <w:lang w:eastAsia="en-US"/>
        </w:rPr>
        <w:t xml:space="preserve">Euroopa Järelevalveasutuste </w:t>
      </w:r>
      <w:r w:rsidRPr="003331EF">
        <w:rPr>
          <w:iCs/>
          <w:spacing w:val="-5"/>
          <w:lang w:eastAsia="en-US"/>
        </w:rPr>
        <w:t xml:space="preserve">poolt ning ei tulene järelevalve teostamise vajadustest </w:t>
      </w:r>
      <w:r w:rsidR="00D7450C" w:rsidRPr="003331EF">
        <w:rPr>
          <w:iCs/>
          <w:spacing w:val="-5"/>
          <w:lang w:eastAsia="en-US"/>
        </w:rPr>
        <w:t xml:space="preserve">ainult </w:t>
      </w:r>
      <w:r w:rsidRPr="003331EF">
        <w:rPr>
          <w:iCs/>
          <w:spacing w:val="-5"/>
          <w:lang w:eastAsia="en-US"/>
        </w:rPr>
        <w:t xml:space="preserve">seaduses sätestatud ulatuses. </w:t>
      </w:r>
      <w:r w:rsidR="003D5793" w:rsidRPr="003331EF">
        <w:rPr>
          <w:iCs/>
          <w:spacing w:val="-5"/>
          <w:lang w:eastAsia="en-US"/>
        </w:rPr>
        <w:t xml:space="preserve">Määruse 1095/2010 artikli 35 lõige 1 ütleb, et </w:t>
      </w:r>
      <w:r w:rsidR="003D5793" w:rsidRPr="003331EF">
        <w:rPr>
          <w:rFonts w:hint="eastAsia"/>
          <w:iCs/>
          <w:spacing w:val="-5"/>
          <w:lang w:eastAsia="en-US"/>
        </w:rPr>
        <w:t xml:space="preserve">Euroopa Väärtpaberiturujärelevalve taotlusel annavad liikmesriikide pädevad asutused Euroopa Väärtpaberiturujärelevalvele kogu teabe, mida on vaja </w:t>
      </w:r>
      <w:r w:rsidR="00253396" w:rsidRPr="003331EF">
        <w:rPr>
          <w:iCs/>
          <w:spacing w:val="-5"/>
          <w:lang w:eastAsia="en-US"/>
        </w:rPr>
        <w:t>eelviidatud</w:t>
      </w:r>
      <w:r w:rsidR="003D5793" w:rsidRPr="003331EF">
        <w:rPr>
          <w:rFonts w:hint="eastAsia"/>
          <w:iCs/>
          <w:spacing w:val="-5"/>
          <w:lang w:eastAsia="en-US"/>
        </w:rPr>
        <w:t xml:space="preserve"> määrusega ettenähtud ülesannete täitmiseks, eeldusel</w:t>
      </w:r>
      <w:r w:rsidR="00253396" w:rsidRPr="003331EF">
        <w:rPr>
          <w:iCs/>
          <w:spacing w:val="-5"/>
          <w:lang w:eastAsia="en-US"/>
        </w:rPr>
        <w:t>,</w:t>
      </w:r>
      <w:r w:rsidR="003D5793" w:rsidRPr="003331EF">
        <w:rPr>
          <w:rFonts w:hint="eastAsia"/>
          <w:iCs/>
          <w:spacing w:val="-5"/>
          <w:lang w:eastAsia="en-US"/>
        </w:rPr>
        <w:t xml:space="preserve"> et asjaomane teave on neile seaduslikult kättesaadav ja tingimusel, et teabenõue on asjassepuutuva ülesande sisu jaoks vajalik.</w:t>
      </w:r>
      <w:r w:rsidR="003D5793" w:rsidRPr="003331EF">
        <w:rPr>
          <w:iCs/>
          <w:spacing w:val="-5"/>
          <w:lang w:eastAsia="en-US"/>
        </w:rPr>
        <w:t xml:space="preserve"> Seega </w:t>
      </w:r>
      <w:r w:rsidR="00253396" w:rsidRPr="003331EF">
        <w:rPr>
          <w:iCs/>
          <w:spacing w:val="-5"/>
          <w:lang w:eastAsia="en-US"/>
        </w:rPr>
        <w:t xml:space="preserve">antakse </w:t>
      </w:r>
      <w:r w:rsidR="003D5793" w:rsidRPr="003331EF">
        <w:rPr>
          <w:iCs/>
          <w:spacing w:val="-5"/>
          <w:lang w:eastAsia="en-US"/>
        </w:rPr>
        <w:t>käesoleva</w:t>
      </w:r>
      <w:r w:rsidR="00253396" w:rsidRPr="003331EF">
        <w:rPr>
          <w:iCs/>
          <w:spacing w:val="-5"/>
          <w:lang w:eastAsia="en-US"/>
        </w:rPr>
        <w:t xml:space="preserve"> </w:t>
      </w:r>
      <w:r w:rsidR="003D5793" w:rsidRPr="003331EF">
        <w:rPr>
          <w:iCs/>
          <w:spacing w:val="-5"/>
          <w:lang w:eastAsia="en-US"/>
        </w:rPr>
        <w:t xml:space="preserve">muudatusega Finantsinspektsioonile seaduslik alus teabe küsimiseks </w:t>
      </w:r>
      <w:proofErr w:type="spellStart"/>
      <w:r w:rsidR="003D5793" w:rsidRPr="003331EF">
        <w:rPr>
          <w:iCs/>
          <w:spacing w:val="-5"/>
          <w:lang w:eastAsia="en-US"/>
        </w:rPr>
        <w:t>krüptovarateenuse</w:t>
      </w:r>
      <w:proofErr w:type="spellEnd"/>
      <w:r w:rsidR="003D5793" w:rsidRPr="003331EF">
        <w:rPr>
          <w:iCs/>
          <w:spacing w:val="-5"/>
          <w:lang w:eastAsia="en-US"/>
        </w:rPr>
        <w:t xml:space="preserve"> osutajalt.</w:t>
      </w:r>
    </w:p>
    <w:p w14:paraId="641BD496" w14:textId="77777777" w:rsidR="001A4507" w:rsidRPr="003331EF" w:rsidRDefault="001A4507" w:rsidP="003331EF">
      <w:pPr>
        <w:spacing w:before="0"/>
        <w:rPr>
          <w:i/>
          <w:iCs/>
        </w:rPr>
      </w:pPr>
    </w:p>
    <w:p w14:paraId="13576961" w14:textId="7E66FC5A" w:rsidR="00E8618F" w:rsidRPr="003331EF" w:rsidRDefault="00E8618F" w:rsidP="003331EF">
      <w:pPr>
        <w:spacing w:before="0"/>
      </w:pPr>
      <w:r w:rsidRPr="003331EF">
        <w:rPr>
          <w:b/>
          <w:bCs/>
        </w:rPr>
        <w:t>Lõi</w:t>
      </w:r>
      <w:r w:rsidR="008F0D3C" w:rsidRPr="003331EF">
        <w:rPr>
          <w:b/>
          <w:bCs/>
        </w:rPr>
        <w:t>ke</w:t>
      </w:r>
      <w:r w:rsidRPr="003331EF">
        <w:rPr>
          <w:b/>
          <w:bCs/>
        </w:rPr>
        <w:t xml:space="preserve"> 7</w:t>
      </w:r>
      <w:r w:rsidR="008F0D3C" w:rsidRPr="003331EF">
        <w:t xml:space="preserve"> </w:t>
      </w:r>
      <w:r w:rsidR="008F0D3C" w:rsidRPr="003331EF">
        <w:rPr>
          <w:iCs/>
          <w:spacing w:val="-5"/>
          <w:lang w:eastAsia="en-US"/>
        </w:rPr>
        <w:t>kohaselt</w:t>
      </w:r>
      <w:r w:rsidRPr="003331EF">
        <w:rPr>
          <w:iCs/>
          <w:spacing w:val="-5"/>
          <w:lang w:eastAsia="en-US"/>
        </w:rPr>
        <w:t xml:space="preserve"> </w:t>
      </w:r>
      <w:r w:rsidR="008F0D3C" w:rsidRPr="003331EF">
        <w:rPr>
          <w:iCs/>
          <w:spacing w:val="-5"/>
          <w:lang w:eastAsia="en-US"/>
        </w:rPr>
        <w:t xml:space="preserve">võib Finantsinspektsioonile järelevalve eesmärgil esitatud aruannete põhjal Finantsinspektsioon esitada andmeid Rahandusministeeriumile Vabariigi Valitsuse seadusest tulenevate ülesannete täitmiseks ning Eesti Pangale </w:t>
      </w:r>
      <w:r w:rsidR="00293011" w:rsidRPr="003331EF">
        <w:rPr>
          <w:iCs/>
          <w:spacing w:val="-5"/>
          <w:lang w:eastAsia="en-US"/>
        </w:rPr>
        <w:t xml:space="preserve">Eesti Panga </w:t>
      </w:r>
      <w:r w:rsidR="008F0D3C" w:rsidRPr="003331EF">
        <w:rPr>
          <w:iCs/>
          <w:spacing w:val="-5"/>
          <w:lang w:eastAsia="en-US"/>
        </w:rPr>
        <w:t>seadusest tulenevate ülesannete täitmiseks.</w:t>
      </w:r>
      <w:r w:rsidR="008F0D3C" w:rsidRPr="003331EF">
        <w:t xml:space="preserve"> </w:t>
      </w:r>
    </w:p>
    <w:p w14:paraId="111DB468" w14:textId="77777777" w:rsidR="000C23A9" w:rsidRPr="003331EF" w:rsidRDefault="000C23A9" w:rsidP="003331EF">
      <w:pPr>
        <w:spacing w:before="0"/>
        <w:rPr>
          <w:i/>
          <w:iCs/>
        </w:rPr>
      </w:pPr>
    </w:p>
    <w:p w14:paraId="1EFE3CEC" w14:textId="7BEBB667" w:rsidR="00F03AAD" w:rsidRPr="003331EF" w:rsidRDefault="00F03AAD" w:rsidP="003331EF">
      <w:pPr>
        <w:spacing w:before="0"/>
        <w:rPr>
          <w:b/>
          <w:bCs/>
        </w:rPr>
      </w:pPr>
      <w:r w:rsidRPr="003331EF">
        <w:rPr>
          <w:b/>
        </w:rPr>
        <w:t>Paragrahv 1</w:t>
      </w:r>
      <w:r w:rsidR="007273B5" w:rsidRPr="003331EF">
        <w:rPr>
          <w:b/>
        </w:rPr>
        <w:t>6</w:t>
      </w:r>
      <w:r w:rsidRPr="003331EF">
        <w:rPr>
          <w:b/>
        </w:rPr>
        <w:t xml:space="preserve">. </w:t>
      </w:r>
      <w:r w:rsidRPr="003331EF">
        <w:rPr>
          <w:b/>
          <w:bCs/>
        </w:rPr>
        <w:t>Finantsinspektsioonile esitatud aruannete kontroll ja puuduste kõrvaldamine</w:t>
      </w:r>
    </w:p>
    <w:p w14:paraId="3C01FBA0" w14:textId="1A73F09F" w:rsidR="00F03AAD" w:rsidRPr="003331EF" w:rsidRDefault="00F03AAD" w:rsidP="003331EF">
      <w:pPr>
        <w:pStyle w:val="Normal2"/>
        <w:rPr>
          <w:b/>
          <w:sz w:val="24"/>
        </w:rPr>
      </w:pPr>
    </w:p>
    <w:p w14:paraId="1AB758A2" w14:textId="1CC19292" w:rsidR="001A4507" w:rsidRPr="003331EF" w:rsidRDefault="001A4507" w:rsidP="003331EF">
      <w:pPr>
        <w:pStyle w:val="Normal2"/>
        <w:rPr>
          <w:b/>
          <w:sz w:val="24"/>
        </w:rPr>
      </w:pPr>
      <w:r w:rsidRPr="003331EF">
        <w:rPr>
          <w:b/>
          <w:sz w:val="24"/>
        </w:rPr>
        <w:t>Paragrahv 1</w:t>
      </w:r>
      <w:r w:rsidR="007372A3" w:rsidRPr="003331EF">
        <w:rPr>
          <w:b/>
          <w:sz w:val="24"/>
        </w:rPr>
        <w:t>6</w:t>
      </w:r>
      <w:r w:rsidRPr="003331EF">
        <w:rPr>
          <w:b/>
          <w:sz w:val="24"/>
        </w:rPr>
        <w:t xml:space="preserve"> </w:t>
      </w:r>
      <w:r w:rsidRPr="003331EF">
        <w:rPr>
          <w:rFonts w:eastAsia="Times New Roman"/>
          <w:bCs w:val="0"/>
          <w:iCs/>
          <w:spacing w:val="-5"/>
          <w:sz w:val="24"/>
          <w:lang w:eastAsia="en-US"/>
        </w:rPr>
        <w:t>kehtestab nõuded Finantsinspektsioonile esitatud aruannete kontrolli ja puuduste kõrvaldamise kohta.</w:t>
      </w:r>
    </w:p>
    <w:p w14:paraId="06D0060A" w14:textId="77777777" w:rsidR="001A4507" w:rsidRPr="003331EF" w:rsidRDefault="001A4507" w:rsidP="003331EF">
      <w:pPr>
        <w:spacing w:before="0"/>
      </w:pPr>
    </w:p>
    <w:p w14:paraId="7584502C" w14:textId="77777777" w:rsidR="001A4507" w:rsidRPr="003331EF" w:rsidRDefault="001A4507" w:rsidP="003331EF">
      <w:pPr>
        <w:spacing w:before="0"/>
      </w:pPr>
      <w:r w:rsidRPr="003331EF">
        <w:rPr>
          <w:b/>
        </w:rPr>
        <w:t>Lõiked 1 ja 2.</w:t>
      </w:r>
      <w:r w:rsidRPr="003331EF">
        <w:t xml:space="preserve"> </w:t>
      </w:r>
      <w:r w:rsidRPr="003331EF">
        <w:rPr>
          <w:iCs/>
          <w:spacing w:val="-5"/>
          <w:lang w:eastAsia="en-US"/>
        </w:rPr>
        <w:t xml:space="preserve">Finantsinspektsioon hindab esitatud aruannete nõuetekohasust ning juhul, kui tuvastab nendes puudusi, siis teavitab sellest kohe ka aruande esitajat. </w:t>
      </w:r>
    </w:p>
    <w:p w14:paraId="70049E12" w14:textId="77777777" w:rsidR="001A4507" w:rsidRPr="003331EF" w:rsidRDefault="001A4507" w:rsidP="003331EF">
      <w:pPr>
        <w:spacing w:before="0"/>
      </w:pPr>
    </w:p>
    <w:p w14:paraId="7C30FC91" w14:textId="77777777" w:rsidR="001A4507" w:rsidRPr="003331EF" w:rsidRDefault="001A4507" w:rsidP="003331EF">
      <w:pPr>
        <w:spacing w:before="0"/>
        <w:rPr>
          <w:bCs/>
        </w:rPr>
      </w:pPr>
      <w:r w:rsidRPr="003331EF">
        <w:rPr>
          <w:b/>
        </w:rPr>
        <w:t xml:space="preserve">Lõige 3. </w:t>
      </w:r>
      <w:r w:rsidRPr="003331EF">
        <w:rPr>
          <w:iCs/>
          <w:spacing w:val="-5"/>
          <w:lang w:eastAsia="en-US"/>
        </w:rPr>
        <w:t>Aruandekohuslane peab puudused kõrvaldama ning esitama Finantsinspektsioonile korrigeeritud aruande. Et tagada aruannete õigsust igal ajahetkel, sätestatakse aruande esitajale kohustus esitada korrigeeritud aruanne kohe ka juhul, kui aruande esitaja on ise varem esitatud andmetes vea tuvastanud.</w:t>
      </w:r>
    </w:p>
    <w:p w14:paraId="26FCF5E1" w14:textId="77777777" w:rsidR="001B5EBD" w:rsidRPr="003331EF" w:rsidRDefault="001B5EBD" w:rsidP="003331EF">
      <w:pPr>
        <w:spacing w:before="0"/>
        <w:rPr>
          <w:bCs/>
        </w:rPr>
      </w:pPr>
    </w:p>
    <w:p w14:paraId="24761D09" w14:textId="203223A8" w:rsidR="001B5EBD" w:rsidRPr="003331EF" w:rsidRDefault="001B5EBD" w:rsidP="003331EF">
      <w:pPr>
        <w:pStyle w:val="NumPar1"/>
        <w:numPr>
          <w:ilvl w:val="0"/>
          <w:numId w:val="0"/>
        </w:numPr>
        <w:spacing w:before="0" w:after="0"/>
        <w:rPr>
          <w:lang w:val="et-EE" w:eastAsia="et-EE"/>
        </w:rPr>
      </w:pPr>
      <w:r w:rsidRPr="00A4579B">
        <w:rPr>
          <w:b/>
          <w:lang w:val="et-EE"/>
        </w:rPr>
        <w:t xml:space="preserve">Lõige 4. </w:t>
      </w:r>
      <w:proofErr w:type="spellStart"/>
      <w:r w:rsidRPr="003331EF">
        <w:rPr>
          <w:iCs/>
          <w:spacing w:val="-5"/>
          <w:lang w:val="et-EE"/>
        </w:rPr>
        <w:t>M</w:t>
      </w:r>
      <w:r w:rsidR="00A03096">
        <w:rPr>
          <w:iCs/>
          <w:spacing w:val="-5"/>
          <w:lang w:val="et-EE"/>
        </w:rPr>
        <w:t>i</w:t>
      </w:r>
      <w:r w:rsidRPr="003331EF">
        <w:rPr>
          <w:iCs/>
          <w:spacing w:val="-5"/>
          <w:lang w:val="et-EE"/>
        </w:rPr>
        <w:t>CA</w:t>
      </w:r>
      <w:proofErr w:type="spellEnd"/>
      <w:r w:rsidRPr="003331EF">
        <w:rPr>
          <w:iCs/>
          <w:spacing w:val="-5"/>
          <w:lang w:val="et-EE"/>
        </w:rPr>
        <w:t xml:space="preserve"> määruse artikli 68 lõike 9</w:t>
      </w:r>
      <w:r w:rsidR="00C373E6" w:rsidRPr="003331EF">
        <w:rPr>
          <w:iCs/>
          <w:spacing w:val="-5"/>
          <w:lang w:val="et-EE"/>
        </w:rPr>
        <w:t xml:space="preserve"> </w:t>
      </w:r>
      <w:r w:rsidRPr="003331EF">
        <w:rPr>
          <w:iCs/>
          <w:spacing w:val="-5"/>
          <w:lang w:val="et-EE"/>
        </w:rPr>
        <w:t xml:space="preserve"> kohaselt korraldab </w:t>
      </w:r>
      <w:proofErr w:type="spellStart"/>
      <w:r w:rsidRPr="003331EF">
        <w:rPr>
          <w:iCs/>
          <w:spacing w:val="-5"/>
          <w:lang w:val="et-EE"/>
        </w:rPr>
        <w:t>krüptovarateenuse</w:t>
      </w:r>
      <w:proofErr w:type="spellEnd"/>
      <w:r w:rsidRPr="003331EF">
        <w:rPr>
          <w:iCs/>
          <w:spacing w:val="-5"/>
          <w:lang w:val="et-EE"/>
        </w:rPr>
        <w:t xml:space="preserve"> osutaja kõigi oma </w:t>
      </w:r>
      <w:proofErr w:type="spellStart"/>
      <w:r w:rsidRPr="003331EF">
        <w:rPr>
          <w:iCs/>
          <w:spacing w:val="-5"/>
          <w:lang w:val="et-EE"/>
        </w:rPr>
        <w:t>krüptovarateenuste</w:t>
      </w:r>
      <w:proofErr w:type="spellEnd"/>
      <w:r w:rsidRPr="003331EF">
        <w:rPr>
          <w:iCs/>
          <w:spacing w:val="-5"/>
          <w:lang w:val="et-EE"/>
        </w:rPr>
        <w:t xml:space="preserve">, tegevuste, korralduste ja tehingute kohta käivate andmete säilitamise. Sama lõige sätestab lisaks, et need andmed peavad olema piisavad, et pädevad asutused saaksid täita oma järelevalveülesandeid ja võtta täitemeetmeid, ning eelkõige selleks, et teha kindlaks, kas </w:t>
      </w:r>
      <w:proofErr w:type="spellStart"/>
      <w:r w:rsidRPr="003331EF">
        <w:rPr>
          <w:iCs/>
          <w:spacing w:val="-5"/>
          <w:lang w:val="et-EE"/>
        </w:rPr>
        <w:t>krüptovarateenuse</w:t>
      </w:r>
      <w:proofErr w:type="spellEnd"/>
      <w:r w:rsidRPr="003331EF">
        <w:rPr>
          <w:iCs/>
          <w:spacing w:val="-5"/>
          <w:lang w:val="et-EE"/>
        </w:rPr>
        <w:t xml:space="preserve"> osutaja on kõik kohustused, sealhulgas tegelike või potentsiaalsete klientidega ning turu terviklusega seotud kohustused täitnud. Säilitatavad andmed esitatakse klientidele taotluse </w:t>
      </w:r>
      <w:r w:rsidRPr="003331EF">
        <w:rPr>
          <w:iCs/>
          <w:spacing w:val="-5"/>
          <w:lang w:val="et-EE"/>
        </w:rPr>
        <w:lastRenderedPageBreak/>
        <w:t>korral ja neid säilitatakse viis aastat või, kui pädev asutus seda enne viie aasta möödumist taotleb, siis kuni seitse aastat.</w:t>
      </w:r>
      <w:r w:rsidR="00C373E6" w:rsidRPr="003331EF">
        <w:rPr>
          <w:lang w:val="et-EE" w:eastAsia="et-EE"/>
        </w:rPr>
        <w:t xml:space="preserve"> </w:t>
      </w:r>
    </w:p>
    <w:p w14:paraId="5E2E90D3" w14:textId="77777777" w:rsidR="00AC4606" w:rsidRPr="003331EF" w:rsidRDefault="00AC4606" w:rsidP="003331EF">
      <w:pPr>
        <w:spacing w:before="0"/>
        <w:rPr>
          <w:iCs/>
          <w:spacing w:val="-5"/>
          <w:lang w:eastAsia="en-US"/>
        </w:rPr>
      </w:pPr>
    </w:p>
    <w:p w14:paraId="5685A095" w14:textId="035C399B" w:rsidR="00C373E6" w:rsidRPr="003331EF" w:rsidRDefault="00C373E6" w:rsidP="003331EF">
      <w:pPr>
        <w:spacing w:before="0"/>
        <w:rPr>
          <w:iCs/>
          <w:spacing w:val="-5"/>
          <w:lang w:eastAsia="en-US"/>
        </w:rPr>
      </w:pPr>
      <w:r w:rsidRPr="003331EF">
        <w:rPr>
          <w:iCs/>
          <w:spacing w:val="-5"/>
          <w:lang w:eastAsia="en-US"/>
        </w:rPr>
        <w:t xml:space="preserve">Kuna eelnõu </w:t>
      </w:r>
      <w:r w:rsidR="00AC4606" w:rsidRPr="003331EF">
        <w:rPr>
          <w:iCs/>
          <w:spacing w:val="-5"/>
          <w:lang w:eastAsia="en-US"/>
        </w:rPr>
        <w:t>§ 1</w:t>
      </w:r>
      <w:r w:rsidR="009541A7" w:rsidRPr="003331EF">
        <w:rPr>
          <w:iCs/>
          <w:spacing w:val="-5"/>
          <w:lang w:eastAsia="en-US"/>
        </w:rPr>
        <w:t>5</w:t>
      </w:r>
      <w:r w:rsidR="00AC4606" w:rsidRPr="003331EF">
        <w:rPr>
          <w:iCs/>
          <w:spacing w:val="-5"/>
          <w:lang w:eastAsia="en-US"/>
        </w:rPr>
        <w:t xml:space="preserve"> </w:t>
      </w:r>
      <w:r w:rsidRPr="003331EF">
        <w:rPr>
          <w:iCs/>
          <w:spacing w:val="-5"/>
          <w:lang w:eastAsia="en-US"/>
        </w:rPr>
        <w:t>näeb ette ka muude aruannete esitamise, mille koostamise ja järelevalve</w:t>
      </w:r>
      <w:r w:rsidR="00713F8D" w:rsidRPr="003331EF">
        <w:rPr>
          <w:iCs/>
          <w:spacing w:val="-5"/>
          <w:lang w:eastAsia="en-US"/>
        </w:rPr>
        <w:t xml:space="preserve"> asutusele</w:t>
      </w:r>
      <w:r w:rsidRPr="003331EF">
        <w:rPr>
          <w:iCs/>
          <w:spacing w:val="-5"/>
          <w:lang w:eastAsia="en-US"/>
        </w:rPr>
        <w:t xml:space="preserve"> esitamise alus ei tulene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määrusest, on lõikes 4 sätestatud, et </w:t>
      </w:r>
      <w:r w:rsidR="00BC3ED7" w:rsidRPr="003331EF">
        <w:rPr>
          <w:iCs/>
          <w:spacing w:val="-5"/>
          <w:lang w:eastAsia="en-US"/>
        </w:rPr>
        <w:t xml:space="preserve">järelevalve </w:t>
      </w:r>
      <w:r w:rsidRPr="003331EF">
        <w:rPr>
          <w:iCs/>
          <w:spacing w:val="-5"/>
          <w:lang w:eastAsia="en-US"/>
        </w:rPr>
        <w:t xml:space="preserve">eesmärgil esitatud aruande koostamisel kasutatud algandmete allikaks olevaid dokumente on aruande esitaja kohustatud säilitama viis aastat. Samas ei piira nimetatud tähtaeg </w:t>
      </w:r>
      <w:proofErr w:type="spellStart"/>
      <w:r w:rsidRPr="003331EF">
        <w:rPr>
          <w:iCs/>
          <w:spacing w:val="-5"/>
          <w:lang w:eastAsia="en-US"/>
        </w:rPr>
        <w:t>krüptovaraturu</w:t>
      </w:r>
      <w:proofErr w:type="spellEnd"/>
      <w:r w:rsidRPr="003331EF">
        <w:rPr>
          <w:iCs/>
          <w:spacing w:val="-5"/>
          <w:lang w:eastAsia="en-US"/>
        </w:rPr>
        <w:t xml:space="preserve"> osalise õigust säilitada andmeid ja dokumente pikema aja jooksul, kui nende töötlemiseks on </w:t>
      </w:r>
      <w:proofErr w:type="spellStart"/>
      <w:r w:rsidRPr="003331EF">
        <w:rPr>
          <w:iCs/>
          <w:spacing w:val="-5"/>
          <w:lang w:eastAsia="en-US"/>
        </w:rPr>
        <w:t>krüptovaraturu</w:t>
      </w:r>
      <w:proofErr w:type="spellEnd"/>
      <w:r w:rsidRPr="003331EF">
        <w:rPr>
          <w:iCs/>
          <w:spacing w:val="-5"/>
          <w:lang w:eastAsia="en-US"/>
        </w:rPr>
        <w:t xml:space="preserve"> osalisel muu õiguslik alus.</w:t>
      </w:r>
    </w:p>
    <w:p w14:paraId="7E563365" w14:textId="77777777" w:rsidR="001A4507" w:rsidRPr="003331EF" w:rsidRDefault="001A4507" w:rsidP="003331EF">
      <w:pPr>
        <w:spacing w:before="0"/>
      </w:pPr>
    </w:p>
    <w:p w14:paraId="5F3689C2" w14:textId="4920ACE7" w:rsidR="00F03AAD" w:rsidRPr="003331EF" w:rsidRDefault="00F03AAD" w:rsidP="003331EF">
      <w:pPr>
        <w:spacing w:before="0"/>
        <w:ind w:right="-64"/>
        <w:rPr>
          <w:b/>
          <w:bCs/>
        </w:rPr>
      </w:pPr>
      <w:r w:rsidRPr="003331EF">
        <w:rPr>
          <w:b/>
          <w:bCs/>
        </w:rPr>
        <w:t>Paragrahv 1</w:t>
      </w:r>
      <w:r w:rsidR="007273B5" w:rsidRPr="003331EF">
        <w:rPr>
          <w:b/>
          <w:bCs/>
        </w:rPr>
        <w:t>7</w:t>
      </w:r>
      <w:r w:rsidRPr="003331EF">
        <w:rPr>
          <w:b/>
          <w:bCs/>
        </w:rPr>
        <w:t>. Audiitorkontroll</w:t>
      </w:r>
    </w:p>
    <w:p w14:paraId="449C09A5" w14:textId="77777777" w:rsidR="00F03AAD" w:rsidRPr="003331EF" w:rsidRDefault="00F03AAD" w:rsidP="003331EF">
      <w:pPr>
        <w:spacing w:before="0"/>
        <w:ind w:right="-64"/>
        <w:rPr>
          <w:b/>
          <w:bCs/>
        </w:rPr>
      </w:pPr>
    </w:p>
    <w:p w14:paraId="4BFE991C" w14:textId="0595E6CC" w:rsidR="001A4507" w:rsidRPr="003331EF" w:rsidRDefault="001A4507" w:rsidP="003331EF">
      <w:pPr>
        <w:spacing w:before="0"/>
        <w:ind w:right="-64"/>
      </w:pPr>
      <w:r w:rsidRPr="003331EF">
        <w:rPr>
          <w:b/>
          <w:bCs/>
        </w:rPr>
        <w:t>Paragrahvis</w:t>
      </w:r>
      <w:r w:rsidRPr="003331EF">
        <w:rPr>
          <w:b/>
        </w:rPr>
        <w:t xml:space="preserve"> 1</w:t>
      </w:r>
      <w:r w:rsidR="007273B5" w:rsidRPr="003331EF">
        <w:rPr>
          <w:b/>
        </w:rPr>
        <w:t>7</w:t>
      </w:r>
      <w:r w:rsidRPr="003331EF">
        <w:t xml:space="preserve"> </w:t>
      </w:r>
      <w:r w:rsidRPr="003331EF">
        <w:rPr>
          <w:iCs/>
          <w:spacing w:val="-5"/>
          <w:lang w:eastAsia="en-US"/>
        </w:rPr>
        <w:t xml:space="preserve">sätestatakse nõuded </w:t>
      </w:r>
      <w:proofErr w:type="spellStart"/>
      <w:r w:rsidRPr="003331EF">
        <w:rPr>
          <w:iCs/>
          <w:spacing w:val="-5"/>
          <w:lang w:eastAsia="en-US"/>
        </w:rPr>
        <w:t>krüptovaraturu</w:t>
      </w:r>
      <w:proofErr w:type="spellEnd"/>
      <w:r w:rsidRPr="003331EF">
        <w:rPr>
          <w:iCs/>
          <w:spacing w:val="-5"/>
          <w:lang w:eastAsia="en-US"/>
        </w:rPr>
        <w:t xml:space="preserve"> osalise audiitorettevõtjale, tema määramisele ja audiitorkontrollile.</w:t>
      </w:r>
      <w:r w:rsidRPr="003331EF">
        <w:t xml:space="preserve"> </w:t>
      </w:r>
    </w:p>
    <w:p w14:paraId="0144A4E9" w14:textId="77777777" w:rsidR="001A4507" w:rsidRPr="003331EF" w:rsidRDefault="001A4507" w:rsidP="003331EF">
      <w:pPr>
        <w:spacing w:before="0"/>
        <w:ind w:right="-64"/>
        <w:rPr>
          <w:i/>
          <w:iCs/>
        </w:rPr>
      </w:pPr>
    </w:p>
    <w:p w14:paraId="41773B09" w14:textId="4F7029F3" w:rsidR="001A4507" w:rsidRPr="003331EF" w:rsidRDefault="001A4507" w:rsidP="003331EF">
      <w:pPr>
        <w:spacing w:before="0"/>
        <w:rPr>
          <w:iCs/>
          <w:spacing w:val="-5"/>
          <w:lang w:eastAsia="en-US"/>
        </w:rPr>
      </w:pPr>
      <w:r w:rsidRPr="003331EF">
        <w:rPr>
          <w:iCs/>
          <w:spacing w:val="-5"/>
          <w:lang w:eastAsia="en-US"/>
        </w:rPr>
        <w:t xml:space="preserve">Kõnealuse paragrahviga sätestatakse nõue, mille kohaselt </w:t>
      </w:r>
      <w:proofErr w:type="spellStart"/>
      <w:r w:rsidRPr="003331EF">
        <w:rPr>
          <w:iCs/>
          <w:spacing w:val="-5"/>
          <w:lang w:eastAsia="en-US"/>
        </w:rPr>
        <w:t>krüptovaraturu</w:t>
      </w:r>
      <w:proofErr w:type="spellEnd"/>
      <w:r w:rsidRPr="003331EF">
        <w:rPr>
          <w:iCs/>
          <w:spacing w:val="-5"/>
          <w:lang w:eastAsia="en-US"/>
        </w:rPr>
        <w:t xml:space="preserve"> osalise raamatupidamise aastaaruanne peab olema </w:t>
      </w:r>
      <w:r w:rsidR="00396272" w:rsidRPr="003331EF">
        <w:rPr>
          <w:iCs/>
          <w:spacing w:val="-5"/>
          <w:lang w:eastAsia="en-US"/>
        </w:rPr>
        <w:t xml:space="preserve">auditeeritud </w:t>
      </w:r>
      <w:r w:rsidRPr="003331EF">
        <w:rPr>
          <w:iCs/>
          <w:spacing w:val="-5"/>
          <w:lang w:eastAsia="en-US"/>
        </w:rPr>
        <w:t>(</w:t>
      </w:r>
      <w:r w:rsidRPr="003331EF">
        <w:rPr>
          <w:b/>
          <w:bCs/>
          <w:iCs/>
          <w:spacing w:val="-5"/>
          <w:lang w:eastAsia="en-US"/>
        </w:rPr>
        <w:t>lõige 1</w:t>
      </w:r>
      <w:r w:rsidRPr="003331EF">
        <w:rPr>
          <w:iCs/>
          <w:spacing w:val="-5"/>
          <w:lang w:eastAsia="en-US"/>
        </w:rPr>
        <w:t xml:space="preserve">). Auditeerimiskohustuse üldnõuded on sätestatud audiitortegevuse seaduses, kuid need ei pruugi tagada kõigi turuosaliste (näiteks väiksema tegevusmahuga osaühingute) raamatupidamisaruannete auditeerimise kohustust. Raamatupidamisaruannete auditeerimise nõude kehtestamise eesmärk on tagada usaldusväärne informatsioon </w:t>
      </w:r>
      <w:proofErr w:type="spellStart"/>
      <w:r w:rsidRPr="003331EF">
        <w:rPr>
          <w:iCs/>
          <w:spacing w:val="-5"/>
          <w:lang w:eastAsia="en-US"/>
        </w:rPr>
        <w:t>krüptovaraturu</w:t>
      </w:r>
      <w:proofErr w:type="spellEnd"/>
      <w:r w:rsidRPr="003331EF">
        <w:rPr>
          <w:iCs/>
          <w:spacing w:val="-5"/>
          <w:lang w:eastAsia="en-US"/>
        </w:rPr>
        <w:t xml:space="preserve"> osalise finantsseisundi ja majandustulemuste kohta nii Finantsinspektsioonile järelevalve teostamiseks kui ka avalikkusele äriregistris avalikustatud aruannetes.</w:t>
      </w:r>
    </w:p>
    <w:p w14:paraId="22B75EDD" w14:textId="77777777" w:rsidR="000108CE" w:rsidRPr="003331EF" w:rsidRDefault="000108CE" w:rsidP="003331EF">
      <w:pPr>
        <w:spacing w:before="0"/>
        <w:rPr>
          <w:iCs/>
          <w:spacing w:val="-5"/>
          <w:lang w:eastAsia="en-US"/>
        </w:rPr>
      </w:pPr>
    </w:p>
    <w:p w14:paraId="0C284608" w14:textId="67FD3DFA" w:rsidR="000108CE" w:rsidRPr="003331EF" w:rsidRDefault="000108CE" w:rsidP="003331EF">
      <w:pPr>
        <w:pStyle w:val="pf0"/>
        <w:spacing w:before="0" w:beforeAutospacing="0" w:after="0" w:afterAutospacing="0"/>
        <w:jc w:val="both"/>
        <w:rPr>
          <w:iCs/>
          <w:spacing w:val="-5"/>
          <w:lang w:eastAsia="en-US"/>
        </w:rPr>
      </w:pPr>
      <w:r w:rsidRPr="003331EF">
        <w:rPr>
          <w:iCs/>
          <w:spacing w:val="-5"/>
          <w:lang w:eastAsia="en-US"/>
        </w:rPr>
        <w:t>Seega, kuivõrd auditi ja ülevaatuse erinevus on kindluse astmes, mis tuleneb teostatud protseduuride olemusest ja ulatusest, on eelnõu puhul nähtud ette just auditeerimise kohustus. Ülevaatuse puhul viib audiitor läbi kõikide oluliste valdkondade kohta eelkõige järelpärimised ja analüütilised protseduurid. Kui audiitor ei tuvasta midagi, mis väärkajastamisele viitaks, siis ta algdokumentide ja raamatupidamiskannete testimiseni ei pea minema (samas auditis on see igal juhul kohustuslik). Samuti peab audiitor tegelema kõikide teiste valdkondadega (nt tegevuse jätkuvus, õigusnormide mittejärgimine jne) lihtsamal moel, kui auditis. Seega</w:t>
      </w:r>
      <w:r w:rsidR="003A07D7">
        <w:rPr>
          <w:iCs/>
          <w:spacing w:val="-5"/>
          <w:lang w:eastAsia="en-US"/>
        </w:rPr>
        <w:t>,</w:t>
      </w:r>
      <w:r w:rsidRPr="003331EF">
        <w:rPr>
          <w:iCs/>
          <w:spacing w:val="-5"/>
          <w:lang w:eastAsia="en-US"/>
        </w:rPr>
        <w:t xml:space="preserve"> ülevaatus ei ole järelevalve jaoks piisava kindluse andmiseks alati sobiv eelkõige selle tõttu, et audiitor ei pruugi raamatupidamise algandmete õigsuse kontrollini minna.</w:t>
      </w:r>
    </w:p>
    <w:p w14:paraId="1620B18C" w14:textId="77777777" w:rsidR="001A4507" w:rsidRPr="003331EF" w:rsidRDefault="001A4507" w:rsidP="003331EF">
      <w:pPr>
        <w:spacing w:before="0"/>
        <w:ind w:right="-64"/>
        <w:rPr>
          <w:i/>
          <w:iCs/>
        </w:rPr>
      </w:pPr>
    </w:p>
    <w:p w14:paraId="51013914" w14:textId="6EA1FBBD" w:rsidR="002F3CC6" w:rsidRPr="003331EF" w:rsidRDefault="00EB0547" w:rsidP="003331EF">
      <w:pPr>
        <w:spacing w:before="0"/>
        <w:ind w:right="-64"/>
        <w:rPr>
          <w:sz w:val="22"/>
          <w:szCs w:val="22"/>
        </w:rPr>
      </w:pPr>
      <w:r w:rsidRPr="003331EF">
        <w:rPr>
          <w:b/>
        </w:rPr>
        <w:t xml:space="preserve">Lõige </w:t>
      </w:r>
      <w:r w:rsidR="001A4507" w:rsidRPr="003331EF">
        <w:rPr>
          <w:b/>
        </w:rPr>
        <w:t xml:space="preserve">2. </w:t>
      </w:r>
      <w:r w:rsidR="001A4507" w:rsidRPr="003331EF">
        <w:rPr>
          <w:iCs/>
          <w:spacing w:val="-5"/>
          <w:lang w:eastAsia="en-US"/>
        </w:rPr>
        <w:t>Audiitorettevõtjaks võib nimetada audiitortegevuse seaduse §-s 7 lõikes 2 nimetatud isiku, st vandeaudiitorite ühingu või FIE-na tegutseva vandeaudiitori.</w:t>
      </w:r>
      <w:r w:rsidRPr="003331EF">
        <w:rPr>
          <w:iCs/>
          <w:spacing w:val="-5"/>
          <w:lang w:eastAsia="en-US"/>
        </w:rPr>
        <w:t xml:space="preserve"> </w:t>
      </w:r>
      <w:r w:rsidR="003A5C19" w:rsidRPr="003331EF">
        <w:rPr>
          <w:iCs/>
          <w:spacing w:val="-5"/>
          <w:lang w:eastAsia="en-US"/>
        </w:rPr>
        <w:t xml:space="preserve">Lisaks on täpsustatud, et isik peab olema piisavate teadmiste ja kogemustega. </w:t>
      </w:r>
      <w:r w:rsidR="007372A3" w:rsidRPr="003331EF">
        <w:rPr>
          <w:iCs/>
          <w:spacing w:val="-5"/>
          <w:lang w:eastAsia="en-US"/>
        </w:rPr>
        <w:t>A</w:t>
      </w:r>
      <w:r w:rsidR="003A5C19" w:rsidRPr="003331EF">
        <w:rPr>
          <w:iCs/>
          <w:spacing w:val="-5"/>
          <w:lang w:eastAsia="en-US"/>
        </w:rPr>
        <w:t>udiitortegevuse järelevalvenõukogu avalikustatud kvaliteedikontrolli tulemused perioodi 2022</w:t>
      </w:r>
      <w:r w:rsidR="003A07D7">
        <w:rPr>
          <w:iCs/>
          <w:spacing w:val="-5"/>
          <w:lang w:eastAsia="en-US"/>
        </w:rPr>
        <w:t>–</w:t>
      </w:r>
      <w:r w:rsidR="003A5C19" w:rsidRPr="003331EF">
        <w:rPr>
          <w:iCs/>
          <w:spacing w:val="-5"/>
          <w:lang w:eastAsia="en-US"/>
        </w:rPr>
        <w:t>2023 kohta</w:t>
      </w:r>
      <w:r w:rsidR="00151742" w:rsidRPr="003A07D7">
        <w:rPr>
          <w:iCs/>
          <w:spacing w:val="-5"/>
          <w:vertAlign w:val="superscript"/>
          <w:lang w:eastAsia="en-US"/>
        </w:rPr>
        <w:footnoteReference w:id="21"/>
      </w:r>
      <w:r w:rsidR="003A5C19" w:rsidRPr="003A07D7">
        <w:rPr>
          <w:iCs/>
          <w:spacing w:val="-5"/>
          <w:vertAlign w:val="superscript"/>
          <w:lang w:eastAsia="en-US"/>
        </w:rPr>
        <w:t xml:space="preserve"> </w:t>
      </w:r>
      <w:r w:rsidR="002F3CC6" w:rsidRPr="003331EF">
        <w:rPr>
          <w:iCs/>
          <w:spacing w:val="-5"/>
          <w:lang w:eastAsia="en-US"/>
        </w:rPr>
        <w:t>näitasid, et vaid 10 (36st) audiitorettevõtjat olid sellised, kelle kvaliteet vastas nõuetele või kelle kvaliteedis esinesid vähemolulised puudused. Finantsinspe</w:t>
      </w:r>
      <w:r w:rsidR="00E05715">
        <w:rPr>
          <w:iCs/>
          <w:spacing w:val="-5"/>
          <w:lang w:eastAsia="en-US"/>
        </w:rPr>
        <w:t>k</w:t>
      </w:r>
      <w:r w:rsidR="002F3CC6" w:rsidRPr="003331EF">
        <w:rPr>
          <w:iCs/>
          <w:spacing w:val="-5"/>
          <w:lang w:eastAsia="en-US"/>
        </w:rPr>
        <w:t>t</w:t>
      </w:r>
      <w:r w:rsidR="00E05715">
        <w:rPr>
          <w:iCs/>
          <w:spacing w:val="-5"/>
          <w:lang w:eastAsia="en-US"/>
        </w:rPr>
        <w:t>s</w:t>
      </w:r>
      <w:r w:rsidR="002F3CC6" w:rsidRPr="003331EF">
        <w:rPr>
          <w:iCs/>
          <w:spacing w:val="-5"/>
          <w:lang w:eastAsia="en-US"/>
        </w:rPr>
        <w:t>iooni järelevalveliste eesmärkide toetamiseks on oluline, et audiitorettevõtjal oleks piisavad teadmised ja kogemus seaduses</w:t>
      </w:r>
      <w:r w:rsidR="00E05715">
        <w:rPr>
          <w:iCs/>
          <w:spacing w:val="-5"/>
          <w:lang w:eastAsia="en-US"/>
        </w:rPr>
        <w:t>t</w:t>
      </w:r>
      <w:r w:rsidR="002F3CC6" w:rsidRPr="003331EF">
        <w:rPr>
          <w:iCs/>
          <w:spacing w:val="-5"/>
          <w:lang w:eastAsia="en-US"/>
        </w:rPr>
        <w:t xml:space="preserve"> tulenevate </w:t>
      </w:r>
      <w:r w:rsidR="00151742" w:rsidRPr="003331EF">
        <w:rPr>
          <w:iCs/>
          <w:spacing w:val="-5"/>
          <w:lang w:eastAsia="en-US"/>
        </w:rPr>
        <w:t>kohustuste</w:t>
      </w:r>
      <w:r w:rsidR="002F3CC6" w:rsidRPr="003331EF">
        <w:rPr>
          <w:iCs/>
          <w:spacing w:val="-5"/>
          <w:lang w:eastAsia="en-US"/>
        </w:rPr>
        <w:t xml:space="preserve"> täitmiseks.</w:t>
      </w:r>
      <w:r w:rsidR="002F3CC6" w:rsidRPr="003331EF">
        <w:rPr>
          <w:sz w:val="22"/>
          <w:szCs w:val="22"/>
        </w:rPr>
        <w:t xml:space="preserve"> </w:t>
      </w:r>
    </w:p>
    <w:p w14:paraId="17B8BEF2" w14:textId="77777777" w:rsidR="003A5C19" w:rsidRPr="003331EF" w:rsidRDefault="003A5C19" w:rsidP="003331EF">
      <w:pPr>
        <w:spacing w:before="0"/>
        <w:ind w:right="-64"/>
        <w:rPr>
          <w:iCs/>
          <w:spacing w:val="-5"/>
          <w:lang w:eastAsia="en-US"/>
        </w:rPr>
      </w:pPr>
    </w:p>
    <w:p w14:paraId="7F480EAA" w14:textId="75CCF25A" w:rsidR="001A4507" w:rsidRPr="003331EF" w:rsidRDefault="00EB0547" w:rsidP="003331EF">
      <w:pPr>
        <w:spacing w:before="0"/>
        <w:ind w:right="-64"/>
      </w:pPr>
      <w:r w:rsidRPr="003331EF">
        <w:rPr>
          <w:iCs/>
          <w:spacing w:val="-5"/>
          <w:lang w:eastAsia="en-US"/>
        </w:rPr>
        <w:t>Audiitorettevõtja nimetamisest tuleb teavitada Finantsinspektsiooni.</w:t>
      </w:r>
      <w:r w:rsidR="001A4507" w:rsidRPr="003331EF">
        <w:rPr>
          <w:iCs/>
          <w:spacing w:val="-5"/>
          <w:lang w:eastAsia="en-US"/>
        </w:rPr>
        <w:t xml:space="preserve"> </w:t>
      </w:r>
    </w:p>
    <w:p w14:paraId="0A67828D" w14:textId="77777777" w:rsidR="001A4507" w:rsidRPr="003331EF" w:rsidRDefault="001A4507" w:rsidP="003331EF">
      <w:pPr>
        <w:spacing w:before="0"/>
        <w:rPr>
          <w:i/>
          <w:iCs/>
        </w:rPr>
      </w:pPr>
    </w:p>
    <w:p w14:paraId="3CA81B7F" w14:textId="57437B6B" w:rsidR="001A4507" w:rsidRPr="003331EF" w:rsidRDefault="00EB0547" w:rsidP="003331EF">
      <w:pPr>
        <w:pStyle w:val="CM1"/>
        <w:jc w:val="both"/>
        <w:rPr>
          <w:iCs/>
          <w:spacing w:val="-5"/>
        </w:rPr>
      </w:pPr>
      <w:r w:rsidRPr="003331EF">
        <w:rPr>
          <w:rFonts w:ascii="Times New Roman" w:hAnsi="Times New Roman" w:cs="Times New Roman"/>
          <w:b/>
        </w:rPr>
        <w:t xml:space="preserve">Lõige 3. </w:t>
      </w:r>
      <w:proofErr w:type="spellStart"/>
      <w:r w:rsidRPr="003331EF">
        <w:rPr>
          <w:rFonts w:ascii="Times New Roman" w:hAnsi="Times New Roman" w:cs="Times New Roman"/>
          <w:iCs/>
          <w:spacing w:val="-5"/>
        </w:rPr>
        <w:t>MiCA</w:t>
      </w:r>
      <w:proofErr w:type="spellEnd"/>
      <w:r w:rsidRPr="003331EF">
        <w:rPr>
          <w:rFonts w:ascii="Times New Roman" w:hAnsi="Times New Roman" w:cs="Times New Roman"/>
          <w:iCs/>
          <w:spacing w:val="-5"/>
        </w:rPr>
        <w:t xml:space="preserve"> määruse artiklis 67 on sätestatud </w:t>
      </w:r>
      <w:proofErr w:type="spellStart"/>
      <w:r w:rsidRPr="003331EF">
        <w:rPr>
          <w:rFonts w:ascii="Times New Roman" w:hAnsi="Times New Roman" w:cs="Times New Roman"/>
          <w:iCs/>
          <w:spacing w:val="-5"/>
        </w:rPr>
        <w:t>krptovarateenuse</w:t>
      </w:r>
      <w:proofErr w:type="spellEnd"/>
      <w:r w:rsidRPr="003331EF">
        <w:rPr>
          <w:rFonts w:ascii="Times New Roman" w:hAnsi="Times New Roman" w:cs="Times New Roman"/>
          <w:iCs/>
          <w:spacing w:val="-5"/>
        </w:rPr>
        <w:t xml:space="preserve"> osutaja usaldatavusnõuded. Viidatud artikli lõige 1 ütleb, et </w:t>
      </w:r>
      <w:proofErr w:type="spellStart"/>
      <w:r w:rsidR="00182C4D" w:rsidRPr="003331EF">
        <w:rPr>
          <w:rFonts w:ascii="Times New Roman" w:hAnsi="Times New Roman" w:cs="Times New Roman"/>
          <w:iCs/>
          <w:spacing w:val="-5"/>
        </w:rPr>
        <w:t>k</w:t>
      </w:r>
      <w:r w:rsidRPr="003331EF">
        <w:rPr>
          <w:rFonts w:ascii="Times New Roman" w:hAnsi="Times New Roman" w:cs="Times New Roman"/>
          <w:iCs/>
          <w:spacing w:val="-5"/>
        </w:rPr>
        <w:t>rüptovarateenuse</w:t>
      </w:r>
      <w:proofErr w:type="spellEnd"/>
      <w:r w:rsidRPr="003331EF">
        <w:rPr>
          <w:rFonts w:ascii="Times New Roman" w:hAnsi="Times New Roman" w:cs="Times New Roman"/>
          <w:iCs/>
          <w:spacing w:val="-5"/>
        </w:rPr>
        <w:t xml:space="preserve"> osutajal peab pidevalt olema usaldatavusnõuete kaitsepuhver, mille summa on vähemalt sama suur</w:t>
      </w:r>
      <w:r w:rsidR="00F275A0" w:rsidRPr="003331EF">
        <w:rPr>
          <w:rFonts w:ascii="Times New Roman" w:hAnsi="Times New Roman" w:cs="Times New Roman"/>
          <w:iCs/>
          <w:spacing w:val="-5"/>
        </w:rPr>
        <w:t>,</w:t>
      </w:r>
      <w:r w:rsidRPr="003331EF">
        <w:rPr>
          <w:rFonts w:ascii="Times New Roman" w:hAnsi="Times New Roman" w:cs="Times New Roman"/>
          <w:iCs/>
          <w:spacing w:val="-5"/>
        </w:rPr>
        <w:t xml:space="preserve"> kui järgmistest arvnäitajatest suurim:</w:t>
      </w:r>
      <w:r w:rsidR="00182C4D" w:rsidRPr="003331EF">
        <w:rPr>
          <w:rFonts w:ascii="Times New Roman" w:hAnsi="Times New Roman" w:cs="Times New Roman"/>
          <w:iCs/>
          <w:spacing w:val="-5"/>
        </w:rPr>
        <w:t xml:space="preserve"> a) IV lisas osutatud alaliste miinimumkapitalinõuete summa sõltuvalt osutatavatest teenustest; b) veerand eelmise aasta püsikukudest. Sama artikli lõike 4 kohaselt moodustavad kaitsepuhvri omavahendid või kindlustusleping või mõlemad. Käesoleva paragrahvi lõikes 3 on </w:t>
      </w:r>
      <w:r w:rsidR="001A4507" w:rsidRPr="003331EF">
        <w:rPr>
          <w:rFonts w:ascii="Times New Roman" w:hAnsi="Times New Roman" w:cs="Times New Roman"/>
          <w:iCs/>
          <w:spacing w:val="-5"/>
        </w:rPr>
        <w:t xml:space="preserve">sätestatud, et audiitorettevõtja </w:t>
      </w:r>
      <w:r w:rsidR="001A4507" w:rsidRPr="003331EF">
        <w:rPr>
          <w:rFonts w:ascii="Times New Roman" w:hAnsi="Times New Roman" w:cs="Times New Roman"/>
          <w:iCs/>
          <w:spacing w:val="-5"/>
        </w:rPr>
        <w:lastRenderedPageBreak/>
        <w:t xml:space="preserve">peab kontrollima </w:t>
      </w:r>
      <w:proofErr w:type="spellStart"/>
      <w:r w:rsidR="001A4507" w:rsidRPr="003331EF">
        <w:rPr>
          <w:rFonts w:ascii="Times New Roman" w:hAnsi="Times New Roman" w:cs="Times New Roman"/>
          <w:iCs/>
          <w:spacing w:val="-5"/>
        </w:rPr>
        <w:t>krüptovarateenuse</w:t>
      </w:r>
      <w:proofErr w:type="spellEnd"/>
      <w:r w:rsidR="001A4507" w:rsidRPr="003331EF">
        <w:rPr>
          <w:rFonts w:ascii="Times New Roman" w:hAnsi="Times New Roman" w:cs="Times New Roman"/>
          <w:iCs/>
          <w:spacing w:val="-5"/>
        </w:rPr>
        <w:t xml:space="preserve"> osutaja poolt omavahendite kohta kehtestatud nõuete täitmist bilansipäeva seisuga ning esitama </w:t>
      </w:r>
      <w:r w:rsidR="00253396" w:rsidRPr="003331EF">
        <w:rPr>
          <w:rFonts w:ascii="Times New Roman" w:hAnsi="Times New Roman" w:cs="Times New Roman"/>
          <w:iCs/>
          <w:spacing w:val="-5"/>
        </w:rPr>
        <w:t>kontrolli tulemuse</w:t>
      </w:r>
      <w:r w:rsidR="001A4507" w:rsidRPr="003331EF">
        <w:rPr>
          <w:rFonts w:ascii="Times New Roman" w:hAnsi="Times New Roman" w:cs="Times New Roman"/>
          <w:iCs/>
          <w:spacing w:val="-5"/>
        </w:rPr>
        <w:t xml:space="preserve"> </w:t>
      </w:r>
      <w:proofErr w:type="spellStart"/>
      <w:r w:rsidR="00713F8D" w:rsidRPr="003331EF">
        <w:rPr>
          <w:rFonts w:ascii="Times New Roman" w:hAnsi="Times New Roman" w:cs="Times New Roman"/>
          <w:iCs/>
          <w:spacing w:val="-5"/>
        </w:rPr>
        <w:t>krüptovara</w:t>
      </w:r>
      <w:r w:rsidR="001A4507" w:rsidRPr="003331EF">
        <w:rPr>
          <w:rFonts w:ascii="Times New Roman" w:hAnsi="Times New Roman" w:cs="Times New Roman"/>
          <w:iCs/>
          <w:spacing w:val="-5"/>
        </w:rPr>
        <w:t>teenuse</w:t>
      </w:r>
      <w:proofErr w:type="spellEnd"/>
      <w:r w:rsidR="00713F8D" w:rsidRPr="003331EF">
        <w:rPr>
          <w:rFonts w:ascii="Times New Roman" w:hAnsi="Times New Roman" w:cs="Times New Roman"/>
          <w:iCs/>
          <w:spacing w:val="-5"/>
        </w:rPr>
        <w:t xml:space="preserve"> </w:t>
      </w:r>
      <w:r w:rsidR="001A4507" w:rsidRPr="003331EF">
        <w:rPr>
          <w:rFonts w:ascii="Times New Roman" w:hAnsi="Times New Roman" w:cs="Times New Roman"/>
          <w:iCs/>
          <w:spacing w:val="-5"/>
        </w:rPr>
        <w:t xml:space="preserve">osutajale. Tegemist on eraldi töövõtuga, mitte audiitorkontrolli raames teostatava töövõtuga. Audiitorkontrolli ja omavahendite kontrolli võivad läbi viia erinevad audiitorettevõtjad, kuid on optimaalne, kui seda teostaks üks ja seesama audiitorettevõtja. </w:t>
      </w:r>
      <w:r w:rsidR="0052734B" w:rsidRPr="003331EF">
        <w:rPr>
          <w:rFonts w:ascii="Times New Roman" w:hAnsi="Times New Roman" w:cs="Times New Roman"/>
          <w:iCs/>
          <w:spacing w:val="-5"/>
        </w:rPr>
        <w:t>Käesoleva sätte puhul ei ole ette nähtud, et</w:t>
      </w:r>
      <w:r w:rsidR="00B63F49" w:rsidRPr="003331EF">
        <w:rPr>
          <w:rFonts w:ascii="Times New Roman" w:hAnsi="Times New Roman" w:cs="Times New Roman"/>
          <w:iCs/>
          <w:spacing w:val="-5"/>
        </w:rPr>
        <w:t xml:space="preserve"> omavahendite</w:t>
      </w:r>
      <w:r w:rsidR="0052734B" w:rsidRPr="003331EF">
        <w:rPr>
          <w:rFonts w:ascii="Times New Roman" w:hAnsi="Times New Roman" w:cs="Times New Roman"/>
          <w:iCs/>
          <w:spacing w:val="-5"/>
        </w:rPr>
        <w:t xml:space="preserve"> kontroll peab olema teostatud kindlustandva audiitorteenusena. </w:t>
      </w:r>
      <w:r w:rsidR="00B63F49" w:rsidRPr="003331EF">
        <w:rPr>
          <w:rFonts w:ascii="Times New Roman" w:hAnsi="Times New Roman" w:cs="Times New Roman"/>
          <w:iCs/>
          <w:spacing w:val="-5"/>
        </w:rPr>
        <w:t>Töö väljastatakse vabas vormis</w:t>
      </w:r>
      <w:r w:rsidR="00921ADB" w:rsidRPr="003331EF">
        <w:rPr>
          <w:rFonts w:ascii="Times New Roman" w:hAnsi="Times New Roman" w:cs="Times New Roman"/>
          <w:iCs/>
          <w:spacing w:val="-5"/>
        </w:rPr>
        <w:t>. N</w:t>
      </w:r>
      <w:r w:rsidR="00B63F49" w:rsidRPr="003331EF">
        <w:rPr>
          <w:rFonts w:ascii="Times New Roman" w:hAnsi="Times New Roman" w:cs="Times New Roman"/>
          <w:iCs/>
          <w:spacing w:val="-5"/>
        </w:rPr>
        <w:t xml:space="preserve">õuda kindlustandvat audiitorteenust võib olla antud juhul ebaproportsionaalne. Kindlustandev töövõtt võib olla </w:t>
      </w:r>
      <w:proofErr w:type="spellStart"/>
      <w:r w:rsidR="00B63F49" w:rsidRPr="003331EF">
        <w:rPr>
          <w:rFonts w:ascii="Times New Roman" w:hAnsi="Times New Roman" w:cs="Times New Roman"/>
          <w:iCs/>
          <w:spacing w:val="-5"/>
        </w:rPr>
        <w:t>krüptovarateenuse</w:t>
      </w:r>
      <w:proofErr w:type="spellEnd"/>
      <w:r w:rsidR="00B63F49" w:rsidRPr="003331EF">
        <w:rPr>
          <w:rFonts w:ascii="Times New Roman" w:hAnsi="Times New Roman" w:cs="Times New Roman"/>
          <w:iCs/>
          <w:spacing w:val="-5"/>
        </w:rPr>
        <w:t xml:space="preserve"> osutajale kulukam, kui vabas vormis väljendatud arvamus.</w:t>
      </w:r>
      <w:r w:rsidR="00253396" w:rsidRPr="003331EF">
        <w:rPr>
          <w:rFonts w:ascii="Times New Roman" w:hAnsi="Times New Roman" w:cs="Times New Roman"/>
          <w:iCs/>
          <w:spacing w:val="-5"/>
        </w:rPr>
        <w:t xml:space="preserve"> </w:t>
      </w:r>
      <w:proofErr w:type="spellStart"/>
      <w:r w:rsidR="001A4507" w:rsidRPr="003331EF">
        <w:rPr>
          <w:rFonts w:ascii="Times New Roman" w:hAnsi="Times New Roman" w:cs="Times New Roman"/>
          <w:iCs/>
          <w:spacing w:val="-5"/>
        </w:rPr>
        <w:t>Krüptovarateenuse</w:t>
      </w:r>
      <w:proofErr w:type="spellEnd"/>
      <w:r w:rsidR="001A4507" w:rsidRPr="003331EF">
        <w:rPr>
          <w:rFonts w:ascii="Times New Roman" w:hAnsi="Times New Roman" w:cs="Times New Roman"/>
          <w:iCs/>
          <w:spacing w:val="-5"/>
        </w:rPr>
        <w:t xml:space="preserve"> osutaja esitab kontrolli </w:t>
      </w:r>
      <w:r w:rsidR="00253396" w:rsidRPr="003331EF">
        <w:rPr>
          <w:rFonts w:ascii="Times New Roman" w:hAnsi="Times New Roman" w:cs="Times New Roman"/>
          <w:iCs/>
          <w:spacing w:val="-5"/>
        </w:rPr>
        <w:t xml:space="preserve">tulemuse </w:t>
      </w:r>
      <w:r w:rsidR="001A4507" w:rsidRPr="003331EF">
        <w:rPr>
          <w:rFonts w:ascii="Times New Roman" w:hAnsi="Times New Roman" w:cs="Times New Roman"/>
          <w:iCs/>
          <w:spacing w:val="-5"/>
        </w:rPr>
        <w:t>mh Finantsinspektsioonile.</w:t>
      </w:r>
    </w:p>
    <w:p w14:paraId="18339BA0" w14:textId="77777777" w:rsidR="001A4507" w:rsidRPr="003331EF" w:rsidRDefault="001A4507" w:rsidP="003331EF">
      <w:pPr>
        <w:pStyle w:val="Default"/>
        <w:jc w:val="both"/>
        <w:rPr>
          <w:color w:val="auto"/>
          <w:lang w:val="et-EE"/>
        </w:rPr>
      </w:pPr>
    </w:p>
    <w:p w14:paraId="0EE5FD5A" w14:textId="0A31E9BC" w:rsidR="001A4507" w:rsidRPr="003331EF" w:rsidRDefault="001A4507" w:rsidP="003331EF">
      <w:pPr>
        <w:pStyle w:val="CM1"/>
        <w:jc w:val="both"/>
        <w:rPr>
          <w:rFonts w:ascii="Times New Roman" w:hAnsi="Times New Roman" w:cs="Times New Roman"/>
          <w:iCs/>
          <w:spacing w:val="-5"/>
        </w:rPr>
      </w:pPr>
      <w:r w:rsidRPr="003331EF">
        <w:rPr>
          <w:rFonts w:ascii="Times New Roman" w:hAnsi="Times New Roman" w:cs="Times New Roman"/>
          <w:iCs/>
          <w:spacing w:val="-5"/>
        </w:rPr>
        <w:t>Auditikohustust ei ole krediidiasutustel, e-raha asutustel, investeerimisühingut</w:t>
      </w:r>
      <w:r w:rsidR="00412F65" w:rsidRPr="003331EF">
        <w:rPr>
          <w:rFonts w:ascii="Times New Roman" w:hAnsi="Times New Roman" w:cs="Times New Roman"/>
          <w:iCs/>
          <w:spacing w:val="-5"/>
        </w:rPr>
        <w:t>e</w:t>
      </w:r>
      <w:r w:rsidRPr="003331EF">
        <w:rPr>
          <w:rFonts w:ascii="Times New Roman" w:hAnsi="Times New Roman" w:cs="Times New Roman"/>
          <w:iCs/>
          <w:spacing w:val="-5"/>
        </w:rPr>
        <w:t xml:space="preserve">le, fondivalitsejatel, väärtpaberite </w:t>
      </w:r>
      <w:proofErr w:type="spellStart"/>
      <w:r w:rsidRPr="003331EF">
        <w:rPr>
          <w:rFonts w:ascii="Times New Roman" w:hAnsi="Times New Roman" w:cs="Times New Roman"/>
          <w:iCs/>
          <w:spacing w:val="-5"/>
        </w:rPr>
        <w:t>keskdepositooriumidel</w:t>
      </w:r>
      <w:proofErr w:type="spellEnd"/>
      <w:r w:rsidRPr="003331EF">
        <w:rPr>
          <w:rFonts w:ascii="Times New Roman" w:hAnsi="Times New Roman" w:cs="Times New Roman"/>
          <w:iCs/>
          <w:spacing w:val="-5"/>
        </w:rPr>
        <w:t xml:space="preserve"> ja reguleeritud turu korraldajal, kuivõrd neile ei kohaldu </w:t>
      </w:r>
      <w:proofErr w:type="spellStart"/>
      <w:r w:rsidRPr="003331EF">
        <w:rPr>
          <w:rFonts w:ascii="Times New Roman" w:hAnsi="Times New Roman" w:cs="Times New Roman"/>
          <w:iCs/>
          <w:spacing w:val="-5"/>
        </w:rPr>
        <w:t>M</w:t>
      </w:r>
      <w:r w:rsidR="00A03096">
        <w:rPr>
          <w:rFonts w:ascii="Times New Roman" w:hAnsi="Times New Roman" w:cs="Times New Roman"/>
          <w:iCs/>
          <w:spacing w:val="-5"/>
        </w:rPr>
        <w:t>i</w:t>
      </w:r>
      <w:r w:rsidRPr="003331EF">
        <w:rPr>
          <w:rFonts w:ascii="Times New Roman" w:hAnsi="Times New Roman" w:cs="Times New Roman"/>
          <w:iCs/>
          <w:spacing w:val="-5"/>
        </w:rPr>
        <w:t>CA</w:t>
      </w:r>
      <w:proofErr w:type="spellEnd"/>
      <w:r w:rsidRPr="003331EF">
        <w:rPr>
          <w:rFonts w:ascii="Times New Roman" w:hAnsi="Times New Roman" w:cs="Times New Roman"/>
          <w:iCs/>
          <w:spacing w:val="-5"/>
        </w:rPr>
        <w:t xml:space="preserve"> määruse artikkel 67 (sh nõuded omavahenditele).</w:t>
      </w:r>
    </w:p>
    <w:p w14:paraId="28353053" w14:textId="77777777" w:rsidR="001A4507" w:rsidRPr="003331EF" w:rsidRDefault="001A4507" w:rsidP="003331EF">
      <w:pPr>
        <w:pStyle w:val="Default"/>
        <w:rPr>
          <w:color w:val="auto"/>
          <w:lang w:val="et-EE"/>
        </w:rPr>
      </w:pPr>
    </w:p>
    <w:p w14:paraId="1B8BB6B2" w14:textId="381A76B9" w:rsidR="001A4507" w:rsidRPr="003331EF" w:rsidRDefault="001A4507" w:rsidP="003331EF">
      <w:pPr>
        <w:pStyle w:val="Default"/>
        <w:jc w:val="both"/>
        <w:rPr>
          <w:color w:val="auto"/>
          <w:lang w:val="et-EE"/>
        </w:rPr>
      </w:pPr>
      <w:r w:rsidRPr="003331EF">
        <w:rPr>
          <w:b/>
          <w:color w:val="auto"/>
          <w:lang w:val="et-EE"/>
        </w:rPr>
        <w:t xml:space="preserve">Lõige </w:t>
      </w:r>
      <w:r w:rsidR="00453E60" w:rsidRPr="003331EF">
        <w:rPr>
          <w:b/>
          <w:color w:val="auto"/>
          <w:lang w:val="et-EE"/>
        </w:rPr>
        <w:t>4</w:t>
      </w:r>
      <w:r w:rsidRPr="003331EF">
        <w:rPr>
          <w:b/>
          <w:color w:val="auto"/>
          <w:lang w:val="et-EE"/>
        </w:rPr>
        <w:t xml:space="preserve">. </w:t>
      </w:r>
      <w:r w:rsidRPr="003331EF">
        <w:rPr>
          <w:iCs/>
          <w:color w:val="auto"/>
          <w:spacing w:val="-5"/>
          <w:lang w:val="et-EE"/>
        </w:rPr>
        <w:t xml:space="preserve">Kooskõlas </w:t>
      </w:r>
      <w:proofErr w:type="spellStart"/>
      <w:r w:rsidRPr="003331EF">
        <w:rPr>
          <w:iCs/>
          <w:color w:val="auto"/>
          <w:spacing w:val="-5"/>
          <w:lang w:val="et-EE"/>
        </w:rPr>
        <w:t>M</w:t>
      </w:r>
      <w:r w:rsidR="00A03096">
        <w:rPr>
          <w:iCs/>
          <w:color w:val="auto"/>
          <w:spacing w:val="-5"/>
          <w:lang w:val="et-EE"/>
        </w:rPr>
        <w:t>i</w:t>
      </w:r>
      <w:r w:rsidRPr="003331EF">
        <w:rPr>
          <w:iCs/>
          <w:color w:val="auto"/>
          <w:spacing w:val="-5"/>
          <w:lang w:val="et-EE"/>
        </w:rPr>
        <w:t>CA</w:t>
      </w:r>
      <w:proofErr w:type="spellEnd"/>
      <w:r w:rsidRPr="003331EF">
        <w:rPr>
          <w:iCs/>
          <w:color w:val="auto"/>
          <w:spacing w:val="-5"/>
          <w:lang w:val="et-EE"/>
        </w:rPr>
        <w:t xml:space="preserve"> määruse artikli 36 lõigetega 9 ja 10 peab varapõhiste </w:t>
      </w:r>
      <w:proofErr w:type="spellStart"/>
      <w:r w:rsidRPr="003331EF">
        <w:rPr>
          <w:iCs/>
          <w:color w:val="auto"/>
          <w:spacing w:val="-5"/>
          <w:lang w:val="et-EE"/>
        </w:rPr>
        <w:t>tokenite</w:t>
      </w:r>
      <w:proofErr w:type="spellEnd"/>
      <w:r w:rsidRPr="003331EF">
        <w:rPr>
          <w:iCs/>
          <w:color w:val="auto"/>
          <w:spacing w:val="-5"/>
          <w:lang w:val="et-EE"/>
        </w:rPr>
        <w:t xml:space="preserve"> emitent alates kuupäevast, mil talle anti tegevusluba, või kuupäevast, mil krediidiasutuse puhul </w:t>
      </w:r>
      <w:proofErr w:type="spellStart"/>
      <w:r w:rsidRPr="003331EF">
        <w:rPr>
          <w:iCs/>
          <w:color w:val="auto"/>
          <w:spacing w:val="-5"/>
          <w:lang w:val="et-EE"/>
        </w:rPr>
        <w:t>krüptovara</w:t>
      </w:r>
      <w:proofErr w:type="spellEnd"/>
      <w:r w:rsidRPr="003331EF">
        <w:rPr>
          <w:iCs/>
          <w:color w:val="auto"/>
          <w:spacing w:val="-5"/>
          <w:lang w:val="et-EE"/>
        </w:rPr>
        <w:t xml:space="preserve"> valge raamat heaks kiideti, iga kuue kuu järel tagama tagatisvara portfelli sõltumatu auditi, mille käigus hinnatakse selle vastavust </w:t>
      </w:r>
      <w:proofErr w:type="spellStart"/>
      <w:r w:rsidRPr="003331EF">
        <w:rPr>
          <w:iCs/>
          <w:color w:val="auto"/>
          <w:spacing w:val="-5"/>
          <w:lang w:val="et-EE"/>
        </w:rPr>
        <w:t>M</w:t>
      </w:r>
      <w:r w:rsidR="00A03096">
        <w:rPr>
          <w:iCs/>
          <w:color w:val="auto"/>
          <w:spacing w:val="-5"/>
          <w:lang w:val="et-EE"/>
        </w:rPr>
        <w:t>i</w:t>
      </w:r>
      <w:r w:rsidRPr="003331EF">
        <w:rPr>
          <w:iCs/>
          <w:color w:val="auto"/>
          <w:spacing w:val="-5"/>
          <w:lang w:val="et-EE"/>
        </w:rPr>
        <w:t>CA</w:t>
      </w:r>
      <w:proofErr w:type="spellEnd"/>
      <w:r w:rsidRPr="003331EF">
        <w:rPr>
          <w:iCs/>
          <w:color w:val="auto"/>
          <w:spacing w:val="-5"/>
          <w:lang w:val="et-EE"/>
        </w:rPr>
        <w:t xml:space="preserve"> määruses sätestatud reeglitele. Auditeerimise kohustus kohaldub </w:t>
      </w:r>
      <w:proofErr w:type="spellStart"/>
      <w:r w:rsidRPr="003331EF">
        <w:rPr>
          <w:iCs/>
          <w:color w:val="auto"/>
          <w:spacing w:val="-5"/>
          <w:lang w:val="et-EE"/>
        </w:rPr>
        <w:t>M</w:t>
      </w:r>
      <w:r w:rsidR="00A03096">
        <w:rPr>
          <w:iCs/>
          <w:color w:val="auto"/>
          <w:spacing w:val="-5"/>
          <w:lang w:val="et-EE"/>
        </w:rPr>
        <w:t>i</w:t>
      </w:r>
      <w:r w:rsidRPr="003331EF">
        <w:rPr>
          <w:iCs/>
          <w:color w:val="auto"/>
          <w:spacing w:val="-5"/>
          <w:lang w:val="et-EE"/>
        </w:rPr>
        <w:t>CA</w:t>
      </w:r>
      <w:proofErr w:type="spellEnd"/>
      <w:r w:rsidRPr="003331EF">
        <w:rPr>
          <w:iCs/>
          <w:color w:val="auto"/>
          <w:spacing w:val="-5"/>
          <w:lang w:val="et-EE"/>
        </w:rPr>
        <w:t xml:space="preserve"> määruse artikli 58 lõike 1 kohaselt ka olulist e-raha </w:t>
      </w:r>
      <w:proofErr w:type="spellStart"/>
      <w:r w:rsidRPr="003331EF">
        <w:rPr>
          <w:iCs/>
          <w:color w:val="auto"/>
          <w:spacing w:val="-5"/>
          <w:lang w:val="et-EE"/>
        </w:rPr>
        <w:t>tokenit</w:t>
      </w:r>
      <w:proofErr w:type="spellEnd"/>
      <w:r w:rsidRPr="003331EF">
        <w:rPr>
          <w:iCs/>
          <w:color w:val="auto"/>
          <w:spacing w:val="-5"/>
          <w:lang w:val="et-EE"/>
        </w:rPr>
        <w:t xml:space="preserve"> emiteeriva e-raha asutusele, kuid sellisel juhul korraldatakse sõltumatu audi</w:t>
      </w:r>
      <w:r w:rsidR="00AC4606" w:rsidRPr="003331EF">
        <w:rPr>
          <w:iCs/>
          <w:color w:val="auto"/>
          <w:spacing w:val="-5"/>
          <w:lang w:val="et-EE"/>
        </w:rPr>
        <w:t>t</w:t>
      </w:r>
      <w:r w:rsidRPr="003331EF">
        <w:rPr>
          <w:iCs/>
          <w:color w:val="auto"/>
          <w:spacing w:val="-5"/>
          <w:lang w:val="et-EE"/>
        </w:rPr>
        <w:t xml:space="preserve"> iga kuue kuu järel alates avaliku pakkumise või kauplemisele võtmise kuupäevast.</w:t>
      </w:r>
      <w:r w:rsidR="00C3419A" w:rsidRPr="003331EF">
        <w:rPr>
          <w:iCs/>
          <w:color w:val="auto"/>
          <w:spacing w:val="-5"/>
          <w:lang w:val="et-EE"/>
        </w:rPr>
        <w:t xml:space="preserve"> Oluliste e-raha </w:t>
      </w:r>
      <w:proofErr w:type="spellStart"/>
      <w:r w:rsidR="00C3419A" w:rsidRPr="003331EF">
        <w:rPr>
          <w:iCs/>
          <w:color w:val="auto"/>
          <w:spacing w:val="-5"/>
          <w:lang w:val="et-EE"/>
        </w:rPr>
        <w:t>tokenite</w:t>
      </w:r>
      <w:proofErr w:type="spellEnd"/>
      <w:r w:rsidR="00C3419A" w:rsidRPr="003331EF">
        <w:rPr>
          <w:iCs/>
          <w:color w:val="auto"/>
          <w:spacing w:val="-5"/>
          <w:lang w:val="et-EE"/>
        </w:rPr>
        <w:t xml:space="preserve"> määratlemise tingimused on sätestatud </w:t>
      </w:r>
      <w:proofErr w:type="spellStart"/>
      <w:r w:rsidR="00C3419A" w:rsidRPr="003331EF">
        <w:rPr>
          <w:iCs/>
          <w:color w:val="auto"/>
          <w:spacing w:val="-5"/>
          <w:lang w:val="et-EE"/>
        </w:rPr>
        <w:t>M</w:t>
      </w:r>
      <w:r w:rsidR="00A03096">
        <w:rPr>
          <w:iCs/>
          <w:color w:val="auto"/>
          <w:spacing w:val="-5"/>
          <w:lang w:val="et-EE"/>
        </w:rPr>
        <w:t>i</w:t>
      </w:r>
      <w:r w:rsidR="00C3419A" w:rsidRPr="003331EF">
        <w:rPr>
          <w:iCs/>
          <w:color w:val="auto"/>
          <w:spacing w:val="-5"/>
          <w:lang w:val="et-EE"/>
        </w:rPr>
        <w:t>CA</w:t>
      </w:r>
      <w:proofErr w:type="spellEnd"/>
      <w:r w:rsidR="00C3419A" w:rsidRPr="003331EF">
        <w:rPr>
          <w:iCs/>
          <w:color w:val="auto"/>
          <w:spacing w:val="-5"/>
          <w:lang w:val="et-EE"/>
        </w:rPr>
        <w:t xml:space="preserve"> määruse artiklis 56.</w:t>
      </w:r>
    </w:p>
    <w:p w14:paraId="59EC9CA2" w14:textId="77777777" w:rsidR="001A4507" w:rsidRPr="003331EF" w:rsidRDefault="001A4507" w:rsidP="003331EF">
      <w:pPr>
        <w:pStyle w:val="Default"/>
        <w:jc w:val="both"/>
        <w:rPr>
          <w:color w:val="auto"/>
          <w:lang w:val="et-EE"/>
        </w:rPr>
      </w:pPr>
    </w:p>
    <w:p w14:paraId="6541E81D" w14:textId="1D467942" w:rsidR="001A4507" w:rsidRPr="003331EF" w:rsidRDefault="001A4507" w:rsidP="003331EF">
      <w:pPr>
        <w:pStyle w:val="Default"/>
        <w:jc w:val="both"/>
        <w:rPr>
          <w:iCs/>
          <w:color w:val="auto"/>
          <w:spacing w:val="-5"/>
          <w:lang w:val="et-EE"/>
        </w:rPr>
      </w:pPr>
      <w:r w:rsidRPr="003331EF">
        <w:rPr>
          <w:iCs/>
          <w:color w:val="auto"/>
          <w:spacing w:val="-5"/>
          <w:lang w:val="et-EE"/>
        </w:rPr>
        <w:t xml:space="preserve">Lisaks on </w:t>
      </w:r>
      <w:proofErr w:type="spellStart"/>
      <w:r w:rsidRPr="003331EF">
        <w:rPr>
          <w:iCs/>
          <w:color w:val="auto"/>
          <w:spacing w:val="-5"/>
          <w:lang w:val="et-EE"/>
        </w:rPr>
        <w:t>M</w:t>
      </w:r>
      <w:r w:rsidR="00A03096">
        <w:rPr>
          <w:iCs/>
          <w:color w:val="auto"/>
          <w:spacing w:val="-5"/>
          <w:lang w:val="et-EE"/>
        </w:rPr>
        <w:t>i</w:t>
      </w:r>
      <w:r w:rsidRPr="003331EF">
        <w:rPr>
          <w:iCs/>
          <w:color w:val="auto"/>
          <w:spacing w:val="-5"/>
          <w:lang w:val="et-EE"/>
        </w:rPr>
        <w:t>CA</w:t>
      </w:r>
      <w:proofErr w:type="spellEnd"/>
      <w:r w:rsidRPr="003331EF">
        <w:rPr>
          <w:iCs/>
          <w:color w:val="auto"/>
          <w:spacing w:val="-5"/>
          <w:lang w:val="et-EE"/>
        </w:rPr>
        <w:t xml:space="preserve"> määruse artikli 58 lõikes 2 sätestatud, et päritoluliikmesriigi pädevad asutused võivad nõuda, et e-raha asutus, kes emiteerib mitteolulisi e-raha </w:t>
      </w:r>
      <w:proofErr w:type="spellStart"/>
      <w:r w:rsidRPr="003331EF">
        <w:rPr>
          <w:iCs/>
          <w:color w:val="auto"/>
          <w:spacing w:val="-5"/>
          <w:lang w:val="et-EE"/>
        </w:rPr>
        <w:t>tokeneid</w:t>
      </w:r>
      <w:proofErr w:type="spellEnd"/>
      <w:r w:rsidRPr="003331EF">
        <w:rPr>
          <w:iCs/>
          <w:color w:val="auto"/>
          <w:spacing w:val="-5"/>
          <w:lang w:val="et-EE"/>
        </w:rPr>
        <w:t>, täidaks samuti auditeerimise nõudeid, kui see on vajalik, et käsitleda riske, mida nende sätetega soovitakse käsitleda, näiteks likviidsusriskid, operatsiooniriskid või riskid, mis tulenevad tagatisvara portfelli haldamise nõuete täitmata jätmisest.</w:t>
      </w:r>
    </w:p>
    <w:p w14:paraId="5864A821" w14:textId="77777777" w:rsidR="00453E60" w:rsidRPr="003331EF" w:rsidRDefault="00453E60" w:rsidP="003331EF">
      <w:pPr>
        <w:pStyle w:val="Default"/>
        <w:jc w:val="both"/>
        <w:rPr>
          <w:iCs/>
          <w:color w:val="auto"/>
          <w:spacing w:val="-5"/>
          <w:lang w:val="et-EE"/>
        </w:rPr>
      </w:pPr>
    </w:p>
    <w:p w14:paraId="23E67CEA" w14:textId="45AAD164" w:rsidR="00453E60" w:rsidRPr="003331EF" w:rsidRDefault="00453E60" w:rsidP="003331EF">
      <w:pPr>
        <w:pStyle w:val="Default"/>
        <w:jc w:val="both"/>
        <w:rPr>
          <w:iCs/>
          <w:color w:val="auto"/>
          <w:spacing w:val="-5"/>
          <w:lang w:val="et-EE"/>
        </w:rPr>
      </w:pPr>
      <w:proofErr w:type="spellStart"/>
      <w:r w:rsidRPr="003331EF">
        <w:rPr>
          <w:iCs/>
          <w:color w:val="auto"/>
          <w:spacing w:val="-5"/>
          <w:lang w:val="et-EE"/>
        </w:rPr>
        <w:t>MiCA</w:t>
      </w:r>
      <w:proofErr w:type="spellEnd"/>
      <w:r w:rsidRPr="003331EF">
        <w:rPr>
          <w:iCs/>
          <w:color w:val="auto"/>
          <w:spacing w:val="-5"/>
          <w:lang w:val="et-EE"/>
        </w:rPr>
        <w:t xml:space="preserve"> määruse artikli 36 lõike 10 kohaselt teavitab emitent auditi tulemustest pädevat asutust viivitamata, ent hiljemalt kuue nädala jooksul alates kuupäevast, mille seisuga hindamine on tehtud. Samuti on emitendil kohustus avaldada audititulemused kahe nädala jooksul alates pädeva asutuse teavitamise kuupäevast.</w:t>
      </w:r>
    </w:p>
    <w:p w14:paraId="25F52739" w14:textId="15409BFC" w:rsidR="007273B5" w:rsidRPr="003331EF" w:rsidRDefault="007273B5" w:rsidP="003331EF">
      <w:pPr>
        <w:pStyle w:val="Default"/>
        <w:jc w:val="both"/>
        <w:rPr>
          <w:iCs/>
          <w:color w:val="auto"/>
          <w:spacing w:val="-5"/>
          <w:lang w:val="et-EE"/>
        </w:rPr>
      </w:pPr>
    </w:p>
    <w:p w14:paraId="4DD8D4DF" w14:textId="36352FAD" w:rsidR="007273B5" w:rsidRPr="003331EF" w:rsidRDefault="00453E60" w:rsidP="003331EF">
      <w:pPr>
        <w:pStyle w:val="Default"/>
        <w:jc w:val="both"/>
        <w:rPr>
          <w:iCs/>
          <w:color w:val="auto"/>
          <w:spacing w:val="-5"/>
          <w:lang w:val="et-EE"/>
        </w:rPr>
      </w:pPr>
      <w:r w:rsidRPr="003331EF">
        <w:rPr>
          <w:iCs/>
          <w:color w:val="auto"/>
          <w:spacing w:val="-5"/>
          <w:lang w:val="et-EE"/>
        </w:rPr>
        <w:t>Käesoleva a</w:t>
      </w:r>
      <w:r w:rsidR="007273B5" w:rsidRPr="003331EF">
        <w:rPr>
          <w:iCs/>
          <w:color w:val="auto"/>
          <w:spacing w:val="-5"/>
          <w:lang w:val="et-EE"/>
        </w:rPr>
        <w:t>udiitorettevõtja ülesande täitmine on piiratud kindlustunnet andev audiitorteenus ning sellele kohaldatakse audiitortegevuse seaduses sätestatut käesolevas seaduses sätestatud erisustega.</w:t>
      </w:r>
    </w:p>
    <w:p w14:paraId="00863220" w14:textId="77777777" w:rsidR="00893F46" w:rsidRPr="003331EF" w:rsidRDefault="00893F46" w:rsidP="003331EF">
      <w:pPr>
        <w:pStyle w:val="Default"/>
        <w:jc w:val="both"/>
        <w:rPr>
          <w:iCs/>
          <w:color w:val="auto"/>
          <w:spacing w:val="-5"/>
          <w:lang w:val="et-EE"/>
        </w:rPr>
      </w:pPr>
    </w:p>
    <w:p w14:paraId="61D302FE" w14:textId="62159313" w:rsidR="00453E60" w:rsidRPr="003331EF" w:rsidRDefault="00453E60" w:rsidP="003331EF">
      <w:pPr>
        <w:spacing w:before="0"/>
        <w:rPr>
          <w:bCs/>
        </w:rPr>
      </w:pPr>
      <w:r w:rsidRPr="003331EF">
        <w:rPr>
          <w:b/>
        </w:rPr>
        <w:t xml:space="preserve">Lõike 5 </w:t>
      </w:r>
      <w:r w:rsidRPr="003331EF">
        <w:rPr>
          <w:bCs/>
        </w:rPr>
        <w:t>eesmärk on näha ette põhjendutud vajaduse korral paindlikkus audiitorettevõtja ülesannete täitmise tähtaegade</w:t>
      </w:r>
      <w:r w:rsidR="003A0C2A" w:rsidRPr="003331EF">
        <w:rPr>
          <w:bCs/>
        </w:rPr>
        <w:t xml:space="preserve"> muutmiseks</w:t>
      </w:r>
      <w:r w:rsidRPr="003331EF">
        <w:rPr>
          <w:bCs/>
        </w:rPr>
        <w:t xml:space="preserve">, eelkõige näiteks olukorras, kui audiitorettevõtjat ei ole olnud võimalik õigeaegselt saada. Samas tuleb arvestada, et </w:t>
      </w:r>
      <w:r w:rsidR="003A0C2A" w:rsidRPr="003331EF">
        <w:rPr>
          <w:bCs/>
        </w:rPr>
        <w:t xml:space="preserve">tagatisvara portfelli kontroll on ajalises mõttes üsna täpselt </w:t>
      </w:r>
      <w:proofErr w:type="spellStart"/>
      <w:r w:rsidR="003A0C2A" w:rsidRPr="003331EF">
        <w:rPr>
          <w:bCs/>
        </w:rPr>
        <w:t>MiCA</w:t>
      </w:r>
      <w:proofErr w:type="spellEnd"/>
      <w:r w:rsidR="003A0C2A" w:rsidRPr="003331EF">
        <w:rPr>
          <w:bCs/>
        </w:rPr>
        <w:t xml:space="preserve"> määruses reguleeritud (iga kuue kuu tagant alates kuupäevast, mil tegevusluba saadi) ja tähtajalisi kõrvalekaldeid ei ole sellisel juhul võimalik rakendada.</w:t>
      </w:r>
    </w:p>
    <w:p w14:paraId="607597D8" w14:textId="77777777" w:rsidR="00453E60" w:rsidRPr="003331EF" w:rsidRDefault="00453E60" w:rsidP="003331EF">
      <w:pPr>
        <w:pStyle w:val="CM1"/>
        <w:jc w:val="both"/>
        <w:rPr>
          <w:rFonts w:ascii="Times New Roman" w:hAnsi="Times New Roman" w:cs="Times New Roman"/>
          <w:b/>
        </w:rPr>
      </w:pPr>
    </w:p>
    <w:p w14:paraId="44FB8B41" w14:textId="63F6D260" w:rsidR="001A4507" w:rsidRPr="003331EF" w:rsidRDefault="001A4507" w:rsidP="003331EF">
      <w:pPr>
        <w:pStyle w:val="CM1"/>
        <w:jc w:val="both"/>
        <w:rPr>
          <w:rFonts w:ascii="Times New Roman" w:hAnsi="Times New Roman" w:cs="Times New Roman"/>
        </w:rPr>
      </w:pPr>
      <w:r w:rsidRPr="003331EF">
        <w:rPr>
          <w:rFonts w:ascii="Times New Roman" w:hAnsi="Times New Roman" w:cs="Times New Roman"/>
          <w:b/>
        </w:rPr>
        <w:t>Lõiked 6 ja 7.</w:t>
      </w:r>
      <w:r w:rsidRPr="003331EF">
        <w:rPr>
          <w:rFonts w:ascii="Times New Roman" w:hAnsi="Times New Roman" w:cs="Times New Roman"/>
        </w:rPr>
        <w:t xml:space="preserve"> </w:t>
      </w:r>
      <w:r w:rsidRPr="003331EF">
        <w:rPr>
          <w:rFonts w:ascii="Times New Roman" w:hAnsi="Times New Roman" w:cs="Times New Roman"/>
          <w:iCs/>
          <w:spacing w:val="-5"/>
        </w:rPr>
        <w:t xml:space="preserve">Lõike 6 kohaselt määrab </w:t>
      </w:r>
      <w:proofErr w:type="spellStart"/>
      <w:r w:rsidR="003A0C2A" w:rsidRPr="003331EF">
        <w:rPr>
          <w:rFonts w:ascii="Times New Roman" w:hAnsi="Times New Roman" w:cs="Times New Roman"/>
          <w:iCs/>
          <w:spacing w:val="-5"/>
        </w:rPr>
        <w:t>krüptovaraturu</w:t>
      </w:r>
      <w:proofErr w:type="spellEnd"/>
      <w:r w:rsidR="003A0C2A" w:rsidRPr="003331EF">
        <w:rPr>
          <w:rFonts w:ascii="Times New Roman" w:hAnsi="Times New Roman" w:cs="Times New Roman"/>
          <w:iCs/>
          <w:spacing w:val="-5"/>
        </w:rPr>
        <w:t xml:space="preserve"> osalise asukohajärgne kohus </w:t>
      </w:r>
      <w:r w:rsidRPr="003331EF">
        <w:rPr>
          <w:rFonts w:ascii="Times New Roman" w:hAnsi="Times New Roman" w:cs="Times New Roman"/>
          <w:iCs/>
          <w:spacing w:val="-5"/>
        </w:rPr>
        <w:t>Finantsinspektsioon</w:t>
      </w:r>
      <w:r w:rsidR="003A0C2A" w:rsidRPr="003331EF">
        <w:rPr>
          <w:rFonts w:ascii="Times New Roman" w:hAnsi="Times New Roman" w:cs="Times New Roman"/>
          <w:iCs/>
          <w:spacing w:val="-5"/>
        </w:rPr>
        <w:t>i avalduse alusel</w:t>
      </w:r>
      <w:r w:rsidRPr="003331EF">
        <w:rPr>
          <w:rFonts w:ascii="Times New Roman" w:hAnsi="Times New Roman" w:cs="Times New Roman"/>
          <w:iCs/>
          <w:spacing w:val="-5"/>
        </w:rPr>
        <w:t xml:space="preserve">  audiitorettevõtja, kui üldkoosolek või osanike koosolek ei ole audiitorettevõtjat seaduses sätestatud korras nimetanud, üldkoosoleku või osanike koosoleku nimetatud audiitorettevõtja loobus audiitorkontrolli läbiviimisest ning üldkoosolek ei ole seaduses sätestatud korras nimetanud uut audiitorettevõtjat või kui audiitorettevõtja on kaotanud Finantsinspektsiooni arvamuse kohaselt usalduse. Audiitorettevõtja usaldusväärsuse hindamisel võib Finantsinspektsioon lähtuda </w:t>
      </w:r>
      <w:proofErr w:type="spellStart"/>
      <w:r w:rsidRPr="003331EF">
        <w:rPr>
          <w:rFonts w:ascii="Times New Roman" w:hAnsi="Times New Roman" w:cs="Times New Roman"/>
          <w:iCs/>
          <w:spacing w:val="-5"/>
        </w:rPr>
        <w:t>AudS</w:t>
      </w:r>
      <w:proofErr w:type="spellEnd"/>
      <w:r w:rsidRPr="003331EF">
        <w:rPr>
          <w:rFonts w:ascii="Times New Roman" w:hAnsi="Times New Roman" w:cs="Times New Roman"/>
          <w:iCs/>
          <w:spacing w:val="-5"/>
        </w:rPr>
        <w:t xml:space="preserve"> § 39 lõikes 3 sätestatud kriteeriumitest.</w:t>
      </w:r>
      <w:r w:rsidRPr="003331EF">
        <w:rPr>
          <w:rFonts w:ascii="Times New Roman" w:hAnsi="Times New Roman" w:cs="Times New Roman"/>
        </w:rPr>
        <w:t xml:space="preserve"> </w:t>
      </w:r>
    </w:p>
    <w:p w14:paraId="011A18B4" w14:textId="77777777" w:rsidR="001A4507" w:rsidRPr="003331EF" w:rsidRDefault="001A4507" w:rsidP="003331EF">
      <w:pPr>
        <w:pStyle w:val="CM1"/>
        <w:jc w:val="both"/>
        <w:rPr>
          <w:rFonts w:ascii="Times New Roman" w:hAnsi="Times New Roman" w:cs="Times New Roman"/>
        </w:rPr>
      </w:pPr>
    </w:p>
    <w:p w14:paraId="61326DEE" w14:textId="106205C4" w:rsidR="001A4507" w:rsidRPr="003331EF" w:rsidRDefault="001A4507" w:rsidP="003331EF">
      <w:pPr>
        <w:autoSpaceDE w:val="0"/>
        <w:autoSpaceDN w:val="0"/>
        <w:adjustRightInd w:val="0"/>
        <w:spacing w:before="0"/>
        <w:rPr>
          <w:iCs/>
          <w:spacing w:val="-5"/>
          <w:lang w:eastAsia="en-US"/>
        </w:rPr>
      </w:pPr>
      <w:r w:rsidRPr="003331EF">
        <w:rPr>
          <w:iCs/>
          <w:spacing w:val="-5"/>
          <w:lang w:eastAsia="en-US"/>
        </w:rPr>
        <w:lastRenderedPageBreak/>
        <w:t xml:space="preserve">Sedasi määratud audiitorettevõtja volitused kestavad kuni üldkoosoleku või osanike koosoleku poolt uue audiitori nimetamiseni. </w:t>
      </w:r>
      <w:r w:rsidR="003A0C2A" w:rsidRPr="003331EF">
        <w:rPr>
          <w:iCs/>
          <w:spacing w:val="-5"/>
          <w:lang w:eastAsia="en-US"/>
        </w:rPr>
        <w:t xml:space="preserve">Analoogne lähenemine on ka teistes </w:t>
      </w:r>
      <w:proofErr w:type="spellStart"/>
      <w:r w:rsidR="003A0C2A" w:rsidRPr="003331EF">
        <w:rPr>
          <w:iCs/>
          <w:spacing w:val="-5"/>
          <w:lang w:eastAsia="en-US"/>
        </w:rPr>
        <w:t>finanttsektori</w:t>
      </w:r>
      <w:proofErr w:type="spellEnd"/>
      <w:r w:rsidR="003A0C2A" w:rsidRPr="003331EF">
        <w:rPr>
          <w:iCs/>
          <w:spacing w:val="-5"/>
          <w:lang w:eastAsia="en-US"/>
        </w:rPr>
        <w:t xml:space="preserve"> seadustes. </w:t>
      </w:r>
    </w:p>
    <w:p w14:paraId="66B03AAC" w14:textId="77777777" w:rsidR="001A4507" w:rsidRPr="003331EF" w:rsidRDefault="001A4507" w:rsidP="003331EF">
      <w:pPr>
        <w:spacing w:before="0"/>
        <w:rPr>
          <w:i/>
          <w:iCs/>
        </w:rPr>
      </w:pPr>
    </w:p>
    <w:p w14:paraId="53E314BF" w14:textId="13A57BE6" w:rsidR="00396272" w:rsidRPr="003331EF" w:rsidRDefault="00396272" w:rsidP="003331EF">
      <w:pPr>
        <w:spacing w:before="0"/>
        <w:rPr>
          <w:rFonts w:eastAsiaTheme="majorEastAsia"/>
          <w:b/>
        </w:rPr>
      </w:pPr>
      <w:r w:rsidRPr="003331EF">
        <w:rPr>
          <w:rFonts w:eastAsiaTheme="majorEastAsia"/>
          <w:b/>
        </w:rPr>
        <w:t xml:space="preserve">Paragrahv </w:t>
      </w:r>
      <w:r w:rsidR="00E16473" w:rsidRPr="003331EF">
        <w:rPr>
          <w:rFonts w:eastAsiaTheme="majorEastAsia"/>
          <w:b/>
        </w:rPr>
        <w:t>18</w:t>
      </w:r>
      <w:r w:rsidRPr="003331EF">
        <w:rPr>
          <w:rFonts w:eastAsiaTheme="majorEastAsia"/>
          <w:b/>
        </w:rPr>
        <w:t>. Audiitorettevõtja informeerimiskohustus</w:t>
      </w:r>
    </w:p>
    <w:p w14:paraId="4BFDB0F4" w14:textId="77777777" w:rsidR="00396272" w:rsidRPr="003331EF" w:rsidRDefault="00396272" w:rsidP="003331EF">
      <w:pPr>
        <w:spacing w:before="0"/>
        <w:rPr>
          <w:rFonts w:eastAsiaTheme="majorEastAsia"/>
          <w:b/>
        </w:rPr>
      </w:pPr>
    </w:p>
    <w:p w14:paraId="11C7BD6A" w14:textId="4E8ED216" w:rsidR="001A4507" w:rsidRPr="003331EF" w:rsidRDefault="001A4507" w:rsidP="003331EF">
      <w:pPr>
        <w:spacing w:before="0"/>
      </w:pPr>
      <w:r w:rsidRPr="003331EF">
        <w:rPr>
          <w:rFonts w:eastAsiaTheme="majorEastAsia"/>
          <w:b/>
        </w:rPr>
        <w:t>Paragrahvi 1</w:t>
      </w:r>
      <w:r w:rsidR="00E16473" w:rsidRPr="003331EF">
        <w:rPr>
          <w:rFonts w:eastAsiaTheme="majorEastAsia"/>
          <w:b/>
        </w:rPr>
        <w:t>8</w:t>
      </w:r>
      <w:r w:rsidRPr="003331EF">
        <w:rPr>
          <w:rFonts w:eastAsiaTheme="majorEastAsia"/>
          <w:b/>
        </w:rPr>
        <w:t xml:space="preserve"> </w:t>
      </w:r>
      <w:r w:rsidRPr="003331EF">
        <w:rPr>
          <w:iCs/>
          <w:spacing w:val="-5"/>
          <w:lang w:eastAsia="en-US"/>
        </w:rPr>
        <w:t>eesmärk on näha ette audiitorettevõtjale kohustus informeerida Finantsinspektsiooni paragrahvis sätestatud asjaoludest.</w:t>
      </w:r>
      <w:r w:rsidRPr="003331EF">
        <w:rPr>
          <w:rFonts w:eastAsiaTheme="majorEastAsia"/>
          <w:b/>
        </w:rPr>
        <w:t xml:space="preserve"> </w:t>
      </w:r>
    </w:p>
    <w:p w14:paraId="36BA58AF" w14:textId="77777777" w:rsidR="001A4507" w:rsidRPr="003331EF" w:rsidRDefault="001A4507" w:rsidP="003331EF">
      <w:pPr>
        <w:spacing w:before="0"/>
        <w:rPr>
          <w:i/>
          <w:iCs/>
        </w:rPr>
      </w:pPr>
    </w:p>
    <w:p w14:paraId="2B79BA14" w14:textId="159ADE01" w:rsidR="001735B3" w:rsidRPr="003331EF" w:rsidRDefault="001A4507" w:rsidP="003331EF">
      <w:pPr>
        <w:spacing w:before="0"/>
        <w:rPr>
          <w:iCs/>
          <w:spacing w:val="-5"/>
          <w:lang w:eastAsia="en-US"/>
        </w:rPr>
      </w:pPr>
      <w:r w:rsidRPr="003331EF">
        <w:rPr>
          <w:b/>
        </w:rPr>
        <w:t>Lõige 1.</w:t>
      </w:r>
      <w:r w:rsidRPr="003331EF">
        <w:t xml:space="preserve"> </w:t>
      </w:r>
      <w:r w:rsidRPr="003331EF">
        <w:rPr>
          <w:iCs/>
          <w:spacing w:val="-5"/>
          <w:lang w:eastAsia="en-US"/>
        </w:rPr>
        <w:t>Sätestatakse audiitorettevõtjale kohustus informeerida Finantsinspektsiooni audi</w:t>
      </w:r>
      <w:r w:rsidR="003A0C2A" w:rsidRPr="003331EF">
        <w:rPr>
          <w:iCs/>
          <w:spacing w:val="-5"/>
          <w:lang w:eastAsia="en-US"/>
        </w:rPr>
        <w:t xml:space="preserve">ti </w:t>
      </w:r>
      <w:r w:rsidRPr="003331EF">
        <w:rPr>
          <w:iCs/>
          <w:spacing w:val="-5"/>
          <w:lang w:eastAsia="en-US"/>
        </w:rPr>
        <w:t xml:space="preserve">käigus ilmnenud õigusaktide olulise rikkumise või muude </w:t>
      </w:r>
      <w:proofErr w:type="spellStart"/>
      <w:r w:rsidRPr="003331EF">
        <w:rPr>
          <w:iCs/>
          <w:spacing w:val="-5"/>
          <w:lang w:eastAsia="en-US"/>
        </w:rPr>
        <w:t>krüptovaraturu</w:t>
      </w:r>
      <w:proofErr w:type="spellEnd"/>
      <w:r w:rsidRPr="003331EF">
        <w:rPr>
          <w:iCs/>
          <w:spacing w:val="-5"/>
          <w:lang w:eastAsia="en-US"/>
        </w:rPr>
        <w:t xml:space="preserve"> osalise tegevust ohustavate asjaolude ilmnemisel.  </w:t>
      </w:r>
      <w:r w:rsidR="001735B3" w:rsidRPr="003331EF">
        <w:rPr>
          <w:iCs/>
          <w:spacing w:val="-5"/>
          <w:lang w:eastAsia="en-US"/>
        </w:rPr>
        <w:t>Vastavale järeldusele saab audiitorettevõtja jõuda auditi käigus. Auditi käigus audiitor hindab talle teatavaks saanud asjaolusid</w:t>
      </w:r>
      <w:r w:rsidR="003A0C2A" w:rsidRPr="003331EF">
        <w:rPr>
          <w:iCs/>
          <w:spacing w:val="-5"/>
          <w:lang w:eastAsia="en-US"/>
        </w:rPr>
        <w:t>, kaaludes</w:t>
      </w:r>
      <w:r w:rsidR="001735B3" w:rsidRPr="003331EF">
        <w:rPr>
          <w:iCs/>
          <w:spacing w:val="-5"/>
          <w:lang w:eastAsia="en-US"/>
        </w:rPr>
        <w:t xml:space="preserve"> kõiki asjaolusid, sh koosmõjus ning seejärel otsustab, kas talle teatavaks saanud asjaolud on või ei ole Finantsinspektsiooni teavitamise aluseks. Kuna audiitor ei saa kaalutluse käigus hinnatavatest asjaoludest teavitada Finantsinspektsiooni enne otsustamist, sätestatakse, et audiitorettevõtja teavitab nimetatud asjaoludest</w:t>
      </w:r>
      <w:r w:rsidR="003A0C2A" w:rsidRPr="003331EF">
        <w:rPr>
          <w:iCs/>
          <w:spacing w:val="-5"/>
          <w:lang w:eastAsia="en-US"/>
        </w:rPr>
        <w:t xml:space="preserve">, </w:t>
      </w:r>
      <w:r w:rsidR="001735B3" w:rsidRPr="003331EF">
        <w:rPr>
          <w:iCs/>
          <w:spacing w:val="-5"/>
          <w:lang w:eastAsia="en-US"/>
        </w:rPr>
        <w:t xml:space="preserve">kas vandeaudiitori aruande väljastamisel või kliendilepingu ülesütlemisel, kui audiitori töö jääb lõpuni viimata ja ta teenuse osutamise käigus </w:t>
      </w:r>
      <w:proofErr w:type="spellStart"/>
      <w:r w:rsidR="003A0C2A" w:rsidRPr="003331EF">
        <w:rPr>
          <w:iCs/>
          <w:spacing w:val="-5"/>
          <w:lang w:eastAsia="en-US"/>
        </w:rPr>
        <w:t>vastavtes</w:t>
      </w:r>
      <w:proofErr w:type="spellEnd"/>
      <w:r w:rsidR="003A0C2A" w:rsidRPr="003331EF">
        <w:rPr>
          <w:iCs/>
          <w:spacing w:val="-5"/>
          <w:lang w:eastAsia="en-US"/>
        </w:rPr>
        <w:t xml:space="preserve"> </w:t>
      </w:r>
      <w:r w:rsidR="001735B3" w:rsidRPr="003331EF">
        <w:rPr>
          <w:iCs/>
          <w:spacing w:val="-5"/>
          <w:lang w:eastAsia="en-US"/>
        </w:rPr>
        <w:t xml:space="preserve">asjaoludest teatavaks saab. </w:t>
      </w:r>
      <w:proofErr w:type="spellStart"/>
      <w:r w:rsidR="001735B3" w:rsidRPr="003331EF">
        <w:rPr>
          <w:iCs/>
          <w:spacing w:val="-5"/>
          <w:lang w:eastAsia="en-US"/>
        </w:rPr>
        <w:t>AudS</w:t>
      </w:r>
      <w:proofErr w:type="spellEnd"/>
      <w:r w:rsidR="001735B3" w:rsidRPr="003331EF">
        <w:rPr>
          <w:iCs/>
          <w:spacing w:val="-5"/>
          <w:lang w:eastAsia="en-US"/>
        </w:rPr>
        <w:t xml:space="preserve"> §</w:t>
      </w:r>
      <w:r w:rsidR="003A07D7">
        <w:rPr>
          <w:iCs/>
          <w:spacing w:val="-5"/>
          <w:lang w:eastAsia="en-US"/>
        </w:rPr>
        <w:t> </w:t>
      </w:r>
      <w:r w:rsidR="001735B3" w:rsidRPr="003331EF">
        <w:rPr>
          <w:iCs/>
          <w:spacing w:val="-5"/>
          <w:lang w:eastAsia="en-US"/>
        </w:rPr>
        <w:t>57 sätestab, et audiitorettevõtja võib audiitorteenuse osutamise kliendilepingu üles öelda vaid mõjuval põhjusel. Näiteks võib kliendilepingu ülesütlemise mõjuvaks põhjuseks olla kliendi juhtkonna poolt auditi läbiviimiseks vajaliku dokumentatsiooni esitamata jätmine.</w:t>
      </w:r>
    </w:p>
    <w:p w14:paraId="6568610D" w14:textId="77777777" w:rsidR="001735B3" w:rsidRPr="003331EF" w:rsidRDefault="001735B3" w:rsidP="003331EF">
      <w:pPr>
        <w:spacing w:before="0"/>
        <w:rPr>
          <w:iCs/>
          <w:spacing w:val="-5"/>
          <w:lang w:eastAsia="en-US"/>
        </w:rPr>
      </w:pPr>
    </w:p>
    <w:p w14:paraId="0DF8CC13" w14:textId="38B2DBD2" w:rsidR="001A4507" w:rsidRPr="00AE39F1" w:rsidRDefault="001A4507" w:rsidP="003331EF">
      <w:pPr>
        <w:spacing w:before="0"/>
        <w:rPr>
          <w:iCs/>
          <w:spacing w:val="-5"/>
          <w:lang w:eastAsia="en-US"/>
        </w:rPr>
      </w:pPr>
      <w:r w:rsidRPr="003331EF">
        <w:rPr>
          <w:b/>
        </w:rPr>
        <w:t>Lõige 2.</w:t>
      </w:r>
      <w:r w:rsidRPr="003331EF">
        <w:t xml:space="preserve"> </w:t>
      </w:r>
      <w:r w:rsidRPr="003331EF">
        <w:rPr>
          <w:iCs/>
          <w:spacing w:val="-5"/>
          <w:lang w:eastAsia="en-US"/>
        </w:rPr>
        <w:t xml:space="preserve">Samuti on audiitorettevõtja kohustatud viivitamata kirjalikult teavitama Finantsinspektsiooni </w:t>
      </w:r>
      <w:proofErr w:type="spellStart"/>
      <w:r w:rsidRPr="003331EF">
        <w:rPr>
          <w:iCs/>
          <w:spacing w:val="-5"/>
          <w:lang w:eastAsia="en-US"/>
        </w:rPr>
        <w:t>krüptovaraturu</w:t>
      </w:r>
      <w:proofErr w:type="spellEnd"/>
      <w:r w:rsidRPr="003331EF">
        <w:rPr>
          <w:iCs/>
          <w:spacing w:val="-5"/>
          <w:lang w:eastAsia="en-US"/>
        </w:rPr>
        <w:t xml:space="preserve"> osalisega märkimisväärses seoses oleva isiku auditeerimise käigus talle teatavaks saanud asjaoludest, mille tulemuseks on </w:t>
      </w:r>
      <w:proofErr w:type="spellStart"/>
      <w:r w:rsidRPr="003331EF">
        <w:rPr>
          <w:iCs/>
          <w:spacing w:val="-5"/>
          <w:lang w:eastAsia="en-US"/>
        </w:rPr>
        <w:t>krüptovaraturu</w:t>
      </w:r>
      <w:proofErr w:type="spellEnd"/>
      <w:r w:rsidRPr="003331EF">
        <w:rPr>
          <w:iCs/>
          <w:spacing w:val="-5"/>
          <w:lang w:eastAsia="en-US"/>
        </w:rPr>
        <w:t xml:space="preserve"> osalise tegevust ohustavate asjaolude ilmnemine. </w:t>
      </w:r>
      <w:r w:rsidR="00AE39F1">
        <w:rPr>
          <w:iCs/>
          <w:spacing w:val="-5"/>
          <w:lang w:eastAsia="en-US"/>
        </w:rPr>
        <w:t xml:space="preserve">Märkimisväärne seoses on määratletud </w:t>
      </w:r>
      <w:proofErr w:type="spellStart"/>
      <w:r w:rsidR="00AE39F1">
        <w:rPr>
          <w:iCs/>
          <w:spacing w:val="-5"/>
          <w:lang w:eastAsia="en-US"/>
        </w:rPr>
        <w:t>VpTS</w:t>
      </w:r>
      <w:proofErr w:type="spellEnd"/>
      <w:r w:rsidR="00AE39F1">
        <w:rPr>
          <w:iCs/>
          <w:spacing w:val="-5"/>
          <w:lang w:eastAsia="en-US"/>
        </w:rPr>
        <w:t xml:space="preserve"> §-s 8</w:t>
      </w:r>
      <w:r w:rsidR="00AE39F1">
        <w:rPr>
          <w:iCs/>
          <w:spacing w:val="-5"/>
          <w:vertAlign w:val="superscript"/>
          <w:lang w:eastAsia="en-US"/>
        </w:rPr>
        <w:t>2</w:t>
      </w:r>
      <w:r w:rsidR="00AE39F1">
        <w:rPr>
          <w:iCs/>
          <w:spacing w:val="-5"/>
          <w:lang w:eastAsia="en-US"/>
        </w:rPr>
        <w:t xml:space="preserve"> (vt ka eelnõu § 4 lõiget 3).</w:t>
      </w:r>
    </w:p>
    <w:p w14:paraId="372FCDBA" w14:textId="77777777" w:rsidR="001A4507" w:rsidRPr="003331EF" w:rsidRDefault="001A4507" w:rsidP="003331EF">
      <w:pPr>
        <w:spacing w:before="0"/>
      </w:pPr>
    </w:p>
    <w:p w14:paraId="3FF41CE8" w14:textId="1607952D" w:rsidR="001A4507" w:rsidRPr="003331EF" w:rsidRDefault="001A4507" w:rsidP="003331EF">
      <w:pPr>
        <w:spacing w:before="0"/>
      </w:pPr>
      <w:r w:rsidRPr="003331EF">
        <w:rPr>
          <w:b/>
        </w:rPr>
        <w:t xml:space="preserve">Seaduse </w:t>
      </w:r>
      <w:r w:rsidR="00396272" w:rsidRPr="003331EF">
        <w:rPr>
          <w:b/>
        </w:rPr>
        <w:t>6</w:t>
      </w:r>
      <w:r w:rsidRPr="003331EF">
        <w:rPr>
          <w:b/>
        </w:rPr>
        <w:t>. peatükk</w:t>
      </w:r>
      <w:r w:rsidRPr="003331EF">
        <w:t xml:space="preserve"> </w:t>
      </w:r>
      <w:r w:rsidRPr="003331EF">
        <w:rPr>
          <w:iCs/>
          <w:spacing w:val="-5"/>
          <w:lang w:eastAsia="en-US"/>
        </w:rPr>
        <w:t xml:space="preserve">kehtestab nõuded </w:t>
      </w:r>
      <w:proofErr w:type="spellStart"/>
      <w:r w:rsidRPr="003331EF">
        <w:rPr>
          <w:iCs/>
          <w:spacing w:val="-5"/>
          <w:lang w:eastAsia="en-US"/>
        </w:rPr>
        <w:t>krüptovarateenuse</w:t>
      </w:r>
      <w:proofErr w:type="spellEnd"/>
      <w:r w:rsidRPr="003331EF">
        <w:rPr>
          <w:iCs/>
          <w:spacing w:val="-5"/>
          <w:lang w:eastAsia="en-US"/>
        </w:rPr>
        <w:t xml:space="preserve"> osutaja </w:t>
      </w:r>
      <w:r w:rsidR="00396272" w:rsidRPr="003331EF">
        <w:rPr>
          <w:iCs/>
          <w:spacing w:val="-5"/>
          <w:lang w:eastAsia="en-US"/>
        </w:rPr>
        <w:t xml:space="preserve">ja varapõhise </w:t>
      </w:r>
      <w:proofErr w:type="spellStart"/>
      <w:r w:rsidR="00396272" w:rsidRPr="003331EF">
        <w:rPr>
          <w:iCs/>
          <w:spacing w:val="-5"/>
          <w:lang w:eastAsia="en-US"/>
        </w:rPr>
        <w:t>tokeni</w:t>
      </w:r>
      <w:proofErr w:type="spellEnd"/>
      <w:r w:rsidR="00396272" w:rsidRPr="003331EF">
        <w:rPr>
          <w:iCs/>
          <w:spacing w:val="-5"/>
          <w:lang w:eastAsia="en-US"/>
        </w:rPr>
        <w:t xml:space="preserve"> emitendi </w:t>
      </w:r>
      <w:r w:rsidRPr="003331EF">
        <w:rPr>
          <w:iCs/>
          <w:spacing w:val="-5"/>
          <w:lang w:eastAsia="en-US"/>
        </w:rPr>
        <w:t>ümberkujundamisele, ühinemisele, lõpetamisele ja pankrotile.</w:t>
      </w:r>
      <w:r w:rsidR="00396272" w:rsidRPr="003331EF">
        <w:rPr>
          <w:iCs/>
          <w:spacing w:val="-5"/>
          <w:lang w:eastAsia="en-US"/>
        </w:rPr>
        <w:t xml:space="preserve"> Peatükis sätestatut ei kohaldata finantssektori ettevõtetele, kuna nendele kohalduv ühinguõigus on reguleeritu finantssektori eriseadustes.</w:t>
      </w:r>
      <w:r w:rsidR="00396272" w:rsidRPr="003331EF">
        <w:t xml:space="preserve"> </w:t>
      </w:r>
    </w:p>
    <w:p w14:paraId="1305BCF0" w14:textId="77777777" w:rsidR="001A4507" w:rsidRPr="003331EF" w:rsidRDefault="001A4507" w:rsidP="003331EF">
      <w:pPr>
        <w:spacing w:before="0"/>
        <w:rPr>
          <w:i/>
          <w:iCs/>
        </w:rPr>
      </w:pPr>
    </w:p>
    <w:p w14:paraId="41CA8C8D" w14:textId="5EA5D2DF" w:rsidR="00396272" w:rsidRPr="003331EF" w:rsidRDefault="00396272" w:rsidP="003331EF">
      <w:pPr>
        <w:spacing w:before="0"/>
      </w:pPr>
      <w:r w:rsidRPr="003331EF">
        <w:rPr>
          <w:b/>
          <w:bCs/>
        </w:rPr>
        <w:t>Paragrahv 1</w:t>
      </w:r>
      <w:r w:rsidR="00C63BB4" w:rsidRPr="003331EF">
        <w:rPr>
          <w:b/>
          <w:bCs/>
        </w:rPr>
        <w:t>9</w:t>
      </w:r>
      <w:r w:rsidRPr="003331EF">
        <w:t xml:space="preserve">. </w:t>
      </w:r>
      <w:proofErr w:type="spellStart"/>
      <w:r w:rsidRPr="003331EF">
        <w:rPr>
          <w:b/>
          <w:bCs/>
          <w:bdr w:val="none" w:sz="0" w:space="0" w:color="auto" w:frame="1"/>
        </w:rPr>
        <w:t>Krüptovarateenuse</w:t>
      </w:r>
      <w:proofErr w:type="spellEnd"/>
      <w:r w:rsidRPr="003331EF">
        <w:rPr>
          <w:b/>
          <w:bCs/>
          <w:bdr w:val="none" w:sz="0" w:space="0" w:color="auto" w:frame="1"/>
        </w:rPr>
        <w:t xml:space="preserve"> osutaja ja varapõhise </w:t>
      </w:r>
      <w:proofErr w:type="spellStart"/>
      <w:r w:rsidRPr="003331EF">
        <w:rPr>
          <w:b/>
          <w:bCs/>
          <w:bdr w:val="none" w:sz="0" w:space="0" w:color="auto" w:frame="1"/>
        </w:rPr>
        <w:t>tokeni</w:t>
      </w:r>
      <w:proofErr w:type="spellEnd"/>
      <w:r w:rsidRPr="003331EF">
        <w:rPr>
          <w:b/>
          <w:bCs/>
          <w:bdr w:val="none" w:sz="0" w:space="0" w:color="auto" w:frame="1"/>
        </w:rPr>
        <w:t xml:space="preserve"> emitendi ü</w:t>
      </w:r>
      <w:r w:rsidRPr="003331EF">
        <w:rPr>
          <w:b/>
          <w:bCs/>
        </w:rPr>
        <w:t>mberkujundamine</w:t>
      </w:r>
    </w:p>
    <w:p w14:paraId="3A16EF66" w14:textId="77777777" w:rsidR="00396272" w:rsidRPr="003331EF" w:rsidRDefault="00396272" w:rsidP="003331EF">
      <w:pPr>
        <w:spacing w:before="0"/>
        <w:rPr>
          <w:i/>
          <w:iCs/>
        </w:rPr>
      </w:pPr>
    </w:p>
    <w:p w14:paraId="5E2DEFB2" w14:textId="1A978B7C" w:rsidR="001A4507" w:rsidRPr="003331EF" w:rsidRDefault="001A4507" w:rsidP="003331EF">
      <w:pPr>
        <w:spacing w:before="0"/>
        <w:rPr>
          <w:i/>
          <w:iCs/>
        </w:rPr>
      </w:pPr>
      <w:r w:rsidRPr="003331EF">
        <w:rPr>
          <w:b/>
        </w:rPr>
        <w:t>Paragrahv 1</w:t>
      </w:r>
      <w:r w:rsidR="00C63BB4" w:rsidRPr="003331EF">
        <w:rPr>
          <w:b/>
        </w:rPr>
        <w:t>9</w:t>
      </w:r>
      <w:r w:rsidRPr="003331EF">
        <w:t xml:space="preserve"> </w:t>
      </w:r>
      <w:r w:rsidRPr="003331EF">
        <w:rPr>
          <w:iCs/>
          <w:spacing w:val="-5"/>
          <w:lang w:eastAsia="en-US"/>
        </w:rPr>
        <w:t xml:space="preserve">kehtestab nõuded </w:t>
      </w:r>
      <w:proofErr w:type="spellStart"/>
      <w:r w:rsidRPr="003331EF">
        <w:rPr>
          <w:iCs/>
          <w:spacing w:val="-5"/>
          <w:lang w:eastAsia="en-US"/>
        </w:rPr>
        <w:t>krüptovarateenuse</w:t>
      </w:r>
      <w:proofErr w:type="spellEnd"/>
      <w:r w:rsidRPr="003331EF">
        <w:rPr>
          <w:iCs/>
          <w:spacing w:val="-5"/>
          <w:lang w:eastAsia="en-US"/>
        </w:rPr>
        <w:t xml:space="preserve"> osutaja </w:t>
      </w:r>
      <w:r w:rsidR="00396272" w:rsidRPr="003331EF">
        <w:rPr>
          <w:iCs/>
          <w:spacing w:val="-5"/>
          <w:lang w:eastAsia="en-US"/>
        </w:rPr>
        <w:t xml:space="preserve">ja varapõhise </w:t>
      </w:r>
      <w:proofErr w:type="spellStart"/>
      <w:r w:rsidR="00396272" w:rsidRPr="003331EF">
        <w:rPr>
          <w:iCs/>
          <w:spacing w:val="-5"/>
          <w:lang w:eastAsia="en-US"/>
        </w:rPr>
        <w:t>tokeni</w:t>
      </w:r>
      <w:proofErr w:type="spellEnd"/>
      <w:r w:rsidR="00396272" w:rsidRPr="003331EF">
        <w:rPr>
          <w:iCs/>
          <w:spacing w:val="-5"/>
          <w:lang w:eastAsia="en-US"/>
        </w:rPr>
        <w:t xml:space="preserve"> emitendi </w:t>
      </w:r>
      <w:r w:rsidRPr="003331EF">
        <w:rPr>
          <w:iCs/>
          <w:spacing w:val="-5"/>
          <w:lang w:eastAsia="en-US"/>
        </w:rPr>
        <w:t>ümberkujundamisele. Käesoleva seaduse kohaselt võib teenuseosutaja tegutseda üksnes kapitaliühinguna, ehk asutades selleks osaühingu või aktsiaseltsi. Algselt tegutsemiseks valitud ja sobilik vorm, näiteks osaühing, võib tegutsemise käigus osutuda mingil hetkel ebapiisavaks, kui see ei suuda enam ettevõtte vajadusi rahuldada. Variandina võib osaühing tegevuse lõpetada ja asutada uue äriühingu, kuid see ei pruugi olla mõistlik. Seetõttu on käesolevas seaduses ette nähtud võimalus äriühingu ümberkujundamiseks, kusjuures on tagatud ka piisav kontroll protsessi üle.</w:t>
      </w:r>
    </w:p>
    <w:p w14:paraId="23515576" w14:textId="77777777" w:rsidR="001A4507" w:rsidRPr="003331EF" w:rsidRDefault="001A4507" w:rsidP="003331EF">
      <w:pPr>
        <w:spacing w:before="0"/>
        <w:rPr>
          <w:i/>
          <w:iCs/>
        </w:rPr>
      </w:pPr>
    </w:p>
    <w:p w14:paraId="02484286" w14:textId="5307F751" w:rsidR="001A4507" w:rsidRPr="003331EF" w:rsidRDefault="001A4507" w:rsidP="003331EF">
      <w:pPr>
        <w:spacing w:before="0"/>
      </w:pPr>
      <w:r w:rsidRPr="003331EF">
        <w:rPr>
          <w:b/>
        </w:rPr>
        <w:t>Lõike 1</w:t>
      </w:r>
      <w:r w:rsidRPr="003331EF">
        <w:t xml:space="preserve"> </w:t>
      </w:r>
      <w:r w:rsidRPr="003331EF">
        <w:rPr>
          <w:iCs/>
          <w:spacing w:val="-5"/>
          <w:lang w:eastAsia="en-US"/>
        </w:rPr>
        <w:t xml:space="preserve">kohaselt on </w:t>
      </w:r>
      <w:proofErr w:type="spellStart"/>
      <w:r w:rsidRPr="003331EF">
        <w:rPr>
          <w:iCs/>
          <w:spacing w:val="-5"/>
          <w:lang w:eastAsia="en-US"/>
        </w:rPr>
        <w:t>krüptovarateenuse</w:t>
      </w:r>
      <w:proofErr w:type="spellEnd"/>
      <w:r w:rsidRPr="003331EF">
        <w:rPr>
          <w:iCs/>
          <w:spacing w:val="-5"/>
          <w:lang w:eastAsia="en-US"/>
        </w:rPr>
        <w:t xml:space="preserve"> osutaja </w:t>
      </w:r>
      <w:r w:rsidR="005F54B0" w:rsidRPr="003331EF">
        <w:rPr>
          <w:iCs/>
          <w:spacing w:val="-5"/>
          <w:lang w:eastAsia="en-US"/>
        </w:rPr>
        <w:t xml:space="preserve">ja varapõhise </w:t>
      </w:r>
      <w:proofErr w:type="spellStart"/>
      <w:r w:rsidR="005F54B0" w:rsidRPr="003331EF">
        <w:rPr>
          <w:iCs/>
          <w:spacing w:val="-5"/>
          <w:lang w:eastAsia="en-US"/>
        </w:rPr>
        <w:t>tokeni</w:t>
      </w:r>
      <w:proofErr w:type="spellEnd"/>
      <w:r w:rsidR="005F54B0" w:rsidRPr="003331EF">
        <w:rPr>
          <w:iCs/>
          <w:spacing w:val="-5"/>
          <w:lang w:eastAsia="en-US"/>
        </w:rPr>
        <w:t xml:space="preserve"> emitendi </w:t>
      </w:r>
      <w:r w:rsidRPr="003331EF">
        <w:rPr>
          <w:iCs/>
          <w:spacing w:val="-5"/>
          <w:lang w:eastAsia="en-US"/>
        </w:rPr>
        <w:t xml:space="preserve">ümberkujundamine lubatud üksnes osaühingust aktsiaseltsiks. </w:t>
      </w:r>
      <w:r w:rsidR="00655A95" w:rsidRPr="003331EF">
        <w:rPr>
          <w:iCs/>
          <w:spacing w:val="-5"/>
          <w:lang w:eastAsia="en-US"/>
        </w:rPr>
        <w:t>Paljude finantsettevõtete puhul pole ümberkujundamine näiteks üldse lubatud.</w:t>
      </w:r>
      <w:r w:rsidR="00203187" w:rsidRPr="003331EF">
        <w:rPr>
          <w:iCs/>
          <w:spacing w:val="-5"/>
          <w:lang w:eastAsia="en-US"/>
        </w:rPr>
        <w:t xml:space="preserve"> </w:t>
      </w:r>
      <w:r w:rsidRPr="003331EF">
        <w:rPr>
          <w:iCs/>
          <w:spacing w:val="-5"/>
          <w:lang w:eastAsia="en-US"/>
        </w:rPr>
        <w:t xml:space="preserve">Osaühinguna asutatud </w:t>
      </w:r>
      <w:r w:rsidR="00AC72FA" w:rsidRPr="003331EF">
        <w:rPr>
          <w:iCs/>
          <w:spacing w:val="-5"/>
          <w:lang w:eastAsia="en-US"/>
        </w:rPr>
        <w:t>ühingu</w:t>
      </w:r>
      <w:r w:rsidRPr="003331EF">
        <w:rPr>
          <w:iCs/>
          <w:spacing w:val="-5"/>
          <w:lang w:eastAsia="en-US"/>
        </w:rPr>
        <w:t xml:space="preserve"> ümber kujundamiseks aktsiaseltsiks peab ettevõtja järgima muuhulgas äriseadustikus sätestatud nõudeid ja kohandama ettevõtte tegevuse vastavaks.</w:t>
      </w:r>
    </w:p>
    <w:p w14:paraId="292CBA11" w14:textId="77777777" w:rsidR="001A4507" w:rsidRPr="003331EF" w:rsidRDefault="001A4507" w:rsidP="003331EF">
      <w:pPr>
        <w:spacing w:before="0"/>
        <w:rPr>
          <w:i/>
          <w:iCs/>
        </w:rPr>
      </w:pPr>
    </w:p>
    <w:p w14:paraId="33EAD82C" w14:textId="16EFF50F" w:rsidR="001A4507" w:rsidRPr="003331EF" w:rsidRDefault="001A4507" w:rsidP="003331EF">
      <w:pPr>
        <w:spacing w:before="0"/>
      </w:pPr>
      <w:r w:rsidRPr="003331EF">
        <w:rPr>
          <w:b/>
        </w:rPr>
        <w:t xml:space="preserve">Lõike 2 </w:t>
      </w:r>
      <w:r w:rsidRPr="003331EF">
        <w:rPr>
          <w:iCs/>
          <w:spacing w:val="-5"/>
          <w:lang w:eastAsia="en-US"/>
        </w:rPr>
        <w:t xml:space="preserve">järgi toimub </w:t>
      </w:r>
      <w:proofErr w:type="spellStart"/>
      <w:r w:rsidRPr="003331EF">
        <w:rPr>
          <w:iCs/>
          <w:spacing w:val="-5"/>
          <w:lang w:eastAsia="en-US"/>
        </w:rPr>
        <w:t>krüptovarateenuse</w:t>
      </w:r>
      <w:proofErr w:type="spellEnd"/>
      <w:r w:rsidRPr="003331EF">
        <w:rPr>
          <w:iCs/>
          <w:spacing w:val="-5"/>
          <w:lang w:eastAsia="en-US"/>
        </w:rPr>
        <w:t xml:space="preserve"> osutaja </w:t>
      </w:r>
      <w:r w:rsidR="005F54B0" w:rsidRPr="003331EF">
        <w:rPr>
          <w:iCs/>
          <w:spacing w:val="-5"/>
          <w:lang w:eastAsia="en-US"/>
        </w:rPr>
        <w:t xml:space="preserve">ja varapõhise </w:t>
      </w:r>
      <w:proofErr w:type="spellStart"/>
      <w:r w:rsidR="005F54B0" w:rsidRPr="003331EF">
        <w:rPr>
          <w:iCs/>
          <w:spacing w:val="-5"/>
          <w:lang w:eastAsia="en-US"/>
        </w:rPr>
        <w:t>tokeni</w:t>
      </w:r>
      <w:proofErr w:type="spellEnd"/>
      <w:r w:rsidR="005F54B0" w:rsidRPr="003331EF">
        <w:rPr>
          <w:iCs/>
          <w:spacing w:val="-5"/>
          <w:lang w:eastAsia="en-US"/>
        </w:rPr>
        <w:t xml:space="preserve"> emitendi </w:t>
      </w:r>
      <w:r w:rsidRPr="003331EF">
        <w:rPr>
          <w:iCs/>
          <w:spacing w:val="-5"/>
          <w:lang w:eastAsia="en-US"/>
        </w:rPr>
        <w:t xml:space="preserve">ümberkujundamine äriseadustikus sätestatud korras, kui seadusest ei tulene teisiti. Teisisõnu tuleks ümberkujundamisel </w:t>
      </w:r>
      <w:r w:rsidRPr="003331EF">
        <w:rPr>
          <w:iCs/>
          <w:spacing w:val="-5"/>
          <w:lang w:eastAsia="en-US"/>
        </w:rPr>
        <w:lastRenderedPageBreak/>
        <w:t>lähtuda äriseadustikus ümberkujundamise kohta sätestatust, arvestades käesolevas peatükis toodud erisustega.</w:t>
      </w:r>
    </w:p>
    <w:p w14:paraId="5373F117" w14:textId="77777777" w:rsidR="001A4507" w:rsidRPr="003331EF" w:rsidRDefault="001A4507" w:rsidP="003331EF">
      <w:pPr>
        <w:spacing w:before="0"/>
        <w:rPr>
          <w:i/>
          <w:iCs/>
        </w:rPr>
      </w:pPr>
    </w:p>
    <w:p w14:paraId="21F4E8C8" w14:textId="0FFAA1CD" w:rsidR="001A4507" w:rsidRPr="003331EF" w:rsidRDefault="001A4507" w:rsidP="003331EF">
      <w:pPr>
        <w:spacing w:before="0"/>
        <w:rPr>
          <w:iCs/>
          <w:spacing w:val="-5"/>
          <w:lang w:eastAsia="en-US"/>
        </w:rPr>
      </w:pPr>
      <w:bookmarkStart w:id="66" w:name="_Hlk130908112"/>
      <w:r w:rsidRPr="003331EF">
        <w:rPr>
          <w:iCs/>
          <w:spacing w:val="-5"/>
          <w:lang w:eastAsia="en-US"/>
        </w:rPr>
        <w:t>Täiendava tingimusena võrreldes äriseadustikuga on</w:t>
      </w:r>
      <w:r w:rsidRPr="003331EF">
        <w:t xml:space="preserve"> </w:t>
      </w:r>
      <w:r w:rsidRPr="003331EF">
        <w:rPr>
          <w:b/>
        </w:rPr>
        <w:t xml:space="preserve">lõikes </w:t>
      </w:r>
      <w:r w:rsidRPr="003331EF">
        <w:rPr>
          <w:iCs/>
          <w:spacing w:val="-5"/>
          <w:lang w:eastAsia="en-US"/>
        </w:rPr>
        <w:t>3 ette nähtud asjaomane luba finantsjärelevalvelt. Lõikes 3 tuuakse välja dokumendid, mille alusel otsustatakse ümberkujundamise loa andmine. Selleks tuleb eelnevalt Finantsinspektsioonile esitada osanike koosoleku otsus põhikirja muutmise kohta (punkt 1), koosoleku protokoll (punkt 2), põhikirja uus tekst (punkt 3) ja ümberkujundamisaruande vastavalt äriseadustiku §-le 479 (punkt 4). Ümberkujundamisaruanne on kirjalik aruanne, mille koostavad ühingu juhatus või ühingut juhtima õigustatud osanikud. Lõike 3 punkti 4 kohaselt peab Finantsinspektsioonile esitatav ümberkujundamisaruanne olema ka audiitorettevõtja poolt eelnevalt kontrollitud. Täpsemad nõuded sätestavad eelnimetatud aruandele ÄS § 479 lõiked 1</w:t>
      </w:r>
      <w:r w:rsidR="00AC4606" w:rsidRPr="003331EF">
        <w:rPr>
          <w:iCs/>
          <w:spacing w:val="-5"/>
          <w:lang w:eastAsia="en-US"/>
        </w:rPr>
        <w:t>–</w:t>
      </w:r>
      <w:r w:rsidRPr="003331EF">
        <w:rPr>
          <w:iCs/>
          <w:spacing w:val="-5"/>
          <w:lang w:eastAsia="en-US"/>
        </w:rPr>
        <w:t>2.</w:t>
      </w:r>
    </w:p>
    <w:bookmarkEnd w:id="66"/>
    <w:p w14:paraId="4B9309F0" w14:textId="77777777" w:rsidR="001A4507" w:rsidRPr="003331EF" w:rsidRDefault="001A4507" w:rsidP="003331EF">
      <w:pPr>
        <w:spacing w:before="0"/>
        <w:rPr>
          <w:i/>
          <w:iCs/>
        </w:rPr>
      </w:pPr>
    </w:p>
    <w:p w14:paraId="62F10863" w14:textId="77777777" w:rsidR="001A4507" w:rsidRPr="003331EF" w:rsidRDefault="001A4507" w:rsidP="003331EF">
      <w:pPr>
        <w:shd w:val="clear" w:color="auto" w:fill="FFFFFF"/>
        <w:spacing w:before="0"/>
      </w:pPr>
      <w:bookmarkStart w:id="67" w:name="_Hlk130908393"/>
      <w:r w:rsidRPr="003331EF">
        <w:rPr>
          <w:b/>
        </w:rPr>
        <w:t>Lõige 4</w:t>
      </w:r>
      <w:r w:rsidRPr="003331EF">
        <w:t xml:space="preserve"> </w:t>
      </w:r>
      <w:r w:rsidRPr="003331EF">
        <w:rPr>
          <w:iCs/>
          <w:spacing w:val="-5"/>
          <w:lang w:eastAsia="en-US"/>
        </w:rPr>
        <w:t>sätestab finantsjärelevalvele ajaraamistiku, mille jooksul peab Finantsinspektsioon tegema motiveeritud otsuse ümberkujundamiseks nõusoleku andmise või sellest keeldumise kohta. Nimetatud lõike kohaselt teeb Finantsinspektsioon ümberkujundamise otsuse kohta motiveeritud otsuse nõusoleku andmise või sellest keeldumise kohta üldjuhul ühe kuu jooksul alates nõuetekohaste dokumentide ja andmete saamisest. Maksimaalselt võib nimetatud otsuse tegemine aega võtta kolm kuud ümberkujundamistaotluse esitamisest.</w:t>
      </w:r>
    </w:p>
    <w:bookmarkEnd w:id="67"/>
    <w:p w14:paraId="53DBB3C0" w14:textId="77777777" w:rsidR="001A4507" w:rsidRPr="003331EF" w:rsidRDefault="001A4507" w:rsidP="003331EF">
      <w:pPr>
        <w:spacing w:before="0"/>
        <w:rPr>
          <w:i/>
          <w:iCs/>
        </w:rPr>
      </w:pPr>
    </w:p>
    <w:p w14:paraId="2E8BBB45" w14:textId="1C075A88" w:rsidR="001A4507" w:rsidRPr="003331EF" w:rsidRDefault="001A4507" w:rsidP="003331EF">
      <w:pPr>
        <w:shd w:val="clear" w:color="auto" w:fill="FFFFFF"/>
        <w:spacing w:before="0"/>
      </w:pPr>
      <w:bookmarkStart w:id="68" w:name="_Hlk130908512"/>
      <w:r w:rsidRPr="003331EF">
        <w:rPr>
          <w:b/>
        </w:rPr>
        <w:t>Lõige 5</w:t>
      </w:r>
      <w:r w:rsidRPr="003331EF">
        <w:t xml:space="preserve"> </w:t>
      </w:r>
      <w:r w:rsidRPr="003331EF">
        <w:rPr>
          <w:iCs/>
          <w:spacing w:val="-5"/>
          <w:lang w:eastAsia="en-US"/>
        </w:rPr>
        <w:t>kehtestab finantsjärelevalvele õiguse keelduda ümberkujundamise loa andmisest. Kuivõrd loa andmisest keeldumisega kaasneb tugev isiku õiguste riive, siis on konkreetsemad ümberkujundamise keeldumise alused äärmiselt olulised. Lõike 5 kohaselt võib Finantsinspektsioon keelduda ümberkujundamise loa andmisest, kui ümberkujundamise luba taotleva</w:t>
      </w:r>
      <w:r w:rsidR="00AC4606" w:rsidRPr="003331EF">
        <w:rPr>
          <w:iCs/>
          <w:spacing w:val="-5"/>
          <w:lang w:eastAsia="en-US"/>
        </w:rPr>
        <w:t xml:space="preserve"> </w:t>
      </w:r>
      <w:proofErr w:type="spellStart"/>
      <w:r w:rsidR="00AC4606" w:rsidRPr="003331EF">
        <w:rPr>
          <w:iCs/>
          <w:spacing w:val="-5"/>
          <w:lang w:eastAsia="en-US"/>
        </w:rPr>
        <w:t>krüptovaraturu</w:t>
      </w:r>
      <w:proofErr w:type="spellEnd"/>
      <w:r w:rsidR="00AC4606" w:rsidRPr="003331EF">
        <w:rPr>
          <w:iCs/>
          <w:spacing w:val="-5"/>
          <w:lang w:eastAsia="en-US"/>
        </w:rPr>
        <w:t xml:space="preserve"> osalise</w:t>
      </w:r>
      <w:r w:rsidRPr="003331EF">
        <w:rPr>
          <w:iCs/>
          <w:spacing w:val="-5"/>
          <w:lang w:eastAsia="en-US"/>
        </w:rPr>
        <w:t xml:space="preserve"> </w:t>
      </w:r>
      <w:r w:rsidR="005F54B0" w:rsidRPr="003331EF">
        <w:rPr>
          <w:iCs/>
          <w:spacing w:val="-5"/>
          <w:lang w:eastAsia="en-US"/>
        </w:rPr>
        <w:t xml:space="preserve">majanduslik usaldusväärsus </w:t>
      </w:r>
      <w:r w:rsidRPr="003331EF">
        <w:rPr>
          <w:iCs/>
          <w:spacing w:val="-5"/>
          <w:lang w:eastAsia="en-US"/>
        </w:rPr>
        <w:t xml:space="preserve">ei vasta </w:t>
      </w:r>
      <w:proofErr w:type="spellStart"/>
      <w:r w:rsidR="005F54B0" w:rsidRPr="003331EF">
        <w:rPr>
          <w:iCs/>
          <w:spacing w:val="-5"/>
          <w:lang w:eastAsia="en-US"/>
        </w:rPr>
        <w:t>M</w:t>
      </w:r>
      <w:r w:rsidR="00A03096">
        <w:rPr>
          <w:iCs/>
          <w:spacing w:val="-5"/>
          <w:lang w:eastAsia="en-US"/>
        </w:rPr>
        <w:t>i</w:t>
      </w:r>
      <w:r w:rsidR="005F54B0" w:rsidRPr="003331EF">
        <w:rPr>
          <w:iCs/>
          <w:spacing w:val="-5"/>
          <w:lang w:eastAsia="en-US"/>
        </w:rPr>
        <w:t>CA</w:t>
      </w:r>
      <w:proofErr w:type="spellEnd"/>
      <w:r w:rsidR="005F54B0" w:rsidRPr="003331EF">
        <w:rPr>
          <w:iCs/>
          <w:spacing w:val="-5"/>
          <w:lang w:eastAsia="en-US"/>
        </w:rPr>
        <w:t xml:space="preserve"> määruses</w:t>
      </w:r>
      <w:r w:rsidRPr="003331EF">
        <w:rPr>
          <w:iCs/>
          <w:spacing w:val="-5"/>
          <w:lang w:eastAsia="en-US"/>
        </w:rPr>
        <w:t xml:space="preserve"> sätestatud nõuetele</w:t>
      </w:r>
      <w:r w:rsidR="005F54B0" w:rsidRPr="003331EF">
        <w:rPr>
          <w:iCs/>
          <w:spacing w:val="-5"/>
          <w:lang w:eastAsia="en-US"/>
        </w:rPr>
        <w:t>, näiteks usaldatavusnõuetele</w:t>
      </w:r>
      <w:r w:rsidRPr="003331EF">
        <w:rPr>
          <w:iCs/>
          <w:spacing w:val="-5"/>
          <w:lang w:eastAsia="en-US"/>
        </w:rPr>
        <w:t xml:space="preserve"> (punkt 1) või ümberkujundamisega seotud dokumentatsioon ei vasta seaduses või muudes õigusaktides sätestatud nõuetele (punkt 2). Kui ümberkujundamine võib muul põhjusel kahjustada </w:t>
      </w:r>
      <w:proofErr w:type="spellStart"/>
      <w:r w:rsidR="005F54B0" w:rsidRPr="003331EF">
        <w:rPr>
          <w:iCs/>
          <w:spacing w:val="-5"/>
          <w:lang w:eastAsia="en-US"/>
        </w:rPr>
        <w:t>krüptovara</w:t>
      </w:r>
      <w:r w:rsidRPr="003331EF">
        <w:rPr>
          <w:iCs/>
          <w:spacing w:val="-5"/>
          <w:lang w:eastAsia="en-US"/>
        </w:rPr>
        <w:t>teenuse</w:t>
      </w:r>
      <w:proofErr w:type="spellEnd"/>
      <w:r w:rsidR="005F54B0" w:rsidRPr="003331EF">
        <w:rPr>
          <w:iCs/>
          <w:spacing w:val="-5"/>
          <w:lang w:eastAsia="en-US"/>
        </w:rPr>
        <w:t xml:space="preserve"> </w:t>
      </w:r>
      <w:r w:rsidRPr="003331EF">
        <w:rPr>
          <w:iCs/>
          <w:spacing w:val="-5"/>
          <w:lang w:eastAsia="en-US"/>
        </w:rPr>
        <w:t xml:space="preserve">osutaja </w:t>
      </w:r>
      <w:r w:rsidR="005F54B0" w:rsidRPr="003331EF">
        <w:rPr>
          <w:iCs/>
          <w:spacing w:val="-5"/>
          <w:lang w:eastAsia="en-US"/>
        </w:rPr>
        <w:t xml:space="preserve">või varapõhise </w:t>
      </w:r>
      <w:proofErr w:type="spellStart"/>
      <w:r w:rsidR="005F54B0" w:rsidRPr="003331EF">
        <w:rPr>
          <w:iCs/>
          <w:spacing w:val="-5"/>
          <w:lang w:eastAsia="en-US"/>
        </w:rPr>
        <w:t>tokeni</w:t>
      </w:r>
      <w:proofErr w:type="spellEnd"/>
      <w:r w:rsidR="005F54B0" w:rsidRPr="003331EF">
        <w:rPr>
          <w:iCs/>
          <w:spacing w:val="-5"/>
          <w:lang w:eastAsia="en-US"/>
        </w:rPr>
        <w:t xml:space="preserve"> emitendi </w:t>
      </w:r>
      <w:r w:rsidRPr="003331EF">
        <w:rPr>
          <w:iCs/>
          <w:spacing w:val="-5"/>
          <w:lang w:eastAsia="en-US"/>
        </w:rPr>
        <w:t>klientide või teiste võlausaldajate huve (punkt 3), on Finantsinspektsioonil samuti õigus keelduda ümberkujundamise loa andmisest.</w:t>
      </w:r>
      <w:r w:rsidRPr="003331EF">
        <w:t xml:space="preserve"> </w:t>
      </w:r>
    </w:p>
    <w:bookmarkEnd w:id="68"/>
    <w:p w14:paraId="419C1CD5" w14:textId="77777777" w:rsidR="001A4507" w:rsidRPr="003331EF" w:rsidRDefault="001A4507" w:rsidP="003331EF">
      <w:pPr>
        <w:shd w:val="clear" w:color="auto" w:fill="FFFFFF"/>
        <w:spacing w:before="0"/>
        <w:rPr>
          <w:i/>
          <w:iCs/>
        </w:rPr>
      </w:pPr>
    </w:p>
    <w:p w14:paraId="1D0AFE42" w14:textId="662809A5" w:rsidR="001A4507" w:rsidRPr="003331EF" w:rsidRDefault="001A4507" w:rsidP="003331EF">
      <w:pPr>
        <w:shd w:val="clear" w:color="auto" w:fill="FFFFFF"/>
        <w:spacing w:before="0"/>
      </w:pPr>
      <w:bookmarkStart w:id="69" w:name="_Hlk130908743"/>
      <w:r w:rsidRPr="003331EF">
        <w:rPr>
          <w:b/>
        </w:rPr>
        <w:t>Lõige 6</w:t>
      </w:r>
      <w:r w:rsidRPr="003331EF">
        <w:rPr>
          <w:iCs/>
          <w:spacing w:val="-5"/>
          <w:lang w:eastAsia="en-US"/>
        </w:rPr>
        <w:t xml:space="preserve"> sätestab, et </w:t>
      </w:r>
      <w:r w:rsidR="005F54B0" w:rsidRPr="003331EF">
        <w:rPr>
          <w:iCs/>
          <w:spacing w:val="-5"/>
          <w:lang w:eastAsia="en-US"/>
        </w:rPr>
        <w:t>ä</w:t>
      </w:r>
      <w:r w:rsidRPr="003331EF">
        <w:rPr>
          <w:iCs/>
          <w:spacing w:val="-5"/>
          <w:lang w:eastAsia="en-US"/>
        </w:rPr>
        <w:t xml:space="preserve">riregistrile esitatavale avaldusele lisatakse Finantsinspektsiooni luba </w:t>
      </w:r>
      <w:proofErr w:type="spellStart"/>
      <w:r w:rsidR="005F54B0" w:rsidRPr="003331EF">
        <w:rPr>
          <w:iCs/>
          <w:spacing w:val="-5"/>
          <w:lang w:eastAsia="en-US"/>
        </w:rPr>
        <w:t>krüptovarateenuse</w:t>
      </w:r>
      <w:proofErr w:type="spellEnd"/>
      <w:r w:rsidR="005F54B0" w:rsidRPr="003331EF">
        <w:rPr>
          <w:iCs/>
          <w:spacing w:val="-5"/>
          <w:lang w:eastAsia="en-US"/>
        </w:rPr>
        <w:t xml:space="preserve"> osutaja või varapõhise </w:t>
      </w:r>
      <w:proofErr w:type="spellStart"/>
      <w:r w:rsidR="005F54B0" w:rsidRPr="003331EF">
        <w:rPr>
          <w:iCs/>
          <w:spacing w:val="-5"/>
          <w:lang w:eastAsia="en-US"/>
        </w:rPr>
        <w:t>tokeni</w:t>
      </w:r>
      <w:proofErr w:type="spellEnd"/>
      <w:r w:rsidR="005F54B0" w:rsidRPr="003331EF">
        <w:rPr>
          <w:iCs/>
          <w:spacing w:val="-5"/>
          <w:lang w:eastAsia="en-US"/>
        </w:rPr>
        <w:t xml:space="preserve"> emitendi</w:t>
      </w:r>
      <w:r w:rsidRPr="003331EF">
        <w:rPr>
          <w:iCs/>
          <w:spacing w:val="-5"/>
          <w:lang w:eastAsia="en-US"/>
        </w:rPr>
        <w:t xml:space="preserve"> ümberkujundamiseks, millest tulenevalt on vajalik saada Finantsinspektsiooni luba enne ümberkujundamise lõpuleviimist äriregistri kandega.</w:t>
      </w:r>
    </w:p>
    <w:p w14:paraId="49C8EC83" w14:textId="77777777" w:rsidR="001A4507" w:rsidRPr="003331EF" w:rsidRDefault="001A4507" w:rsidP="003331EF">
      <w:pPr>
        <w:shd w:val="clear" w:color="auto" w:fill="FFFFFF"/>
        <w:spacing w:before="0"/>
        <w:rPr>
          <w:i/>
          <w:iCs/>
        </w:rPr>
      </w:pPr>
    </w:p>
    <w:p w14:paraId="3C2642D2" w14:textId="77777777" w:rsidR="001A4507" w:rsidRPr="003331EF" w:rsidRDefault="001A4507" w:rsidP="003331EF">
      <w:pPr>
        <w:shd w:val="clear" w:color="auto" w:fill="FFFFFF"/>
        <w:spacing w:before="0"/>
      </w:pPr>
      <w:r w:rsidRPr="003331EF">
        <w:rPr>
          <w:b/>
        </w:rPr>
        <w:t>Lõike 7</w:t>
      </w:r>
      <w:r w:rsidRPr="003331EF">
        <w:t xml:space="preserve"> </w:t>
      </w:r>
      <w:r w:rsidRPr="003331EF">
        <w:rPr>
          <w:iCs/>
          <w:spacing w:val="-5"/>
          <w:lang w:eastAsia="en-US"/>
        </w:rPr>
        <w:t>kohaselt avalikustab Finantsinspektsioon ümberkujundamisloa andmise otsuse hiljemalt otsuse tegemisele järgneval tööpäeval oma veebilehel.</w:t>
      </w:r>
    </w:p>
    <w:bookmarkEnd w:id="69"/>
    <w:p w14:paraId="1FE7FD17" w14:textId="77777777" w:rsidR="00CB112E" w:rsidRPr="003331EF" w:rsidRDefault="00CB112E" w:rsidP="003331EF">
      <w:pPr>
        <w:shd w:val="clear" w:color="auto" w:fill="FFFFFF"/>
        <w:spacing w:before="0"/>
      </w:pPr>
    </w:p>
    <w:p w14:paraId="12051689" w14:textId="23B814B0" w:rsidR="005F54B0" w:rsidRPr="003331EF" w:rsidRDefault="005F54B0" w:rsidP="003331EF">
      <w:pPr>
        <w:shd w:val="clear" w:color="auto" w:fill="FFFFFF"/>
        <w:spacing w:before="0"/>
      </w:pPr>
      <w:r w:rsidRPr="003331EF">
        <w:rPr>
          <w:b/>
        </w:rPr>
        <w:t xml:space="preserve">Paragrahv </w:t>
      </w:r>
      <w:r w:rsidR="00E16473" w:rsidRPr="003331EF">
        <w:rPr>
          <w:b/>
        </w:rPr>
        <w:t>20</w:t>
      </w:r>
      <w:r w:rsidRPr="003331EF">
        <w:rPr>
          <w:b/>
        </w:rPr>
        <w:t xml:space="preserve">. </w:t>
      </w:r>
      <w:proofErr w:type="spellStart"/>
      <w:r w:rsidRPr="003331EF">
        <w:rPr>
          <w:b/>
          <w:bCs/>
          <w:bdr w:val="none" w:sz="0" w:space="0" w:color="auto" w:frame="1"/>
        </w:rPr>
        <w:t>Krüptovarateenuse</w:t>
      </w:r>
      <w:proofErr w:type="spellEnd"/>
      <w:r w:rsidRPr="003331EF">
        <w:rPr>
          <w:b/>
          <w:bCs/>
          <w:bdr w:val="none" w:sz="0" w:space="0" w:color="auto" w:frame="1"/>
        </w:rPr>
        <w:t xml:space="preserve"> osutaja ühinemine ja varapõhise </w:t>
      </w:r>
      <w:proofErr w:type="spellStart"/>
      <w:r w:rsidRPr="003331EF">
        <w:rPr>
          <w:b/>
          <w:bCs/>
          <w:bdr w:val="none" w:sz="0" w:space="0" w:color="auto" w:frame="1"/>
        </w:rPr>
        <w:t>tokeni</w:t>
      </w:r>
      <w:proofErr w:type="spellEnd"/>
      <w:r w:rsidRPr="003331EF">
        <w:rPr>
          <w:b/>
          <w:bCs/>
          <w:bdr w:val="none" w:sz="0" w:space="0" w:color="auto" w:frame="1"/>
        </w:rPr>
        <w:t xml:space="preserve"> emitendi ü</w:t>
      </w:r>
      <w:r w:rsidRPr="003331EF">
        <w:rPr>
          <w:b/>
          <w:bCs/>
        </w:rPr>
        <w:t>hinemine</w:t>
      </w:r>
    </w:p>
    <w:p w14:paraId="38168865" w14:textId="77777777" w:rsidR="005F54B0" w:rsidRPr="003331EF" w:rsidRDefault="005F54B0" w:rsidP="003331EF">
      <w:pPr>
        <w:shd w:val="clear" w:color="auto" w:fill="FFFFFF"/>
        <w:spacing w:before="0"/>
        <w:rPr>
          <w:b/>
        </w:rPr>
      </w:pPr>
    </w:p>
    <w:p w14:paraId="41A3279F" w14:textId="5DC4D245" w:rsidR="001A4507" w:rsidRPr="003331EF" w:rsidRDefault="001A4507" w:rsidP="003331EF">
      <w:pPr>
        <w:shd w:val="clear" w:color="auto" w:fill="FFFFFF"/>
        <w:spacing w:before="0"/>
        <w:rPr>
          <w:bCs/>
        </w:rPr>
      </w:pPr>
      <w:r w:rsidRPr="003331EF">
        <w:rPr>
          <w:b/>
        </w:rPr>
        <w:t xml:space="preserve">Paragrahv </w:t>
      </w:r>
      <w:r w:rsidR="00E16473" w:rsidRPr="003331EF">
        <w:rPr>
          <w:b/>
        </w:rPr>
        <w:t>20</w:t>
      </w:r>
      <w:r w:rsidR="00E16473" w:rsidRPr="003331EF">
        <w:rPr>
          <w:bCs/>
        </w:rPr>
        <w:t xml:space="preserve"> </w:t>
      </w:r>
      <w:r w:rsidRPr="003331EF">
        <w:rPr>
          <w:iCs/>
          <w:spacing w:val="-5"/>
          <w:lang w:eastAsia="en-US"/>
        </w:rPr>
        <w:t xml:space="preserve">sätestab nõuded </w:t>
      </w:r>
      <w:proofErr w:type="spellStart"/>
      <w:r w:rsidR="00203187" w:rsidRPr="003331EF">
        <w:rPr>
          <w:iCs/>
          <w:spacing w:val="-5"/>
          <w:lang w:eastAsia="en-US"/>
        </w:rPr>
        <w:t>krüptovaraturu</w:t>
      </w:r>
      <w:proofErr w:type="spellEnd"/>
      <w:r w:rsidR="00203187" w:rsidRPr="003331EF">
        <w:rPr>
          <w:iCs/>
          <w:spacing w:val="-5"/>
          <w:lang w:eastAsia="en-US"/>
        </w:rPr>
        <w:t xml:space="preserve"> osalise </w:t>
      </w:r>
      <w:r w:rsidRPr="003331EF">
        <w:rPr>
          <w:iCs/>
          <w:spacing w:val="-5"/>
          <w:lang w:eastAsia="en-US"/>
        </w:rPr>
        <w:t>ühinemisele.</w:t>
      </w:r>
      <w:r w:rsidRPr="003331EF">
        <w:rPr>
          <w:bCs/>
        </w:rPr>
        <w:t xml:space="preserve"> </w:t>
      </w:r>
    </w:p>
    <w:p w14:paraId="2B33DF92" w14:textId="77777777" w:rsidR="001A4507" w:rsidRPr="003331EF" w:rsidRDefault="001A4507" w:rsidP="003331EF">
      <w:pPr>
        <w:pStyle w:val="Normal2"/>
        <w:rPr>
          <w:i/>
          <w:iCs/>
          <w:sz w:val="24"/>
        </w:rPr>
      </w:pPr>
    </w:p>
    <w:p w14:paraId="0014B198" w14:textId="51D144A3" w:rsidR="001A4507" w:rsidRPr="003331EF" w:rsidRDefault="001A4507" w:rsidP="003331EF">
      <w:pPr>
        <w:pStyle w:val="Normal2"/>
        <w:rPr>
          <w:sz w:val="24"/>
        </w:rPr>
      </w:pPr>
      <w:r w:rsidRPr="003331EF">
        <w:rPr>
          <w:rFonts w:eastAsia="Times New Roman"/>
          <w:bCs w:val="0"/>
          <w:iCs/>
          <w:spacing w:val="-5"/>
          <w:sz w:val="24"/>
          <w:lang w:eastAsia="en-US"/>
        </w:rPr>
        <w:t xml:space="preserve">Ühinemine on üks võimalustest ettevõtte tegevuse ümberkorraldamiseks ja </w:t>
      </w:r>
      <w:r w:rsidR="00203187" w:rsidRPr="003331EF">
        <w:rPr>
          <w:rFonts w:eastAsia="Times New Roman"/>
          <w:bCs w:val="0"/>
          <w:iCs/>
          <w:spacing w:val="-5"/>
          <w:sz w:val="24"/>
          <w:lang w:eastAsia="en-US"/>
        </w:rPr>
        <w:t xml:space="preserve">on </w:t>
      </w:r>
      <w:r w:rsidRPr="003331EF">
        <w:rPr>
          <w:rFonts w:eastAsia="Times New Roman"/>
          <w:bCs w:val="0"/>
          <w:iCs/>
          <w:spacing w:val="-5"/>
          <w:sz w:val="24"/>
          <w:lang w:eastAsia="en-US"/>
        </w:rPr>
        <w:t xml:space="preserve">levinud eeskätt kontsernisiseselt. Põhjuseid selleks võib olla mitmeid, näiteks kontsernistruktuuri lihtsustamine. Ühinemise tulemusena peab vähemalt üks esialgne äriühing lõppema. Terminit „ühinevad ühingud“ kasutatakse </w:t>
      </w:r>
      <w:proofErr w:type="spellStart"/>
      <w:r w:rsidRPr="003331EF">
        <w:rPr>
          <w:rFonts w:eastAsia="Times New Roman"/>
          <w:bCs w:val="0"/>
          <w:iCs/>
          <w:spacing w:val="-5"/>
          <w:sz w:val="24"/>
          <w:lang w:eastAsia="en-US"/>
        </w:rPr>
        <w:t>üldmõistena</w:t>
      </w:r>
      <w:proofErr w:type="spellEnd"/>
      <w:r w:rsidRPr="003331EF">
        <w:rPr>
          <w:rFonts w:eastAsia="Times New Roman"/>
          <w:bCs w:val="0"/>
          <w:iCs/>
          <w:spacing w:val="-5"/>
          <w:sz w:val="24"/>
          <w:lang w:eastAsia="en-US"/>
        </w:rPr>
        <w:t xml:space="preserve"> ühinemisel osalevate ühingute nimetamiseks. „Ühendatav ühing“ on ettevõte, mis protsessi tulemusena lõpeb. „Ühendav ühing“ jätkab ühinemise tulemusel aga </w:t>
      </w:r>
      <w:r w:rsidRPr="003331EF">
        <w:rPr>
          <w:rFonts w:eastAsia="Times New Roman"/>
          <w:bCs w:val="0"/>
          <w:iCs/>
          <w:spacing w:val="-5"/>
          <w:sz w:val="24"/>
          <w:lang w:eastAsia="en-US"/>
        </w:rPr>
        <w:lastRenderedPageBreak/>
        <w:t>tegevust.</w:t>
      </w:r>
      <w:r w:rsidRPr="003331EF">
        <w:rPr>
          <w:rFonts w:eastAsia="Times New Roman"/>
          <w:bCs w:val="0"/>
          <w:iCs/>
          <w:spacing w:val="-5"/>
          <w:sz w:val="24"/>
          <w:vertAlign w:val="superscript"/>
          <w:lang w:eastAsia="en-US"/>
        </w:rPr>
        <w:footnoteReference w:id="22"/>
      </w:r>
      <w:r w:rsidRPr="003331EF">
        <w:rPr>
          <w:rFonts w:eastAsia="Times New Roman"/>
          <w:bCs w:val="0"/>
          <w:iCs/>
          <w:spacing w:val="-5"/>
          <w:sz w:val="24"/>
          <w:lang w:eastAsia="en-US"/>
        </w:rPr>
        <w:t xml:space="preserve"> Ühinemise korral läheb ühendatava ühingu vara, mis hõlmab ka kohustusi, täielikult üle ühendavale ühingule </w:t>
      </w:r>
      <w:proofErr w:type="spellStart"/>
      <w:r w:rsidRPr="003331EF">
        <w:rPr>
          <w:rFonts w:eastAsia="Times New Roman"/>
          <w:bCs w:val="0"/>
          <w:iCs/>
          <w:spacing w:val="-5"/>
          <w:sz w:val="24"/>
          <w:lang w:eastAsia="en-US"/>
        </w:rPr>
        <w:t>üldõigusjärgluse</w:t>
      </w:r>
      <w:proofErr w:type="spellEnd"/>
      <w:r w:rsidRPr="003331EF">
        <w:rPr>
          <w:rFonts w:eastAsia="Times New Roman"/>
          <w:bCs w:val="0"/>
          <w:iCs/>
          <w:spacing w:val="-5"/>
          <w:sz w:val="24"/>
          <w:lang w:eastAsia="en-US"/>
        </w:rPr>
        <w:t xml:space="preserve"> korras</w:t>
      </w:r>
      <w:r w:rsidRPr="003331EF">
        <w:rPr>
          <w:sz w:val="24"/>
        </w:rPr>
        <w:t>.</w:t>
      </w:r>
      <w:r w:rsidRPr="003331EF">
        <w:rPr>
          <w:sz w:val="24"/>
          <w:vertAlign w:val="superscript"/>
        </w:rPr>
        <w:footnoteReference w:id="23"/>
      </w:r>
    </w:p>
    <w:p w14:paraId="34EDC79F" w14:textId="77777777" w:rsidR="001A4507" w:rsidRPr="003331EF" w:rsidRDefault="001A4507" w:rsidP="003331EF">
      <w:pPr>
        <w:pStyle w:val="Normal2"/>
        <w:rPr>
          <w:sz w:val="24"/>
        </w:rPr>
      </w:pPr>
    </w:p>
    <w:p w14:paraId="210FE978" w14:textId="6DA240EB" w:rsidR="001A4507" w:rsidRPr="003331EF" w:rsidRDefault="001A4507" w:rsidP="003331EF">
      <w:pPr>
        <w:pStyle w:val="Normal2"/>
        <w:rPr>
          <w:sz w:val="24"/>
        </w:rPr>
      </w:pPr>
      <w:r w:rsidRPr="003331EF">
        <w:rPr>
          <w:b/>
          <w:bCs w:val="0"/>
          <w:sz w:val="24"/>
        </w:rPr>
        <w:t>Lõige 1</w:t>
      </w:r>
      <w:r w:rsidRPr="003331EF">
        <w:rPr>
          <w:rFonts w:eastAsia="Times New Roman"/>
          <w:bCs w:val="0"/>
          <w:iCs/>
          <w:spacing w:val="-5"/>
          <w:sz w:val="24"/>
          <w:lang w:eastAsia="en-US"/>
        </w:rPr>
        <w:t xml:space="preserve"> ütleb, et ühine</w:t>
      </w:r>
      <w:r w:rsidR="005F54B0" w:rsidRPr="003331EF">
        <w:rPr>
          <w:rFonts w:eastAsia="Times New Roman"/>
          <w:bCs w:val="0"/>
          <w:iCs/>
          <w:spacing w:val="-5"/>
          <w:sz w:val="24"/>
          <w:lang w:eastAsia="en-US"/>
        </w:rPr>
        <w:t>mine</w:t>
      </w:r>
      <w:r w:rsidRPr="003331EF">
        <w:rPr>
          <w:rFonts w:eastAsia="Times New Roman"/>
          <w:bCs w:val="0"/>
          <w:iCs/>
          <w:spacing w:val="-5"/>
          <w:sz w:val="24"/>
          <w:lang w:eastAsia="en-US"/>
        </w:rPr>
        <w:t xml:space="preserve"> </w:t>
      </w:r>
      <w:r w:rsidR="005F54B0" w:rsidRPr="003331EF">
        <w:rPr>
          <w:rFonts w:eastAsia="Times New Roman"/>
          <w:bCs w:val="0"/>
          <w:iCs/>
          <w:spacing w:val="-5"/>
          <w:sz w:val="24"/>
          <w:lang w:eastAsia="en-US"/>
        </w:rPr>
        <w:t xml:space="preserve">toimub </w:t>
      </w:r>
      <w:r w:rsidRPr="003331EF">
        <w:rPr>
          <w:rFonts w:eastAsia="Times New Roman"/>
          <w:bCs w:val="0"/>
          <w:iCs/>
          <w:spacing w:val="-5"/>
          <w:sz w:val="24"/>
          <w:lang w:eastAsia="en-US"/>
        </w:rPr>
        <w:t>äriseadustikus sätestatud korras, kui käesolevast seadusest ei tulene teisiti. Üldised ühinemisnõuded tulenevad ÄS 31. peatükist.</w:t>
      </w:r>
      <w:r w:rsidRPr="003331EF">
        <w:rPr>
          <w:sz w:val="24"/>
        </w:rPr>
        <w:t xml:space="preserve"> </w:t>
      </w:r>
    </w:p>
    <w:p w14:paraId="607B65D3" w14:textId="77777777" w:rsidR="001A4507" w:rsidRPr="003331EF" w:rsidRDefault="001A4507" w:rsidP="003331EF">
      <w:pPr>
        <w:pStyle w:val="Normal2"/>
        <w:jc w:val="center"/>
        <w:rPr>
          <w:b/>
          <w:i/>
          <w:iCs/>
          <w:sz w:val="24"/>
        </w:rPr>
      </w:pPr>
      <w:r w:rsidRPr="003331EF">
        <w:rPr>
          <w:b/>
          <w:i/>
          <w:noProof/>
          <w:sz w:val="24"/>
        </w:rPr>
        <w:drawing>
          <wp:inline distT="0" distB="0" distL="0" distR="0" wp14:anchorId="0B0AC08B" wp14:editId="00D47808">
            <wp:extent cx="1924050" cy="1670859"/>
            <wp:effectExtent l="0" t="0" r="0" b="5715"/>
            <wp:docPr id="2" name="Pilt 2"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8037" cy="1683005"/>
                    </a:xfrm>
                    <a:prstGeom prst="rect">
                      <a:avLst/>
                    </a:prstGeom>
                    <a:noFill/>
                  </pic:spPr>
                </pic:pic>
              </a:graphicData>
            </a:graphic>
          </wp:inline>
        </w:drawing>
      </w:r>
    </w:p>
    <w:p w14:paraId="78FE2EA9" w14:textId="77777777" w:rsidR="001A4507" w:rsidRPr="003331EF" w:rsidRDefault="001A4507" w:rsidP="003331EF">
      <w:pPr>
        <w:pStyle w:val="Normal2"/>
        <w:rPr>
          <w:b/>
          <w:i/>
          <w:iCs/>
          <w:sz w:val="24"/>
        </w:rPr>
      </w:pPr>
    </w:p>
    <w:p w14:paraId="6A325955" w14:textId="2C882523" w:rsidR="00242666" w:rsidRPr="003331EF" w:rsidRDefault="00242666" w:rsidP="003331EF">
      <w:pPr>
        <w:pStyle w:val="Normal2"/>
        <w:rPr>
          <w:b/>
          <w:i/>
          <w:iCs/>
          <w:sz w:val="24"/>
        </w:rPr>
      </w:pPr>
      <w:r w:rsidRPr="003331EF">
        <w:rPr>
          <w:b/>
          <w:sz w:val="24"/>
        </w:rPr>
        <w:t xml:space="preserve">Joonis </w:t>
      </w:r>
      <w:r w:rsidR="00E856F7" w:rsidRPr="003331EF">
        <w:rPr>
          <w:b/>
          <w:sz w:val="24"/>
        </w:rPr>
        <w:t>3</w:t>
      </w:r>
      <w:r w:rsidRPr="003331EF">
        <w:rPr>
          <w:b/>
          <w:sz w:val="24"/>
        </w:rPr>
        <w:t>.</w:t>
      </w:r>
      <w:r w:rsidRPr="003331EF">
        <w:rPr>
          <w:b/>
          <w:i/>
          <w:iCs/>
          <w:sz w:val="24"/>
        </w:rPr>
        <w:t xml:space="preserve"> </w:t>
      </w:r>
      <w:r w:rsidRPr="003331EF">
        <w:rPr>
          <w:rFonts w:eastAsia="Times New Roman"/>
          <w:bCs w:val="0"/>
          <w:iCs/>
          <w:spacing w:val="-5"/>
          <w:sz w:val="24"/>
          <w:lang w:eastAsia="en-US"/>
        </w:rPr>
        <w:t>Ühinevate ühingute jätkumine pärast ühinemist</w:t>
      </w:r>
    </w:p>
    <w:p w14:paraId="5915D1F9" w14:textId="77777777" w:rsidR="00242666" w:rsidRPr="003331EF" w:rsidRDefault="00242666" w:rsidP="003331EF">
      <w:pPr>
        <w:pStyle w:val="Normal2"/>
        <w:rPr>
          <w:b/>
          <w:sz w:val="24"/>
        </w:rPr>
      </w:pPr>
    </w:p>
    <w:p w14:paraId="4A50EF86" w14:textId="68C4985B" w:rsidR="001A4507" w:rsidRPr="003331EF" w:rsidRDefault="001A4507" w:rsidP="003331EF">
      <w:pPr>
        <w:pStyle w:val="Normal2"/>
        <w:rPr>
          <w:rFonts w:eastAsia="Times New Roman"/>
          <w:bCs w:val="0"/>
          <w:iCs/>
          <w:spacing w:val="-5"/>
          <w:sz w:val="24"/>
          <w:lang w:eastAsia="en-US"/>
        </w:rPr>
      </w:pPr>
      <w:r w:rsidRPr="003331EF">
        <w:rPr>
          <w:b/>
          <w:sz w:val="24"/>
        </w:rPr>
        <w:t>Lõige 2</w:t>
      </w:r>
      <w:r w:rsidRPr="003331EF">
        <w:rPr>
          <w:sz w:val="24"/>
        </w:rPr>
        <w:t xml:space="preserve"> </w:t>
      </w:r>
      <w:r w:rsidRPr="003331EF">
        <w:rPr>
          <w:rFonts w:eastAsia="Times New Roman"/>
          <w:bCs w:val="0"/>
          <w:iCs/>
          <w:spacing w:val="-5"/>
          <w:sz w:val="24"/>
          <w:lang w:eastAsia="en-US"/>
        </w:rPr>
        <w:t xml:space="preserve">annab </w:t>
      </w:r>
      <w:proofErr w:type="spellStart"/>
      <w:r w:rsidRPr="003331EF">
        <w:rPr>
          <w:rFonts w:eastAsia="Times New Roman"/>
          <w:bCs w:val="0"/>
          <w:iCs/>
          <w:spacing w:val="-5"/>
          <w:sz w:val="24"/>
          <w:lang w:eastAsia="en-US"/>
        </w:rPr>
        <w:t>krüptovarateenuse</w:t>
      </w:r>
      <w:proofErr w:type="spellEnd"/>
      <w:r w:rsidRPr="003331EF">
        <w:rPr>
          <w:rFonts w:eastAsia="Times New Roman"/>
          <w:bCs w:val="0"/>
          <w:iCs/>
          <w:spacing w:val="-5"/>
          <w:sz w:val="24"/>
          <w:lang w:eastAsia="en-US"/>
        </w:rPr>
        <w:t xml:space="preserve"> osutajale </w:t>
      </w:r>
      <w:r w:rsidR="005F54B0" w:rsidRPr="003331EF">
        <w:rPr>
          <w:rFonts w:eastAsia="Times New Roman"/>
          <w:bCs w:val="0"/>
          <w:iCs/>
          <w:spacing w:val="-5"/>
          <w:sz w:val="24"/>
          <w:lang w:eastAsia="en-US"/>
        </w:rPr>
        <w:t xml:space="preserve">ja varapõhise </w:t>
      </w:r>
      <w:proofErr w:type="spellStart"/>
      <w:r w:rsidR="005F54B0" w:rsidRPr="003331EF">
        <w:rPr>
          <w:rFonts w:eastAsia="Times New Roman"/>
          <w:bCs w:val="0"/>
          <w:iCs/>
          <w:spacing w:val="-5"/>
          <w:sz w:val="24"/>
          <w:lang w:eastAsia="en-US"/>
        </w:rPr>
        <w:t>tokeni</w:t>
      </w:r>
      <w:proofErr w:type="spellEnd"/>
      <w:r w:rsidR="005F54B0" w:rsidRPr="003331EF">
        <w:rPr>
          <w:rFonts w:eastAsia="Times New Roman"/>
          <w:bCs w:val="0"/>
          <w:iCs/>
          <w:spacing w:val="-5"/>
          <w:sz w:val="24"/>
          <w:lang w:eastAsia="en-US"/>
        </w:rPr>
        <w:t xml:space="preserve"> emitendile </w:t>
      </w:r>
      <w:r w:rsidRPr="003331EF">
        <w:rPr>
          <w:rFonts w:eastAsia="Times New Roman"/>
          <w:bCs w:val="0"/>
          <w:iCs/>
          <w:spacing w:val="-5"/>
          <w:sz w:val="24"/>
          <w:lang w:eastAsia="en-US"/>
        </w:rPr>
        <w:t xml:space="preserve">õiguse ühendatava ühinguna ühineda. Eelviidatud ühinemisprotsess võib toimuda </w:t>
      </w:r>
      <w:proofErr w:type="spellStart"/>
      <w:r w:rsidRPr="003331EF">
        <w:rPr>
          <w:rFonts w:eastAsia="Times New Roman"/>
          <w:bCs w:val="0"/>
          <w:iCs/>
          <w:spacing w:val="-5"/>
          <w:sz w:val="24"/>
          <w:lang w:eastAsia="en-US"/>
        </w:rPr>
        <w:t>krüptovarateenuse</w:t>
      </w:r>
      <w:proofErr w:type="spellEnd"/>
      <w:r w:rsidRPr="003331EF">
        <w:rPr>
          <w:rFonts w:eastAsia="Times New Roman"/>
          <w:bCs w:val="0"/>
          <w:iCs/>
          <w:spacing w:val="-5"/>
          <w:sz w:val="24"/>
          <w:lang w:eastAsia="en-US"/>
        </w:rPr>
        <w:t xml:space="preserve"> </w:t>
      </w:r>
      <w:r w:rsidR="005F54B0" w:rsidRPr="003331EF">
        <w:rPr>
          <w:rFonts w:eastAsia="Times New Roman"/>
          <w:bCs w:val="0"/>
          <w:iCs/>
          <w:spacing w:val="-5"/>
          <w:sz w:val="24"/>
          <w:lang w:eastAsia="en-US"/>
        </w:rPr>
        <w:t xml:space="preserve">osutaja või varapõhise </w:t>
      </w:r>
      <w:proofErr w:type="spellStart"/>
      <w:r w:rsidR="005F54B0" w:rsidRPr="003331EF">
        <w:rPr>
          <w:rFonts w:eastAsia="Times New Roman"/>
          <w:bCs w:val="0"/>
          <w:iCs/>
          <w:spacing w:val="-5"/>
          <w:sz w:val="24"/>
          <w:lang w:eastAsia="en-US"/>
        </w:rPr>
        <w:t>tokeni</w:t>
      </w:r>
      <w:proofErr w:type="spellEnd"/>
      <w:r w:rsidR="005F54B0" w:rsidRPr="003331EF">
        <w:rPr>
          <w:rFonts w:eastAsia="Times New Roman"/>
          <w:bCs w:val="0"/>
          <w:iCs/>
          <w:spacing w:val="-5"/>
          <w:sz w:val="24"/>
          <w:lang w:eastAsia="en-US"/>
        </w:rPr>
        <w:t xml:space="preserve"> emitendiga </w:t>
      </w:r>
      <w:r w:rsidRPr="003331EF">
        <w:rPr>
          <w:rFonts w:eastAsia="Times New Roman"/>
          <w:bCs w:val="0"/>
          <w:iCs/>
          <w:spacing w:val="-5"/>
          <w:sz w:val="24"/>
          <w:lang w:eastAsia="en-US"/>
        </w:rPr>
        <w:t xml:space="preserve">(nii Eesti kui ka lepinguriigi) või teise lepinguriigi krediidiasutuse, investeerimisühingu, makseasutuse või e-raha asutusega. </w:t>
      </w:r>
    </w:p>
    <w:p w14:paraId="01FCDAC9" w14:textId="77777777" w:rsidR="00055A6E" w:rsidRPr="003331EF" w:rsidRDefault="00055A6E" w:rsidP="003331EF">
      <w:pPr>
        <w:pStyle w:val="Normal2"/>
        <w:rPr>
          <w:sz w:val="24"/>
        </w:rPr>
      </w:pPr>
    </w:p>
    <w:p w14:paraId="1E01B156" w14:textId="615D359B" w:rsidR="001A4507" w:rsidRPr="003331EF" w:rsidRDefault="00055A6E" w:rsidP="003331EF">
      <w:pPr>
        <w:pStyle w:val="Normal2"/>
        <w:rPr>
          <w:rFonts w:eastAsia="Times New Roman"/>
          <w:bCs w:val="0"/>
          <w:iCs/>
          <w:spacing w:val="-5"/>
          <w:sz w:val="24"/>
          <w:lang w:eastAsia="en-US"/>
        </w:rPr>
      </w:pPr>
      <w:r w:rsidRPr="003331EF">
        <w:rPr>
          <w:rFonts w:eastAsia="Times New Roman"/>
          <w:bCs w:val="0"/>
          <w:iCs/>
          <w:spacing w:val="-5"/>
          <w:sz w:val="24"/>
          <w:lang w:eastAsia="en-US"/>
        </w:rPr>
        <w:t xml:space="preserve">Oluline on siinjuures juhtida tähelepanu asjaolule, et ühendav ühing ei saa näiteks olla Eestis asutatud krediidiasutus, investeerimisühing, e-raha asutus ega ka makseasutus, kuivõrd eriseadused reguleerivad üsna kitsalt, kellega viidatud asutused ühineda võivad. Sama kehtib ka olukorras, kui viidatud asutused on ühendatavad. </w:t>
      </w:r>
    </w:p>
    <w:p w14:paraId="390AA5CE" w14:textId="77777777" w:rsidR="00AC72FA" w:rsidRPr="003331EF" w:rsidRDefault="00AC72FA" w:rsidP="003331EF">
      <w:pPr>
        <w:pStyle w:val="Normal2"/>
        <w:rPr>
          <w:i/>
          <w:iCs/>
          <w:sz w:val="24"/>
        </w:rPr>
      </w:pPr>
    </w:p>
    <w:p w14:paraId="41FCF8EC" w14:textId="2C199C28" w:rsidR="001A4507" w:rsidRPr="003331EF" w:rsidRDefault="001A4507" w:rsidP="003331EF">
      <w:pPr>
        <w:pStyle w:val="Normal2"/>
        <w:rPr>
          <w:sz w:val="24"/>
        </w:rPr>
      </w:pPr>
      <w:r w:rsidRPr="003331EF">
        <w:rPr>
          <w:b/>
          <w:sz w:val="24"/>
        </w:rPr>
        <w:t xml:space="preserve">Lõike 3 </w:t>
      </w:r>
      <w:r w:rsidRPr="003331EF">
        <w:rPr>
          <w:rFonts w:eastAsia="Times New Roman"/>
          <w:bCs w:val="0"/>
          <w:iCs/>
          <w:spacing w:val="-5"/>
          <w:sz w:val="24"/>
          <w:lang w:eastAsia="en-US"/>
        </w:rPr>
        <w:t>kohaselt või</w:t>
      </w:r>
      <w:r w:rsidR="00055A6E" w:rsidRPr="003331EF">
        <w:rPr>
          <w:rFonts w:eastAsia="Times New Roman"/>
          <w:bCs w:val="0"/>
          <w:iCs/>
          <w:spacing w:val="-5"/>
          <w:sz w:val="24"/>
          <w:lang w:eastAsia="en-US"/>
        </w:rPr>
        <w:t>vad</w:t>
      </w:r>
      <w:r w:rsidRPr="003331EF">
        <w:rPr>
          <w:rFonts w:eastAsia="Times New Roman"/>
          <w:bCs w:val="0"/>
          <w:iCs/>
          <w:spacing w:val="-5"/>
          <w:sz w:val="24"/>
          <w:lang w:eastAsia="en-US"/>
        </w:rPr>
        <w:t xml:space="preserve"> </w:t>
      </w:r>
      <w:proofErr w:type="spellStart"/>
      <w:r w:rsidRPr="003331EF">
        <w:rPr>
          <w:rFonts w:eastAsia="Times New Roman"/>
          <w:bCs w:val="0"/>
          <w:iCs/>
          <w:spacing w:val="-5"/>
          <w:sz w:val="24"/>
          <w:lang w:eastAsia="en-US"/>
        </w:rPr>
        <w:t>krüptovarateenuse</w:t>
      </w:r>
      <w:proofErr w:type="spellEnd"/>
      <w:r w:rsidRPr="003331EF">
        <w:rPr>
          <w:rFonts w:eastAsia="Times New Roman"/>
          <w:bCs w:val="0"/>
          <w:iCs/>
          <w:spacing w:val="-5"/>
          <w:sz w:val="24"/>
          <w:lang w:eastAsia="en-US"/>
        </w:rPr>
        <w:t xml:space="preserve"> osutaja </w:t>
      </w:r>
      <w:r w:rsidR="00055A6E" w:rsidRPr="003331EF">
        <w:rPr>
          <w:rFonts w:eastAsia="Times New Roman"/>
          <w:bCs w:val="0"/>
          <w:iCs/>
          <w:spacing w:val="-5"/>
          <w:sz w:val="24"/>
          <w:lang w:eastAsia="en-US"/>
        </w:rPr>
        <w:t xml:space="preserve">ja varapõhise </w:t>
      </w:r>
      <w:proofErr w:type="spellStart"/>
      <w:r w:rsidR="00055A6E" w:rsidRPr="003331EF">
        <w:rPr>
          <w:rFonts w:eastAsia="Times New Roman"/>
          <w:bCs w:val="0"/>
          <w:iCs/>
          <w:spacing w:val="-5"/>
          <w:sz w:val="24"/>
          <w:lang w:eastAsia="en-US"/>
        </w:rPr>
        <w:t>tokeni</w:t>
      </w:r>
      <w:proofErr w:type="spellEnd"/>
      <w:r w:rsidR="00055A6E" w:rsidRPr="003331EF">
        <w:rPr>
          <w:rFonts w:eastAsia="Times New Roman"/>
          <w:bCs w:val="0"/>
          <w:iCs/>
          <w:spacing w:val="-5"/>
          <w:sz w:val="24"/>
          <w:lang w:eastAsia="en-US"/>
        </w:rPr>
        <w:t xml:space="preserve"> emitent </w:t>
      </w:r>
      <w:r w:rsidRPr="003331EF">
        <w:rPr>
          <w:rFonts w:eastAsia="Times New Roman"/>
          <w:bCs w:val="0"/>
          <w:iCs/>
          <w:spacing w:val="-5"/>
          <w:sz w:val="24"/>
          <w:lang w:eastAsia="en-US"/>
        </w:rPr>
        <w:t xml:space="preserve">ühendava ühinguna ühineda teise </w:t>
      </w:r>
      <w:proofErr w:type="spellStart"/>
      <w:r w:rsidRPr="003331EF">
        <w:rPr>
          <w:rFonts w:eastAsia="Times New Roman"/>
          <w:bCs w:val="0"/>
          <w:iCs/>
          <w:spacing w:val="-5"/>
          <w:sz w:val="24"/>
          <w:lang w:eastAsia="en-US"/>
        </w:rPr>
        <w:t>krüptovarateenuse</w:t>
      </w:r>
      <w:proofErr w:type="spellEnd"/>
      <w:r w:rsidRPr="003331EF">
        <w:rPr>
          <w:rFonts w:eastAsia="Times New Roman"/>
          <w:bCs w:val="0"/>
          <w:iCs/>
          <w:spacing w:val="-5"/>
          <w:sz w:val="24"/>
          <w:lang w:eastAsia="en-US"/>
        </w:rPr>
        <w:t xml:space="preserve"> </w:t>
      </w:r>
      <w:r w:rsidR="00055A6E" w:rsidRPr="003331EF">
        <w:rPr>
          <w:rFonts w:eastAsia="Times New Roman"/>
          <w:bCs w:val="0"/>
          <w:iCs/>
          <w:spacing w:val="-5"/>
          <w:sz w:val="24"/>
          <w:lang w:eastAsia="en-US"/>
        </w:rPr>
        <w:t xml:space="preserve">osutaja või varapõhise </w:t>
      </w:r>
      <w:proofErr w:type="spellStart"/>
      <w:r w:rsidR="00055A6E" w:rsidRPr="003331EF">
        <w:rPr>
          <w:rFonts w:eastAsia="Times New Roman"/>
          <w:bCs w:val="0"/>
          <w:iCs/>
          <w:spacing w:val="-5"/>
          <w:sz w:val="24"/>
          <w:lang w:eastAsia="en-US"/>
        </w:rPr>
        <w:t>tokeni</w:t>
      </w:r>
      <w:proofErr w:type="spellEnd"/>
      <w:r w:rsidR="00055A6E" w:rsidRPr="003331EF">
        <w:rPr>
          <w:rFonts w:eastAsia="Times New Roman"/>
          <w:bCs w:val="0"/>
          <w:iCs/>
          <w:spacing w:val="-5"/>
          <w:sz w:val="24"/>
          <w:lang w:eastAsia="en-US"/>
        </w:rPr>
        <w:t xml:space="preserve"> emitendiga </w:t>
      </w:r>
      <w:r w:rsidRPr="003331EF">
        <w:rPr>
          <w:rFonts w:eastAsia="Times New Roman"/>
          <w:bCs w:val="0"/>
          <w:iCs/>
          <w:spacing w:val="-5"/>
          <w:sz w:val="24"/>
          <w:lang w:eastAsia="en-US"/>
        </w:rPr>
        <w:t xml:space="preserve">või teise lepinguriigi krediidiasutuse, investeerimisühingu, e-raha asutuse või makseasutusega, või äriühinguga, kellele on väljastatud EL </w:t>
      </w:r>
      <w:proofErr w:type="spellStart"/>
      <w:r w:rsidRPr="003331EF">
        <w:rPr>
          <w:rFonts w:eastAsia="Times New Roman"/>
          <w:bCs w:val="0"/>
          <w:iCs/>
          <w:spacing w:val="-5"/>
          <w:sz w:val="24"/>
          <w:lang w:eastAsia="en-US"/>
        </w:rPr>
        <w:t>ühisrahastusmääruse</w:t>
      </w:r>
      <w:proofErr w:type="spellEnd"/>
      <w:r w:rsidRPr="003331EF">
        <w:rPr>
          <w:rFonts w:eastAsia="Times New Roman"/>
          <w:bCs w:val="0"/>
          <w:iCs/>
          <w:spacing w:val="-5"/>
          <w:sz w:val="24"/>
          <w:lang w:eastAsia="en-US"/>
        </w:rPr>
        <w:t xml:space="preserve"> alusel tegevusluba. Sama lõike punkti 2 järgi on </w:t>
      </w:r>
      <w:proofErr w:type="spellStart"/>
      <w:r w:rsidRPr="003331EF">
        <w:rPr>
          <w:rFonts w:eastAsia="Times New Roman"/>
          <w:bCs w:val="0"/>
          <w:iCs/>
          <w:spacing w:val="-5"/>
          <w:sz w:val="24"/>
          <w:lang w:eastAsia="en-US"/>
        </w:rPr>
        <w:t>krüptovarateenuse</w:t>
      </w:r>
      <w:proofErr w:type="spellEnd"/>
      <w:r w:rsidRPr="003331EF">
        <w:rPr>
          <w:rFonts w:eastAsia="Times New Roman"/>
          <w:bCs w:val="0"/>
          <w:iCs/>
          <w:spacing w:val="-5"/>
          <w:sz w:val="24"/>
          <w:lang w:eastAsia="en-US"/>
        </w:rPr>
        <w:t xml:space="preserve"> osutajal õigus ühendava ühinguna ühineda ka muu finantseerimisasutuse või abiettevõtjaga</w:t>
      </w:r>
      <w:r w:rsidR="00AE39F1">
        <w:rPr>
          <w:rFonts w:eastAsia="Times New Roman"/>
          <w:bCs w:val="0"/>
          <w:iCs/>
          <w:spacing w:val="-5"/>
          <w:sz w:val="24"/>
          <w:lang w:eastAsia="en-US"/>
        </w:rPr>
        <w:t>.</w:t>
      </w:r>
      <w:r w:rsidR="001C13D8" w:rsidRPr="003331EF">
        <w:rPr>
          <w:rFonts w:eastAsia="Times New Roman"/>
          <w:bCs w:val="0"/>
          <w:iCs/>
          <w:spacing w:val="-5"/>
          <w:sz w:val="24"/>
          <w:lang w:eastAsia="en-US"/>
        </w:rPr>
        <w:t xml:space="preserve"> Finantseerimisasutuse all on mõeldud asutust KAS § 5 tähenduses.</w:t>
      </w:r>
      <w:r w:rsidR="001C13D8" w:rsidRPr="003331EF">
        <w:rPr>
          <w:sz w:val="24"/>
        </w:rPr>
        <w:t xml:space="preserve"> </w:t>
      </w:r>
      <w:r w:rsidR="00AE39F1">
        <w:rPr>
          <w:rFonts w:eastAsia="Times New Roman"/>
          <w:bCs w:val="0"/>
          <w:iCs/>
          <w:spacing w:val="-5"/>
          <w:sz w:val="24"/>
          <w:lang w:eastAsia="en-US"/>
        </w:rPr>
        <w:t>Abiettevõtja</w:t>
      </w:r>
      <w:r w:rsidR="00AE39F1" w:rsidRPr="003331EF">
        <w:rPr>
          <w:rFonts w:eastAsia="Times New Roman"/>
          <w:bCs w:val="0"/>
          <w:iCs/>
          <w:spacing w:val="-5"/>
          <w:sz w:val="24"/>
          <w:lang w:eastAsia="en-US"/>
        </w:rPr>
        <w:t xml:space="preserve"> peamine ja püsiv tegevus on finantsteenuste, infotehnoloogiateenuste, vastavuskontrolli teenuste või muu sarnase teenuse osutamine või tegevus, mis abistab või täiendab </w:t>
      </w:r>
      <w:proofErr w:type="spellStart"/>
      <w:r w:rsidR="00AE39F1" w:rsidRPr="003331EF">
        <w:rPr>
          <w:rFonts w:eastAsia="Times New Roman"/>
          <w:bCs w:val="0"/>
          <w:iCs/>
          <w:spacing w:val="-5"/>
          <w:sz w:val="24"/>
          <w:lang w:eastAsia="en-US"/>
        </w:rPr>
        <w:t>krüptovarateenuse</w:t>
      </w:r>
      <w:proofErr w:type="spellEnd"/>
      <w:r w:rsidR="00AE39F1" w:rsidRPr="003331EF">
        <w:rPr>
          <w:rFonts w:eastAsia="Times New Roman"/>
          <w:bCs w:val="0"/>
          <w:iCs/>
          <w:spacing w:val="-5"/>
          <w:sz w:val="24"/>
          <w:lang w:eastAsia="en-US"/>
        </w:rPr>
        <w:t xml:space="preserve"> osutaja või varapõhise </w:t>
      </w:r>
      <w:proofErr w:type="spellStart"/>
      <w:r w:rsidR="00AE39F1" w:rsidRPr="003331EF">
        <w:rPr>
          <w:rFonts w:eastAsia="Times New Roman"/>
          <w:bCs w:val="0"/>
          <w:iCs/>
          <w:spacing w:val="-5"/>
          <w:sz w:val="24"/>
          <w:lang w:eastAsia="en-US"/>
        </w:rPr>
        <w:t>tokeni</w:t>
      </w:r>
      <w:proofErr w:type="spellEnd"/>
      <w:r w:rsidR="00AE39F1" w:rsidRPr="003331EF">
        <w:rPr>
          <w:rFonts w:eastAsia="Times New Roman"/>
          <w:bCs w:val="0"/>
          <w:iCs/>
          <w:spacing w:val="-5"/>
          <w:sz w:val="24"/>
          <w:lang w:eastAsia="en-US"/>
        </w:rPr>
        <w:t xml:space="preserve"> emitendi põhitegevust</w:t>
      </w:r>
    </w:p>
    <w:p w14:paraId="20E656EB" w14:textId="77777777" w:rsidR="001A4507" w:rsidRPr="003331EF" w:rsidRDefault="001A4507" w:rsidP="003331EF">
      <w:pPr>
        <w:pStyle w:val="Normal2"/>
        <w:rPr>
          <w:rFonts w:eastAsiaTheme="minorHAnsi"/>
          <w:i/>
          <w:iCs/>
          <w:sz w:val="24"/>
        </w:rPr>
      </w:pPr>
    </w:p>
    <w:p w14:paraId="3FA13F67" w14:textId="10802C6C" w:rsidR="001A4507" w:rsidRPr="003331EF" w:rsidRDefault="001A4507" w:rsidP="003331EF">
      <w:pPr>
        <w:shd w:val="clear" w:color="auto" w:fill="FFFFFF"/>
        <w:spacing w:before="0"/>
      </w:pPr>
      <w:r w:rsidRPr="003331EF">
        <w:rPr>
          <w:b/>
        </w:rPr>
        <w:t>Lõike 4</w:t>
      </w:r>
      <w:r w:rsidRPr="003331EF">
        <w:t xml:space="preserve"> </w:t>
      </w:r>
      <w:r w:rsidRPr="003331EF">
        <w:rPr>
          <w:iCs/>
          <w:spacing w:val="-5"/>
          <w:lang w:eastAsia="en-US"/>
        </w:rPr>
        <w:t xml:space="preserve">kohaselt jätkab </w:t>
      </w:r>
      <w:proofErr w:type="spellStart"/>
      <w:r w:rsidRPr="003331EF">
        <w:rPr>
          <w:iCs/>
          <w:spacing w:val="-5"/>
          <w:lang w:eastAsia="en-US"/>
        </w:rPr>
        <w:t>krüptovarateenuse</w:t>
      </w:r>
      <w:proofErr w:type="spellEnd"/>
      <w:r w:rsidRPr="003331EF">
        <w:rPr>
          <w:iCs/>
          <w:spacing w:val="-5"/>
          <w:lang w:eastAsia="en-US"/>
        </w:rPr>
        <w:t xml:space="preserve"> osutaja </w:t>
      </w:r>
      <w:r w:rsidR="00055A6E" w:rsidRPr="003331EF">
        <w:rPr>
          <w:iCs/>
          <w:spacing w:val="-5"/>
          <w:lang w:eastAsia="en-US"/>
        </w:rPr>
        <w:t xml:space="preserve">või varapõhise </w:t>
      </w:r>
      <w:proofErr w:type="spellStart"/>
      <w:r w:rsidR="00055A6E" w:rsidRPr="003331EF">
        <w:rPr>
          <w:iCs/>
          <w:spacing w:val="-5"/>
          <w:lang w:eastAsia="en-US"/>
        </w:rPr>
        <w:t>tokeni</w:t>
      </w:r>
      <w:proofErr w:type="spellEnd"/>
      <w:r w:rsidR="00055A6E" w:rsidRPr="003331EF">
        <w:rPr>
          <w:iCs/>
          <w:spacing w:val="-5"/>
          <w:lang w:eastAsia="en-US"/>
        </w:rPr>
        <w:t xml:space="preserve"> emitent </w:t>
      </w:r>
      <w:r w:rsidRPr="003331EF">
        <w:rPr>
          <w:iCs/>
          <w:spacing w:val="-5"/>
          <w:lang w:eastAsia="en-US"/>
        </w:rPr>
        <w:t xml:space="preserve">tegevust ühendava </w:t>
      </w:r>
      <w:r w:rsidR="000C4EC8" w:rsidRPr="003331EF">
        <w:rPr>
          <w:iCs/>
          <w:spacing w:val="-5"/>
          <w:lang w:eastAsia="en-US"/>
        </w:rPr>
        <w:t xml:space="preserve">ühingu </w:t>
      </w:r>
      <w:r w:rsidRPr="003331EF">
        <w:rPr>
          <w:iCs/>
          <w:spacing w:val="-5"/>
          <w:lang w:eastAsia="en-US"/>
        </w:rPr>
        <w:t>tegevusloa alusel, kui ühinemine toimub lõikes 3 sätestatud juhul. Tegemist on täiendusega eelnõus sisalduvasse ühinemise regulatsiooni, mille kohaselt on ühinevatel ühingutel õigus ühendaval ühingul kehtinud tegevusluba alles jätta.</w:t>
      </w:r>
      <w:r w:rsidRPr="003331EF">
        <w:t xml:space="preserve"> </w:t>
      </w:r>
    </w:p>
    <w:p w14:paraId="280A1794" w14:textId="77777777" w:rsidR="001A4507" w:rsidRPr="003331EF" w:rsidRDefault="001A4507" w:rsidP="003331EF">
      <w:pPr>
        <w:shd w:val="clear" w:color="auto" w:fill="FFFFFF"/>
        <w:spacing w:before="0"/>
        <w:rPr>
          <w:i/>
          <w:iCs/>
        </w:rPr>
      </w:pPr>
    </w:p>
    <w:p w14:paraId="26375558" w14:textId="7895AD67" w:rsidR="001A4507" w:rsidRPr="003331EF" w:rsidRDefault="001A4507" w:rsidP="003331EF">
      <w:pPr>
        <w:shd w:val="clear" w:color="auto" w:fill="FFFFFF"/>
        <w:spacing w:before="0"/>
        <w:rPr>
          <w:iCs/>
          <w:spacing w:val="-5"/>
          <w:lang w:eastAsia="en-US"/>
        </w:rPr>
      </w:pPr>
      <w:r w:rsidRPr="003331EF">
        <w:rPr>
          <w:b/>
        </w:rPr>
        <w:t xml:space="preserve">Lõike 5 </w:t>
      </w:r>
      <w:r w:rsidRPr="003331EF">
        <w:rPr>
          <w:iCs/>
          <w:spacing w:val="-5"/>
          <w:lang w:eastAsia="en-US"/>
        </w:rPr>
        <w:t xml:space="preserve">järgi tuleb ühinevatel ühingutel taotleda Finantsinspektsioonilt uus tegevusluba, kui ühinemise tulemusel asutatakse uus </w:t>
      </w:r>
      <w:proofErr w:type="spellStart"/>
      <w:r w:rsidRPr="003331EF">
        <w:rPr>
          <w:iCs/>
          <w:spacing w:val="-5"/>
          <w:lang w:eastAsia="en-US"/>
        </w:rPr>
        <w:t>krüptovarateenuse</w:t>
      </w:r>
      <w:proofErr w:type="spellEnd"/>
      <w:r w:rsidRPr="003331EF">
        <w:rPr>
          <w:iCs/>
          <w:spacing w:val="-5"/>
          <w:lang w:eastAsia="en-US"/>
        </w:rPr>
        <w:t xml:space="preserve"> osutaja</w:t>
      </w:r>
      <w:r w:rsidR="000C4EC8" w:rsidRPr="003331EF">
        <w:rPr>
          <w:iCs/>
          <w:spacing w:val="-5"/>
          <w:lang w:eastAsia="en-US"/>
        </w:rPr>
        <w:t xml:space="preserve"> või varapõhise </w:t>
      </w:r>
      <w:proofErr w:type="spellStart"/>
      <w:r w:rsidR="000C4EC8" w:rsidRPr="003331EF">
        <w:rPr>
          <w:iCs/>
          <w:spacing w:val="-5"/>
          <w:lang w:eastAsia="en-US"/>
        </w:rPr>
        <w:t>tokeni</w:t>
      </w:r>
      <w:proofErr w:type="spellEnd"/>
      <w:r w:rsidR="000C4EC8" w:rsidRPr="003331EF">
        <w:rPr>
          <w:iCs/>
          <w:spacing w:val="-5"/>
          <w:lang w:eastAsia="en-US"/>
        </w:rPr>
        <w:t xml:space="preserve"> emitent</w:t>
      </w:r>
      <w:r w:rsidRPr="003331EF">
        <w:rPr>
          <w:iCs/>
          <w:spacing w:val="-5"/>
          <w:lang w:eastAsia="en-US"/>
        </w:rPr>
        <w:t xml:space="preserve">.  Uue ühingu asutajateks on ühinevad ühingud. Seega, nimetatud sätte kohaselt, kui </w:t>
      </w:r>
      <w:proofErr w:type="spellStart"/>
      <w:r w:rsidRPr="003331EF">
        <w:rPr>
          <w:iCs/>
          <w:spacing w:val="-5"/>
          <w:lang w:eastAsia="en-US"/>
        </w:rPr>
        <w:t>krüptovarateenuse</w:t>
      </w:r>
      <w:proofErr w:type="spellEnd"/>
      <w:r w:rsidRPr="003331EF">
        <w:rPr>
          <w:iCs/>
          <w:spacing w:val="-5"/>
          <w:lang w:eastAsia="en-US"/>
        </w:rPr>
        <w:t xml:space="preserve"> osutaja</w:t>
      </w:r>
      <w:r w:rsidR="000C4EC8" w:rsidRPr="003331EF">
        <w:rPr>
          <w:iCs/>
          <w:spacing w:val="-5"/>
          <w:lang w:eastAsia="en-US"/>
        </w:rPr>
        <w:t xml:space="preserve">  või varapõhise </w:t>
      </w:r>
      <w:proofErr w:type="spellStart"/>
      <w:r w:rsidR="000C4EC8" w:rsidRPr="003331EF">
        <w:rPr>
          <w:iCs/>
          <w:spacing w:val="-5"/>
          <w:lang w:eastAsia="en-US"/>
        </w:rPr>
        <w:t>tokeni</w:t>
      </w:r>
      <w:proofErr w:type="spellEnd"/>
      <w:r w:rsidR="000C4EC8" w:rsidRPr="003331EF">
        <w:rPr>
          <w:iCs/>
          <w:spacing w:val="-5"/>
          <w:lang w:eastAsia="en-US"/>
        </w:rPr>
        <w:t xml:space="preserve"> emitent</w:t>
      </w:r>
      <w:r w:rsidRPr="003331EF">
        <w:rPr>
          <w:iCs/>
          <w:spacing w:val="-5"/>
          <w:lang w:eastAsia="en-US"/>
        </w:rPr>
        <w:t xml:space="preserve"> ühineb uue </w:t>
      </w:r>
      <w:r w:rsidR="00AC72FA" w:rsidRPr="003331EF">
        <w:rPr>
          <w:iCs/>
          <w:spacing w:val="-5"/>
          <w:lang w:eastAsia="en-US"/>
        </w:rPr>
        <w:t xml:space="preserve">ühingu </w:t>
      </w:r>
      <w:r w:rsidRPr="003331EF">
        <w:rPr>
          <w:iCs/>
          <w:spacing w:val="-5"/>
          <w:lang w:eastAsia="en-US"/>
        </w:rPr>
        <w:t>asutamise teel,</w:t>
      </w:r>
      <w:r w:rsidRPr="003331EF">
        <w:rPr>
          <w:lang w:val="x-none"/>
        </w:rPr>
        <w:t xml:space="preserve"> </w:t>
      </w:r>
      <w:r w:rsidRPr="003331EF">
        <w:rPr>
          <w:iCs/>
          <w:spacing w:val="-5"/>
          <w:lang w:eastAsia="en-US"/>
        </w:rPr>
        <w:t xml:space="preserve">peab ühinemise tulemusel asutatav </w:t>
      </w:r>
      <w:r w:rsidR="000C4EC8" w:rsidRPr="003331EF">
        <w:rPr>
          <w:iCs/>
          <w:spacing w:val="-5"/>
          <w:lang w:eastAsia="en-US"/>
        </w:rPr>
        <w:t>ühing</w:t>
      </w:r>
      <w:r w:rsidRPr="003331EF">
        <w:rPr>
          <w:iCs/>
          <w:spacing w:val="-5"/>
          <w:lang w:eastAsia="en-US"/>
        </w:rPr>
        <w:t xml:space="preserve"> taotlema tegevusloa </w:t>
      </w:r>
      <w:proofErr w:type="spellStart"/>
      <w:r w:rsidRPr="003331EF">
        <w:rPr>
          <w:iCs/>
          <w:spacing w:val="-5"/>
          <w:lang w:eastAsia="en-US"/>
        </w:rPr>
        <w:t>M</w:t>
      </w:r>
      <w:r w:rsidR="00A03096">
        <w:rPr>
          <w:iCs/>
          <w:spacing w:val="-5"/>
          <w:lang w:eastAsia="en-US"/>
        </w:rPr>
        <w:t>i</w:t>
      </w:r>
      <w:r w:rsidRPr="003331EF">
        <w:rPr>
          <w:iCs/>
          <w:spacing w:val="-5"/>
          <w:lang w:eastAsia="en-US"/>
        </w:rPr>
        <w:t>CA</w:t>
      </w:r>
      <w:proofErr w:type="spellEnd"/>
      <w:r w:rsidRPr="003331EF">
        <w:rPr>
          <w:iCs/>
          <w:spacing w:val="-5"/>
          <w:lang w:eastAsia="en-US"/>
        </w:rPr>
        <w:t xml:space="preserve"> määruses sätestatud korras. Sellise ühinemise käigus annavad ühinemisel osalevad ühingud oma vara, mille hulka loetakse ka kõik kohustused, üle uuele </w:t>
      </w:r>
      <w:r w:rsidRPr="003331EF">
        <w:rPr>
          <w:iCs/>
          <w:spacing w:val="-5"/>
          <w:lang w:eastAsia="en-US"/>
        </w:rPr>
        <w:lastRenderedPageBreak/>
        <w:t>ühingule, mis asutatakse ühinemise käigus. Ühinevad ühingud selle protsessi käigus lõppevad. Vt lisaks ÄS §</w:t>
      </w:r>
      <w:r w:rsidR="00AC72FA" w:rsidRPr="003331EF">
        <w:rPr>
          <w:iCs/>
          <w:spacing w:val="-5"/>
          <w:lang w:eastAsia="en-US"/>
        </w:rPr>
        <w:t>-i</w:t>
      </w:r>
      <w:r w:rsidRPr="003331EF">
        <w:rPr>
          <w:iCs/>
          <w:spacing w:val="-5"/>
          <w:lang w:eastAsia="en-US"/>
        </w:rPr>
        <w:t xml:space="preserve"> 405.</w:t>
      </w:r>
    </w:p>
    <w:p w14:paraId="176D432D" w14:textId="77777777" w:rsidR="0005390A" w:rsidRPr="003331EF" w:rsidRDefault="0005390A" w:rsidP="003331EF">
      <w:pPr>
        <w:shd w:val="clear" w:color="auto" w:fill="FFFFFF"/>
        <w:spacing w:before="0"/>
        <w:rPr>
          <w:iCs/>
          <w:spacing w:val="-5"/>
          <w:lang w:eastAsia="en-US"/>
        </w:rPr>
      </w:pPr>
    </w:p>
    <w:p w14:paraId="3A5B99EF" w14:textId="3D297FB8" w:rsidR="0005390A" w:rsidRPr="003331EF" w:rsidRDefault="0005390A" w:rsidP="003331EF">
      <w:pPr>
        <w:widowControl w:val="0"/>
        <w:suppressAutoHyphens/>
        <w:spacing w:before="0"/>
        <w:rPr>
          <w:iCs/>
          <w:spacing w:val="-5"/>
          <w:lang w:eastAsia="en-US"/>
        </w:rPr>
      </w:pPr>
      <w:bookmarkStart w:id="70" w:name="_Hlk149817321"/>
      <w:r w:rsidRPr="003331EF">
        <w:rPr>
          <w:b/>
          <w:bCs/>
          <w:iCs/>
          <w:spacing w:val="-5"/>
          <w:lang w:eastAsia="en-US"/>
        </w:rPr>
        <w:t>Lõiked 6 ja 7</w:t>
      </w:r>
      <w:r w:rsidRPr="003331EF">
        <w:rPr>
          <w:iCs/>
          <w:spacing w:val="-5"/>
          <w:lang w:eastAsia="en-US"/>
        </w:rPr>
        <w:t xml:space="preserve"> reguleerivad ühinemise korral Eesti </w:t>
      </w:r>
      <w:proofErr w:type="spellStart"/>
      <w:r w:rsidRPr="003331EF">
        <w:rPr>
          <w:iCs/>
          <w:spacing w:val="-5"/>
          <w:lang w:eastAsia="en-US"/>
        </w:rPr>
        <w:t>krüptovarateenuse</w:t>
      </w:r>
      <w:proofErr w:type="spellEnd"/>
      <w:r w:rsidRPr="003331EF">
        <w:rPr>
          <w:iCs/>
          <w:spacing w:val="-5"/>
          <w:lang w:eastAsia="en-US"/>
        </w:rPr>
        <w:t xml:space="preserve"> osutaja ja </w:t>
      </w:r>
      <w:r w:rsidR="00E16473" w:rsidRPr="003331EF">
        <w:rPr>
          <w:iCs/>
          <w:spacing w:val="-5"/>
          <w:lang w:eastAsia="en-US"/>
        </w:rPr>
        <w:t xml:space="preserve">Eesti </w:t>
      </w:r>
      <w:r w:rsidRPr="003331EF">
        <w:rPr>
          <w:iCs/>
          <w:spacing w:val="-5"/>
          <w:lang w:eastAsia="en-US"/>
        </w:rPr>
        <w:t xml:space="preserve">varapõhise </w:t>
      </w:r>
      <w:proofErr w:type="spellStart"/>
      <w:r w:rsidRPr="003331EF">
        <w:rPr>
          <w:iCs/>
          <w:spacing w:val="-5"/>
          <w:lang w:eastAsia="en-US"/>
        </w:rPr>
        <w:t>tokeni</w:t>
      </w:r>
      <w:proofErr w:type="spellEnd"/>
      <w:r w:rsidRPr="003331EF">
        <w:rPr>
          <w:iCs/>
          <w:spacing w:val="-5"/>
          <w:lang w:eastAsia="en-US"/>
        </w:rPr>
        <w:t xml:space="preserve"> emitendi tegevusloa kehtetuks tunnistamist. Nimelt teeb Finantsinspektsioon vastava </w:t>
      </w:r>
      <w:proofErr w:type="spellStart"/>
      <w:r w:rsidRPr="003331EF">
        <w:rPr>
          <w:iCs/>
          <w:spacing w:val="-5"/>
          <w:lang w:eastAsia="en-US"/>
        </w:rPr>
        <w:t>ostuse</w:t>
      </w:r>
      <w:proofErr w:type="spellEnd"/>
      <w:r w:rsidRPr="003331EF">
        <w:rPr>
          <w:iCs/>
          <w:spacing w:val="-5"/>
          <w:lang w:eastAsia="en-US"/>
        </w:rPr>
        <w:t xml:space="preserve"> samal aja, kui teeb otsuse ühinemisloa kohta. Lisaks täpsustatakse, et tegevusloa kehtetuks tunnistamise otsus ei jõustu enne uue </w:t>
      </w:r>
      <w:proofErr w:type="spellStart"/>
      <w:r w:rsidRPr="003331EF">
        <w:rPr>
          <w:iCs/>
          <w:spacing w:val="-5"/>
          <w:lang w:eastAsia="en-US"/>
        </w:rPr>
        <w:t>krüptovarateenuse</w:t>
      </w:r>
      <w:proofErr w:type="spellEnd"/>
      <w:r w:rsidRPr="003331EF">
        <w:rPr>
          <w:iCs/>
          <w:spacing w:val="-5"/>
          <w:lang w:eastAsia="en-US"/>
        </w:rPr>
        <w:t xml:space="preserve"> osutaja või varapõhise </w:t>
      </w:r>
      <w:proofErr w:type="spellStart"/>
      <w:r w:rsidRPr="003331EF">
        <w:rPr>
          <w:iCs/>
          <w:spacing w:val="-5"/>
          <w:lang w:eastAsia="en-US"/>
        </w:rPr>
        <w:t>tokeni</w:t>
      </w:r>
      <w:proofErr w:type="spellEnd"/>
      <w:r w:rsidRPr="003331EF">
        <w:rPr>
          <w:iCs/>
          <w:spacing w:val="-5"/>
          <w:lang w:eastAsia="en-US"/>
        </w:rPr>
        <w:t xml:space="preserve"> emitendi äriregistrisse kandmise päeva või enne ühinemiskande äriregistrisse tegemise päeva.</w:t>
      </w:r>
    </w:p>
    <w:bookmarkEnd w:id="70"/>
    <w:p w14:paraId="33D1DCDF" w14:textId="77777777" w:rsidR="001A4507" w:rsidRPr="003331EF" w:rsidRDefault="001A4507" w:rsidP="003331EF">
      <w:pPr>
        <w:shd w:val="clear" w:color="auto" w:fill="FFFFFF"/>
        <w:spacing w:before="0"/>
        <w:rPr>
          <w:i/>
          <w:iCs/>
        </w:rPr>
      </w:pPr>
    </w:p>
    <w:p w14:paraId="40E6BD7F" w14:textId="77777777" w:rsidR="00CF3280" w:rsidRPr="003331EF" w:rsidRDefault="00164B8D" w:rsidP="003331EF">
      <w:pPr>
        <w:spacing w:before="0"/>
        <w:rPr>
          <w:iCs/>
          <w:spacing w:val="-5"/>
          <w:lang w:eastAsia="en-US"/>
        </w:rPr>
      </w:pPr>
      <w:r w:rsidRPr="003331EF">
        <w:rPr>
          <w:b/>
        </w:rPr>
        <w:t>Paragrahv 2</w:t>
      </w:r>
      <w:r w:rsidR="00E16473" w:rsidRPr="003331EF">
        <w:rPr>
          <w:b/>
        </w:rPr>
        <w:t>1</w:t>
      </w:r>
      <w:r w:rsidRPr="003331EF">
        <w:rPr>
          <w:b/>
        </w:rPr>
        <w:t xml:space="preserve">. </w:t>
      </w:r>
      <w:r w:rsidRPr="003331EF">
        <w:rPr>
          <w:iCs/>
          <w:spacing w:val="-5"/>
          <w:lang w:eastAsia="en-US"/>
        </w:rPr>
        <w:t>Ü</w:t>
      </w:r>
      <w:r w:rsidR="001A4507" w:rsidRPr="003331EF">
        <w:rPr>
          <w:iCs/>
          <w:spacing w:val="-5"/>
          <w:lang w:eastAsia="en-US"/>
        </w:rPr>
        <w:t>hinemiseks</w:t>
      </w:r>
      <w:r w:rsidRPr="003331EF">
        <w:rPr>
          <w:iCs/>
          <w:spacing w:val="-5"/>
          <w:lang w:eastAsia="en-US"/>
        </w:rPr>
        <w:t xml:space="preserve"> on</w:t>
      </w:r>
      <w:r w:rsidR="001A4507" w:rsidRPr="003331EF">
        <w:rPr>
          <w:iCs/>
          <w:spacing w:val="-5"/>
          <w:lang w:eastAsia="en-US"/>
        </w:rPr>
        <w:t xml:space="preserve"> vajalik Finantsinspektsiooni luba </w:t>
      </w:r>
      <w:r w:rsidRPr="003331EF">
        <w:rPr>
          <w:iCs/>
          <w:spacing w:val="-5"/>
          <w:lang w:eastAsia="en-US"/>
        </w:rPr>
        <w:t>(</w:t>
      </w:r>
      <w:r w:rsidRPr="003331EF">
        <w:rPr>
          <w:b/>
          <w:bCs/>
          <w:iCs/>
          <w:spacing w:val="-5"/>
          <w:lang w:eastAsia="en-US"/>
        </w:rPr>
        <w:t>lõige 1</w:t>
      </w:r>
      <w:r w:rsidRPr="003331EF">
        <w:rPr>
          <w:iCs/>
          <w:spacing w:val="-5"/>
          <w:lang w:eastAsia="en-US"/>
        </w:rPr>
        <w:t>)</w:t>
      </w:r>
      <w:r w:rsidR="001A4507" w:rsidRPr="003331EF">
        <w:rPr>
          <w:iCs/>
          <w:spacing w:val="-5"/>
          <w:lang w:eastAsia="en-US"/>
        </w:rPr>
        <w:t xml:space="preserve">. </w:t>
      </w:r>
    </w:p>
    <w:p w14:paraId="00AFE3B7" w14:textId="77777777" w:rsidR="00CF3280" w:rsidRPr="003331EF" w:rsidRDefault="00CF3280" w:rsidP="003331EF">
      <w:pPr>
        <w:spacing w:before="0"/>
        <w:rPr>
          <w:iCs/>
          <w:spacing w:val="-5"/>
          <w:lang w:eastAsia="en-US"/>
        </w:rPr>
      </w:pPr>
    </w:p>
    <w:p w14:paraId="151330EE" w14:textId="54D9C125" w:rsidR="001A4507" w:rsidRPr="003331EF" w:rsidRDefault="00CF3280" w:rsidP="003331EF">
      <w:pPr>
        <w:spacing w:before="0"/>
      </w:pPr>
      <w:r w:rsidRPr="003331EF">
        <w:rPr>
          <w:iCs/>
          <w:spacing w:val="-5"/>
          <w:lang w:eastAsia="en-US"/>
        </w:rPr>
        <w:t xml:space="preserve">Sõltuvalt sellest, kas jätkatakse tegevust kehtiva tegevusloa alusel või taotletakse uus tegevusluba, esitab ühendav ühing või ühinevad ühingud ühiselt ühinemisloa taotluse koos vastavalt lõikes </w:t>
      </w:r>
      <w:r w:rsidR="00A83996" w:rsidRPr="003331EF">
        <w:t xml:space="preserve">2 </w:t>
      </w:r>
      <w:r w:rsidRPr="003331EF">
        <w:t>või</w:t>
      </w:r>
      <w:r w:rsidR="00790489" w:rsidRPr="003331EF">
        <w:t xml:space="preserve"> 3 </w:t>
      </w:r>
      <w:r w:rsidR="00A83996" w:rsidRPr="003331EF">
        <w:t>sätestatud andme</w:t>
      </w:r>
      <w:r w:rsidRPr="003331EF">
        <w:t>te</w:t>
      </w:r>
      <w:r w:rsidR="00A83996" w:rsidRPr="003331EF">
        <w:t xml:space="preserve"> ja dokumen</w:t>
      </w:r>
      <w:r w:rsidRPr="003331EF">
        <w:t>tidega</w:t>
      </w:r>
      <w:r w:rsidR="00A83996" w:rsidRPr="003331EF">
        <w:t xml:space="preserve">. </w:t>
      </w:r>
      <w:r w:rsidR="001A4507" w:rsidRPr="003331EF">
        <w:rPr>
          <w:iCs/>
          <w:spacing w:val="-5"/>
          <w:lang w:eastAsia="en-US"/>
        </w:rPr>
        <w:t xml:space="preserve">Finantsinspektsioonile </w:t>
      </w:r>
      <w:r w:rsidR="00A83996" w:rsidRPr="003331EF">
        <w:rPr>
          <w:iCs/>
          <w:spacing w:val="-5"/>
          <w:lang w:eastAsia="en-US"/>
        </w:rPr>
        <w:t xml:space="preserve">tuleb esitada </w:t>
      </w:r>
      <w:r w:rsidR="001A4507" w:rsidRPr="003331EF">
        <w:rPr>
          <w:iCs/>
          <w:spacing w:val="-5"/>
          <w:lang w:eastAsia="en-US"/>
        </w:rPr>
        <w:t>ühinemisleping (</w:t>
      </w:r>
      <w:r w:rsidR="00790489" w:rsidRPr="003331EF">
        <w:rPr>
          <w:iCs/>
          <w:spacing w:val="-5"/>
          <w:lang w:eastAsia="en-US"/>
        </w:rPr>
        <w:t xml:space="preserve">lõike 2 </w:t>
      </w:r>
      <w:r w:rsidR="001A4507" w:rsidRPr="003331EF">
        <w:rPr>
          <w:iCs/>
          <w:spacing w:val="-5"/>
          <w:lang w:eastAsia="en-US"/>
        </w:rPr>
        <w:t>punkt 1</w:t>
      </w:r>
      <w:r w:rsidR="00790489" w:rsidRPr="003331EF">
        <w:rPr>
          <w:iCs/>
          <w:spacing w:val="-5"/>
          <w:lang w:eastAsia="en-US"/>
        </w:rPr>
        <w:t xml:space="preserve"> ja lõike 3 punkt 1</w:t>
      </w:r>
      <w:r w:rsidR="001A4507" w:rsidRPr="003331EF">
        <w:rPr>
          <w:iCs/>
          <w:spacing w:val="-5"/>
          <w:lang w:eastAsia="en-US"/>
        </w:rPr>
        <w:t xml:space="preserve">) ja </w:t>
      </w:r>
      <w:r w:rsidR="00A83996" w:rsidRPr="003331EF">
        <w:rPr>
          <w:iCs/>
          <w:spacing w:val="-5"/>
          <w:lang w:eastAsia="en-US"/>
        </w:rPr>
        <w:t>ühinemisaruanne</w:t>
      </w:r>
      <w:r w:rsidR="00A02AD4" w:rsidRPr="003331EF">
        <w:rPr>
          <w:iCs/>
          <w:spacing w:val="-5"/>
          <w:lang w:eastAsia="en-US"/>
        </w:rPr>
        <w:t xml:space="preserve"> </w:t>
      </w:r>
      <w:r w:rsidR="001A4507" w:rsidRPr="003331EF">
        <w:rPr>
          <w:iCs/>
          <w:spacing w:val="-5"/>
          <w:lang w:eastAsia="en-US"/>
        </w:rPr>
        <w:t>(</w:t>
      </w:r>
      <w:r w:rsidR="00790489" w:rsidRPr="003331EF">
        <w:rPr>
          <w:iCs/>
          <w:spacing w:val="-5"/>
          <w:lang w:eastAsia="en-US"/>
        </w:rPr>
        <w:t xml:space="preserve">lõike 2 </w:t>
      </w:r>
      <w:r w:rsidR="001A4507" w:rsidRPr="003331EF">
        <w:rPr>
          <w:iCs/>
          <w:spacing w:val="-5"/>
          <w:lang w:eastAsia="en-US"/>
        </w:rPr>
        <w:t>punkt 2</w:t>
      </w:r>
      <w:r w:rsidR="00790489" w:rsidRPr="003331EF">
        <w:rPr>
          <w:iCs/>
          <w:spacing w:val="-5"/>
          <w:lang w:eastAsia="en-US"/>
        </w:rPr>
        <w:t xml:space="preserve"> ja lõike 3 punkt 2</w:t>
      </w:r>
      <w:r w:rsidR="001A4507" w:rsidRPr="003331EF">
        <w:rPr>
          <w:iCs/>
          <w:spacing w:val="-5"/>
          <w:lang w:eastAsia="en-US"/>
        </w:rPr>
        <w:t xml:space="preserve">). Ühinemisleping peab vastama äriseadustikus ette nähtud nõuetele (vt ÄS § 392), mh peab see olema sõlmitud notariaalselt tõestatud vormis. Vastasel juhul ehk kui vorminõuet ei järgita, on leping </w:t>
      </w:r>
      <w:proofErr w:type="spellStart"/>
      <w:r w:rsidR="001A4507" w:rsidRPr="003331EF">
        <w:rPr>
          <w:iCs/>
          <w:spacing w:val="-5"/>
          <w:lang w:eastAsia="en-US"/>
        </w:rPr>
        <w:t>TsÜS</w:t>
      </w:r>
      <w:proofErr w:type="spellEnd"/>
      <w:r w:rsidR="001A4507" w:rsidRPr="003331EF">
        <w:rPr>
          <w:iCs/>
          <w:spacing w:val="-5"/>
          <w:lang w:eastAsia="en-US"/>
        </w:rPr>
        <w:t xml:space="preserve"> § 83 lg 1 kohaselt tühine. Edasilükkava või </w:t>
      </w:r>
      <w:proofErr w:type="spellStart"/>
      <w:r w:rsidR="001A4507" w:rsidRPr="003331EF">
        <w:rPr>
          <w:iCs/>
          <w:spacing w:val="-5"/>
          <w:lang w:eastAsia="en-US"/>
        </w:rPr>
        <w:t>äramuutva</w:t>
      </w:r>
      <w:proofErr w:type="spellEnd"/>
      <w:r w:rsidR="001A4507" w:rsidRPr="003331EF">
        <w:rPr>
          <w:iCs/>
          <w:spacing w:val="-5"/>
          <w:lang w:eastAsia="en-US"/>
        </w:rPr>
        <w:t xml:space="preserve"> tingimuse keelu kehtestab </w:t>
      </w:r>
      <w:r w:rsidR="001E05BF" w:rsidRPr="003331EF">
        <w:rPr>
          <w:iCs/>
          <w:spacing w:val="-5"/>
          <w:lang w:eastAsia="en-US"/>
        </w:rPr>
        <w:t xml:space="preserve">lõige </w:t>
      </w:r>
      <w:r w:rsidRPr="003331EF">
        <w:rPr>
          <w:iCs/>
          <w:spacing w:val="-5"/>
          <w:lang w:eastAsia="en-US"/>
        </w:rPr>
        <w:t>4</w:t>
      </w:r>
      <w:r w:rsidR="001A4507" w:rsidRPr="003331EF">
        <w:rPr>
          <w:iCs/>
          <w:spacing w:val="-5"/>
          <w:lang w:eastAsia="en-US"/>
        </w:rPr>
        <w:t>.</w:t>
      </w:r>
    </w:p>
    <w:p w14:paraId="1C48CCBE" w14:textId="77777777" w:rsidR="001A4507" w:rsidRPr="003331EF" w:rsidRDefault="001A4507" w:rsidP="003331EF">
      <w:pPr>
        <w:spacing w:before="0"/>
        <w:rPr>
          <w:b/>
          <w:i/>
          <w:iCs/>
        </w:rPr>
      </w:pPr>
    </w:p>
    <w:p w14:paraId="5F956849" w14:textId="34980835" w:rsidR="0089014A" w:rsidRPr="003331EF" w:rsidRDefault="00790489" w:rsidP="003331EF">
      <w:pPr>
        <w:spacing w:before="0"/>
        <w:rPr>
          <w:iCs/>
          <w:spacing w:val="-5"/>
          <w:lang w:eastAsia="en-US"/>
        </w:rPr>
      </w:pPr>
      <w:r w:rsidRPr="003331EF">
        <w:rPr>
          <w:iCs/>
          <w:spacing w:val="-5"/>
          <w:lang w:eastAsia="en-US"/>
        </w:rPr>
        <w:t>Lõigete 2 ja 3 p</w:t>
      </w:r>
      <w:r w:rsidR="001A4507" w:rsidRPr="003331EF">
        <w:rPr>
          <w:iCs/>
          <w:spacing w:val="-5"/>
          <w:lang w:eastAsia="en-US"/>
        </w:rPr>
        <w:t xml:space="preserve">unkti 3 kohaselt tuleb Finantsinspektsioonile esitada ka ühinemisotsus, kui selle tegemine on nõutav. Ühinemisotsus peab olema kirjalik. Täiendavad nõuded tulenevad ÄS §-ist 397. </w:t>
      </w:r>
      <w:r w:rsidR="0089014A" w:rsidRPr="003331EF">
        <w:rPr>
          <w:iCs/>
          <w:spacing w:val="-5"/>
          <w:lang w:eastAsia="en-US"/>
        </w:rPr>
        <w:t>ÄS § 396  kohaselt koostab audiitor ühinemislepingu kontrolli tulemuste kohta kirjaliku aruande ning ka see tuleb Finantsinspektsioonile esitada.</w:t>
      </w:r>
      <w:r w:rsidR="0089014A" w:rsidRPr="003331EF">
        <w:rPr>
          <w:rFonts w:ascii="Arial" w:hAnsi="Arial" w:cs="Arial"/>
          <w:sz w:val="21"/>
          <w:szCs w:val="21"/>
          <w:shd w:val="clear" w:color="auto" w:fill="FFFFFF"/>
        </w:rPr>
        <w:t xml:space="preserve"> </w:t>
      </w:r>
      <w:r w:rsidR="001A4507" w:rsidRPr="003331EF">
        <w:rPr>
          <w:iCs/>
          <w:spacing w:val="-5"/>
          <w:lang w:eastAsia="en-US"/>
        </w:rPr>
        <w:t>(</w:t>
      </w:r>
      <w:r w:rsidRPr="003331EF">
        <w:rPr>
          <w:iCs/>
          <w:spacing w:val="-5"/>
          <w:lang w:eastAsia="en-US"/>
        </w:rPr>
        <w:t xml:space="preserve">lõigete 2 ja 3 </w:t>
      </w:r>
      <w:r w:rsidR="001A4507" w:rsidRPr="003331EF">
        <w:rPr>
          <w:iCs/>
          <w:spacing w:val="-5"/>
          <w:lang w:eastAsia="en-US"/>
        </w:rPr>
        <w:t xml:space="preserve">punkt 4). </w:t>
      </w:r>
    </w:p>
    <w:p w14:paraId="0162DE98" w14:textId="77777777" w:rsidR="0089014A" w:rsidRPr="003331EF" w:rsidRDefault="0089014A" w:rsidP="003331EF">
      <w:pPr>
        <w:spacing w:before="0"/>
        <w:rPr>
          <w:iCs/>
          <w:spacing w:val="-5"/>
          <w:lang w:eastAsia="en-US"/>
        </w:rPr>
      </w:pPr>
    </w:p>
    <w:p w14:paraId="2FE343EE" w14:textId="398BDEB1" w:rsidR="001A4507" w:rsidRPr="003331EF" w:rsidRDefault="001A4507" w:rsidP="003331EF">
      <w:pPr>
        <w:spacing w:before="0"/>
        <w:rPr>
          <w:iCs/>
          <w:spacing w:val="-5"/>
          <w:lang w:eastAsia="en-US"/>
        </w:rPr>
      </w:pPr>
      <w:r w:rsidRPr="003331EF">
        <w:rPr>
          <w:iCs/>
          <w:spacing w:val="-5"/>
          <w:lang w:eastAsia="en-US"/>
        </w:rPr>
        <w:t>Lisaks tuleb esitada andmed olulist osalust omavate isikute kohta (</w:t>
      </w:r>
      <w:r w:rsidR="00790489" w:rsidRPr="003331EF">
        <w:rPr>
          <w:iCs/>
          <w:spacing w:val="-5"/>
          <w:lang w:eastAsia="en-US"/>
        </w:rPr>
        <w:t xml:space="preserve">lõike 2 </w:t>
      </w:r>
      <w:r w:rsidRPr="003331EF">
        <w:rPr>
          <w:iCs/>
          <w:spacing w:val="-5"/>
          <w:lang w:eastAsia="en-US"/>
        </w:rPr>
        <w:t xml:space="preserve">punkt </w:t>
      </w:r>
      <w:r w:rsidR="00D15E5C">
        <w:rPr>
          <w:iCs/>
          <w:spacing w:val="-5"/>
          <w:lang w:eastAsia="en-US"/>
        </w:rPr>
        <w:t>5</w:t>
      </w:r>
      <w:r w:rsidRPr="003331EF">
        <w:rPr>
          <w:iCs/>
          <w:spacing w:val="-5"/>
          <w:lang w:eastAsia="en-US"/>
        </w:rPr>
        <w:t xml:space="preserve">) ja andmed äriühingute kohta, milles </w:t>
      </w:r>
      <w:proofErr w:type="spellStart"/>
      <w:r w:rsidR="000C4EC8" w:rsidRPr="003331EF">
        <w:rPr>
          <w:iCs/>
          <w:spacing w:val="-5"/>
          <w:lang w:eastAsia="en-US"/>
        </w:rPr>
        <w:t>krüptovara</w:t>
      </w:r>
      <w:r w:rsidRPr="003331EF">
        <w:rPr>
          <w:iCs/>
          <w:spacing w:val="-5"/>
          <w:lang w:eastAsia="en-US"/>
        </w:rPr>
        <w:t>teenuse</w:t>
      </w:r>
      <w:proofErr w:type="spellEnd"/>
      <w:r w:rsidR="000C4EC8" w:rsidRPr="003331EF">
        <w:rPr>
          <w:iCs/>
          <w:spacing w:val="-5"/>
          <w:lang w:eastAsia="en-US"/>
        </w:rPr>
        <w:t xml:space="preserve"> </w:t>
      </w:r>
      <w:r w:rsidRPr="003331EF">
        <w:rPr>
          <w:iCs/>
          <w:spacing w:val="-5"/>
          <w:lang w:eastAsia="en-US"/>
        </w:rPr>
        <w:t xml:space="preserve">osutaja </w:t>
      </w:r>
      <w:r w:rsidR="000C4EC8" w:rsidRPr="003331EF">
        <w:rPr>
          <w:iCs/>
          <w:spacing w:val="-5"/>
          <w:lang w:eastAsia="en-US"/>
        </w:rPr>
        <w:t xml:space="preserve">või varapõhise </w:t>
      </w:r>
      <w:proofErr w:type="spellStart"/>
      <w:r w:rsidR="000C4EC8" w:rsidRPr="003331EF">
        <w:rPr>
          <w:iCs/>
          <w:spacing w:val="-5"/>
          <w:lang w:eastAsia="en-US"/>
        </w:rPr>
        <w:t>tokeni</w:t>
      </w:r>
      <w:proofErr w:type="spellEnd"/>
      <w:r w:rsidR="000C4EC8" w:rsidRPr="003331EF">
        <w:rPr>
          <w:iCs/>
          <w:spacing w:val="-5"/>
          <w:lang w:eastAsia="en-US"/>
        </w:rPr>
        <w:t xml:space="preserve"> emitendi </w:t>
      </w:r>
      <w:r w:rsidRPr="003331EF">
        <w:rPr>
          <w:iCs/>
          <w:spacing w:val="-5"/>
          <w:lang w:eastAsia="en-US"/>
        </w:rPr>
        <w:t xml:space="preserve">või </w:t>
      </w:r>
      <w:r w:rsidR="000C4EC8" w:rsidRPr="003331EF">
        <w:rPr>
          <w:iCs/>
          <w:spacing w:val="-5"/>
          <w:lang w:eastAsia="en-US"/>
        </w:rPr>
        <w:t xml:space="preserve">nende </w:t>
      </w:r>
      <w:r w:rsidRPr="003331EF">
        <w:rPr>
          <w:iCs/>
          <w:spacing w:val="-5"/>
          <w:lang w:eastAsia="en-US"/>
        </w:rPr>
        <w:t xml:space="preserve">juhi osalus on suurem kui 20 protsenti, kusjuures need andmed peavad sisaldama aktsia- või osakapitali suurust, tegevusalade loetelu ning </w:t>
      </w:r>
      <w:proofErr w:type="spellStart"/>
      <w:r w:rsidR="000C4EC8" w:rsidRPr="003331EF">
        <w:rPr>
          <w:iCs/>
          <w:spacing w:val="-5"/>
          <w:lang w:eastAsia="en-US"/>
        </w:rPr>
        <w:t>krüptovara</w:t>
      </w:r>
      <w:r w:rsidRPr="003331EF">
        <w:rPr>
          <w:iCs/>
          <w:spacing w:val="-5"/>
          <w:lang w:eastAsia="en-US"/>
        </w:rPr>
        <w:t>teenuse</w:t>
      </w:r>
      <w:proofErr w:type="spellEnd"/>
      <w:r w:rsidR="000C4EC8" w:rsidRPr="003331EF">
        <w:rPr>
          <w:iCs/>
          <w:spacing w:val="-5"/>
          <w:lang w:eastAsia="en-US"/>
        </w:rPr>
        <w:t xml:space="preserve"> </w:t>
      </w:r>
      <w:r w:rsidRPr="003331EF">
        <w:rPr>
          <w:iCs/>
          <w:spacing w:val="-5"/>
          <w:lang w:eastAsia="en-US"/>
        </w:rPr>
        <w:t xml:space="preserve">osutaja </w:t>
      </w:r>
      <w:r w:rsidR="000C4EC8" w:rsidRPr="003331EF">
        <w:rPr>
          <w:iCs/>
          <w:spacing w:val="-5"/>
          <w:lang w:eastAsia="en-US"/>
        </w:rPr>
        <w:t xml:space="preserve">või varapõhise </w:t>
      </w:r>
      <w:proofErr w:type="spellStart"/>
      <w:r w:rsidR="000C4EC8" w:rsidRPr="003331EF">
        <w:rPr>
          <w:iCs/>
          <w:spacing w:val="-5"/>
          <w:lang w:eastAsia="en-US"/>
        </w:rPr>
        <w:t>tokeni</w:t>
      </w:r>
      <w:proofErr w:type="spellEnd"/>
      <w:r w:rsidR="000C4EC8" w:rsidRPr="003331EF">
        <w:rPr>
          <w:iCs/>
          <w:spacing w:val="-5"/>
          <w:lang w:eastAsia="en-US"/>
        </w:rPr>
        <w:t xml:space="preserve"> emitendi </w:t>
      </w:r>
      <w:r w:rsidRPr="003331EF">
        <w:rPr>
          <w:iCs/>
          <w:spacing w:val="-5"/>
          <w:lang w:eastAsia="en-US"/>
        </w:rPr>
        <w:t>ja iga juhi osaluse suurust (</w:t>
      </w:r>
      <w:r w:rsidR="00790489" w:rsidRPr="003331EF">
        <w:rPr>
          <w:iCs/>
          <w:spacing w:val="-5"/>
          <w:lang w:eastAsia="en-US"/>
        </w:rPr>
        <w:t xml:space="preserve">lõike 2 </w:t>
      </w:r>
      <w:r w:rsidRPr="003331EF">
        <w:rPr>
          <w:iCs/>
          <w:spacing w:val="-5"/>
          <w:lang w:eastAsia="en-US"/>
        </w:rPr>
        <w:t xml:space="preserve">punkt </w:t>
      </w:r>
      <w:r w:rsidR="00D15E5C">
        <w:rPr>
          <w:iCs/>
          <w:spacing w:val="-5"/>
          <w:lang w:eastAsia="en-US"/>
        </w:rPr>
        <w:t>6</w:t>
      </w:r>
      <w:r w:rsidRPr="003331EF">
        <w:rPr>
          <w:iCs/>
          <w:spacing w:val="-5"/>
          <w:lang w:eastAsia="en-US"/>
        </w:rPr>
        <w:t xml:space="preserve">). Kõnealuses loataotluses tuleb esitada ka </w:t>
      </w:r>
      <w:r w:rsidR="000C4EC8" w:rsidRPr="003331EF">
        <w:rPr>
          <w:iCs/>
          <w:spacing w:val="-5"/>
          <w:lang w:eastAsia="en-US"/>
        </w:rPr>
        <w:t xml:space="preserve">tegevuskava </w:t>
      </w:r>
      <w:r w:rsidRPr="003331EF">
        <w:rPr>
          <w:iCs/>
          <w:spacing w:val="-5"/>
          <w:lang w:eastAsia="en-US"/>
        </w:rPr>
        <w:t>ühinemisele järgneva kolme aasta kohta (</w:t>
      </w:r>
      <w:r w:rsidR="00790489" w:rsidRPr="003331EF">
        <w:rPr>
          <w:iCs/>
          <w:spacing w:val="-5"/>
          <w:lang w:eastAsia="en-US"/>
        </w:rPr>
        <w:t xml:space="preserve">lõike 3 </w:t>
      </w:r>
      <w:r w:rsidRPr="003331EF">
        <w:rPr>
          <w:iCs/>
          <w:spacing w:val="-5"/>
          <w:lang w:eastAsia="en-US"/>
        </w:rPr>
        <w:t xml:space="preserve">punkt </w:t>
      </w:r>
      <w:r w:rsidR="00D15E5C">
        <w:rPr>
          <w:iCs/>
          <w:spacing w:val="-5"/>
          <w:lang w:eastAsia="en-US"/>
        </w:rPr>
        <w:t>7</w:t>
      </w:r>
      <w:r w:rsidRPr="003331EF">
        <w:rPr>
          <w:iCs/>
          <w:spacing w:val="-5"/>
          <w:lang w:eastAsia="en-US"/>
        </w:rPr>
        <w:t>)</w:t>
      </w:r>
      <w:r w:rsidR="000C4EC8" w:rsidRPr="003331EF">
        <w:rPr>
          <w:iCs/>
          <w:spacing w:val="-5"/>
          <w:lang w:eastAsia="en-US"/>
        </w:rPr>
        <w:t>.</w:t>
      </w:r>
      <w:r w:rsidRPr="003331EF">
        <w:rPr>
          <w:iCs/>
          <w:spacing w:val="-5"/>
          <w:lang w:eastAsia="en-US"/>
        </w:rPr>
        <w:t xml:space="preserve"> </w:t>
      </w:r>
    </w:p>
    <w:p w14:paraId="40297B6E" w14:textId="77777777" w:rsidR="00790489" w:rsidRPr="003331EF" w:rsidRDefault="00790489" w:rsidP="003331EF">
      <w:pPr>
        <w:spacing w:before="0"/>
        <w:rPr>
          <w:iCs/>
          <w:spacing w:val="-5"/>
          <w:lang w:eastAsia="en-US"/>
        </w:rPr>
      </w:pPr>
    </w:p>
    <w:p w14:paraId="49A5EF05" w14:textId="0544396B" w:rsidR="00790489" w:rsidRPr="003331EF" w:rsidRDefault="00790489" w:rsidP="003331EF">
      <w:pPr>
        <w:spacing w:before="0"/>
        <w:rPr>
          <w:iCs/>
          <w:spacing w:val="-5"/>
          <w:lang w:eastAsia="en-US"/>
        </w:rPr>
      </w:pPr>
      <w:r w:rsidRPr="003331EF">
        <w:rPr>
          <w:iCs/>
          <w:spacing w:val="-5"/>
          <w:lang w:eastAsia="en-US"/>
        </w:rPr>
        <w:t xml:space="preserve">Kui ühinetakse uue ühingu asutamise teel, tuleb </w:t>
      </w:r>
      <w:proofErr w:type="spellStart"/>
      <w:r w:rsidRPr="003331EF">
        <w:rPr>
          <w:iCs/>
          <w:spacing w:val="-5"/>
          <w:lang w:eastAsia="en-US"/>
        </w:rPr>
        <w:t>Finantsinspektisoonile</w:t>
      </w:r>
      <w:proofErr w:type="spellEnd"/>
      <w:r w:rsidRPr="003331EF">
        <w:rPr>
          <w:iCs/>
          <w:spacing w:val="-5"/>
          <w:lang w:eastAsia="en-US"/>
        </w:rPr>
        <w:t xml:space="preserve"> esitada ühtlasi tegevusloa taotlus vastavalt </w:t>
      </w:r>
      <w:proofErr w:type="spellStart"/>
      <w:r w:rsidRPr="003331EF">
        <w:rPr>
          <w:iCs/>
          <w:spacing w:val="-5"/>
          <w:lang w:eastAsia="en-US"/>
        </w:rPr>
        <w:t>MiCA</w:t>
      </w:r>
      <w:proofErr w:type="spellEnd"/>
      <w:r w:rsidRPr="003331EF">
        <w:rPr>
          <w:iCs/>
          <w:spacing w:val="-5"/>
          <w:lang w:eastAsia="en-US"/>
        </w:rPr>
        <w:t xml:space="preserve"> määruse artiklile 18 varapõhise </w:t>
      </w:r>
      <w:proofErr w:type="spellStart"/>
      <w:r w:rsidRPr="003331EF">
        <w:rPr>
          <w:iCs/>
          <w:spacing w:val="-5"/>
          <w:lang w:eastAsia="en-US"/>
        </w:rPr>
        <w:t>tokeni</w:t>
      </w:r>
      <w:proofErr w:type="spellEnd"/>
      <w:r w:rsidRPr="003331EF">
        <w:rPr>
          <w:iCs/>
          <w:spacing w:val="-5"/>
          <w:lang w:eastAsia="en-US"/>
        </w:rPr>
        <w:t xml:space="preserve"> emitendi tegevusloa saamiseks või vastavalt artiklile 62 </w:t>
      </w:r>
      <w:proofErr w:type="spellStart"/>
      <w:r w:rsidRPr="003331EF">
        <w:rPr>
          <w:iCs/>
          <w:spacing w:val="-5"/>
          <w:lang w:eastAsia="en-US"/>
        </w:rPr>
        <w:t>krüptovarateenuse</w:t>
      </w:r>
      <w:proofErr w:type="spellEnd"/>
      <w:r w:rsidRPr="003331EF">
        <w:rPr>
          <w:iCs/>
          <w:spacing w:val="-5"/>
          <w:lang w:eastAsia="en-US"/>
        </w:rPr>
        <w:t xml:space="preserve"> osutaja tegevusloa saamiseks.</w:t>
      </w:r>
      <w:r w:rsidR="008B5BD0" w:rsidRPr="003331EF">
        <w:rPr>
          <w:iCs/>
          <w:spacing w:val="-5"/>
          <w:lang w:eastAsia="en-US"/>
        </w:rPr>
        <w:t xml:space="preserve"> Analoogne lähenemine on ka </w:t>
      </w:r>
      <w:proofErr w:type="spellStart"/>
      <w:r w:rsidR="008B5BD0" w:rsidRPr="003331EF">
        <w:rPr>
          <w:iCs/>
          <w:spacing w:val="-5"/>
          <w:lang w:eastAsia="en-US"/>
        </w:rPr>
        <w:t>MERAS-es</w:t>
      </w:r>
      <w:proofErr w:type="spellEnd"/>
      <w:r w:rsidR="008B5BD0" w:rsidRPr="003331EF">
        <w:rPr>
          <w:iCs/>
          <w:spacing w:val="-5"/>
          <w:lang w:eastAsia="en-US"/>
        </w:rPr>
        <w:t>, kus uue makseasutuse või uue e-raha asutamise korral tuleb koos ühinemisloa taotlusega esitada ka uue ühingu tegevusloa taotlus.</w:t>
      </w:r>
    </w:p>
    <w:p w14:paraId="3CB1D010" w14:textId="77777777" w:rsidR="001A4507" w:rsidRPr="003331EF" w:rsidRDefault="001A4507" w:rsidP="003331EF">
      <w:pPr>
        <w:spacing w:before="0"/>
        <w:rPr>
          <w:i/>
          <w:iCs/>
        </w:rPr>
      </w:pPr>
    </w:p>
    <w:p w14:paraId="0C87BE0C" w14:textId="33253C82" w:rsidR="001A4507" w:rsidRPr="003331EF" w:rsidRDefault="001A4507" w:rsidP="003331EF">
      <w:pPr>
        <w:spacing w:before="0"/>
        <w:rPr>
          <w:iCs/>
          <w:spacing w:val="-5"/>
          <w:lang w:eastAsia="en-US"/>
        </w:rPr>
      </w:pPr>
      <w:r w:rsidRPr="003331EF">
        <w:rPr>
          <w:b/>
        </w:rPr>
        <w:t xml:space="preserve">Lõike </w:t>
      </w:r>
      <w:r w:rsidR="00790489" w:rsidRPr="003331EF">
        <w:rPr>
          <w:b/>
          <w:bCs/>
        </w:rPr>
        <w:t>4</w:t>
      </w:r>
      <w:r w:rsidR="00164B8D" w:rsidRPr="003331EF">
        <w:t xml:space="preserve"> </w:t>
      </w:r>
      <w:r w:rsidRPr="003331EF">
        <w:rPr>
          <w:iCs/>
          <w:spacing w:val="-5"/>
          <w:lang w:eastAsia="en-US"/>
        </w:rPr>
        <w:t xml:space="preserve">kohaselt ei tohi ühinemisleping olla sõlmitud edasilükkava või </w:t>
      </w:r>
      <w:proofErr w:type="spellStart"/>
      <w:r w:rsidRPr="003331EF">
        <w:rPr>
          <w:iCs/>
          <w:spacing w:val="-5"/>
          <w:lang w:eastAsia="en-US"/>
        </w:rPr>
        <w:t>äramuutva</w:t>
      </w:r>
      <w:proofErr w:type="spellEnd"/>
      <w:r w:rsidRPr="003331EF">
        <w:rPr>
          <w:iCs/>
          <w:spacing w:val="-5"/>
          <w:lang w:eastAsia="en-US"/>
        </w:rPr>
        <w:t xml:space="preserve"> tingimusega. Selles võib sätestada üksnes tingimuse, mille kohaselt ühinemisleping jõustub pärast Finantsinspektsiooni poolt ühinemisloa andmist.</w:t>
      </w:r>
    </w:p>
    <w:p w14:paraId="5E605748" w14:textId="77777777" w:rsidR="00790489" w:rsidRPr="003331EF" w:rsidRDefault="00790489" w:rsidP="003331EF">
      <w:pPr>
        <w:spacing w:before="0"/>
        <w:rPr>
          <w:iCs/>
          <w:spacing w:val="-5"/>
          <w:lang w:eastAsia="en-US"/>
        </w:rPr>
      </w:pPr>
    </w:p>
    <w:p w14:paraId="4D2CA649" w14:textId="761CCF40" w:rsidR="00CF3280" w:rsidRPr="003331EF" w:rsidRDefault="00790489" w:rsidP="003331EF">
      <w:pPr>
        <w:spacing w:before="0"/>
      </w:pPr>
      <w:r w:rsidRPr="003331EF">
        <w:rPr>
          <w:b/>
          <w:bCs/>
          <w:iCs/>
          <w:spacing w:val="-5"/>
          <w:lang w:eastAsia="en-US"/>
        </w:rPr>
        <w:t>Lõige 5</w:t>
      </w:r>
      <w:r w:rsidR="00D969AD" w:rsidRPr="003331EF">
        <w:rPr>
          <w:iCs/>
          <w:spacing w:val="-5"/>
          <w:lang w:eastAsia="en-US"/>
        </w:rPr>
        <w:t xml:space="preserve"> näeb ette, et juhul kui Finantsinspektsioonile ei ole esitatud kõiki lõigete</w:t>
      </w:r>
      <w:r w:rsidR="000D487C" w:rsidRPr="003331EF">
        <w:rPr>
          <w:iCs/>
          <w:spacing w:val="-5"/>
          <w:lang w:eastAsia="en-US"/>
        </w:rPr>
        <w:t>s</w:t>
      </w:r>
      <w:r w:rsidR="00D969AD" w:rsidRPr="003331EF">
        <w:rPr>
          <w:iCs/>
          <w:spacing w:val="-5"/>
          <w:lang w:eastAsia="en-US"/>
        </w:rPr>
        <w:t xml:space="preserve"> 2 või 3 osutatud andmeid ja dokumente või need on ebaõiged, eksitavad või mittetäielikud või ei ole nõuetekohaselt vormistatud, on Finantsinspektsioonil õigus nõuda puuduste kõrvaldamist ning selleks määrab Finantsinspektsioon ka tähtaja, mille jooksul tuleks vastavad puudused kõrvaldada. Samuti on Finantsinspektsioonil õigus nõuda esitatud andmete täpsustamiseks ja kontrollimiseks lisaandmeid ja -dokumente</w:t>
      </w:r>
      <w:r w:rsidR="00471E22" w:rsidRPr="003331EF">
        <w:t xml:space="preserve"> (</w:t>
      </w:r>
      <w:r w:rsidR="00471E22" w:rsidRPr="003331EF">
        <w:rPr>
          <w:b/>
          <w:bCs/>
        </w:rPr>
        <w:t>lõige 6</w:t>
      </w:r>
      <w:r w:rsidR="00471E22" w:rsidRPr="003331EF">
        <w:t xml:space="preserve">). </w:t>
      </w:r>
      <w:r w:rsidR="00471E22" w:rsidRPr="003331EF">
        <w:rPr>
          <w:iCs/>
          <w:spacing w:val="-5"/>
          <w:lang w:eastAsia="en-US"/>
        </w:rPr>
        <w:t xml:space="preserve">Samas, kui taotlus on esitatud </w:t>
      </w:r>
      <w:r w:rsidR="000D487C" w:rsidRPr="003331EF">
        <w:rPr>
          <w:iCs/>
          <w:spacing w:val="-5"/>
          <w:lang w:eastAsia="en-US"/>
        </w:rPr>
        <w:t xml:space="preserve">kohe </w:t>
      </w:r>
      <w:r w:rsidR="00471E22" w:rsidRPr="003331EF">
        <w:rPr>
          <w:iCs/>
          <w:spacing w:val="-5"/>
          <w:lang w:eastAsia="en-US"/>
        </w:rPr>
        <w:t xml:space="preserve">oluliste puudustega, võib Finantsinspektsioon jätta ühinemisloa </w:t>
      </w:r>
      <w:r w:rsidR="000D487C" w:rsidRPr="003331EF">
        <w:rPr>
          <w:iCs/>
          <w:spacing w:val="-5"/>
          <w:lang w:eastAsia="en-US"/>
        </w:rPr>
        <w:t xml:space="preserve">ka </w:t>
      </w:r>
      <w:r w:rsidR="00471E22" w:rsidRPr="003331EF">
        <w:rPr>
          <w:iCs/>
          <w:spacing w:val="-5"/>
          <w:lang w:eastAsia="en-US"/>
        </w:rPr>
        <w:t>läbi vaatamata</w:t>
      </w:r>
      <w:r w:rsidR="00471E22" w:rsidRPr="003331EF">
        <w:t xml:space="preserve"> (</w:t>
      </w:r>
      <w:r w:rsidR="00471E22" w:rsidRPr="003331EF">
        <w:rPr>
          <w:b/>
          <w:bCs/>
        </w:rPr>
        <w:t>lõige 7</w:t>
      </w:r>
      <w:r w:rsidR="00471E22" w:rsidRPr="003331EF">
        <w:t>)</w:t>
      </w:r>
      <w:r w:rsidR="000D487C" w:rsidRPr="003331EF">
        <w:t>.</w:t>
      </w:r>
    </w:p>
    <w:p w14:paraId="6309B695" w14:textId="77777777" w:rsidR="00CF3280" w:rsidRPr="003331EF" w:rsidRDefault="00CF3280" w:rsidP="003331EF">
      <w:pPr>
        <w:spacing w:before="0"/>
      </w:pPr>
    </w:p>
    <w:p w14:paraId="406DD34C" w14:textId="72DD103A" w:rsidR="00790489" w:rsidRPr="003331EF" w:rsidRDefault="000D487C" w:rsidP="003331EF">
      <w:pPr>
        <w:spacing w:before="0"/>
      </w:pPr>
      <w:r w:rsidRPr="003331EF">
        <w:rPr>
          <w:b/>
          <w:bCs/>
        </w:rPr>
        <w:t>Lõi</w:t>
      </w:r>
      <w:r w:rsidR="006E39CD" w:rsidRPr="003331EF">
        <w:rPr>
          <w:b/>
          <w:bCs/>
        </w:rPr>
        <w:t>ke</w:t>
      </w:r>
      <w:r w:rsidRPr="003331EF">
        <w:rPr>
          <w:b/>
          <w:bCs/>
        </w:rPr>
        <w:t xml:space="preserve"> 8</w:t>
      </w:r>
      <w:r w:rsidRPr="003331EF">
        <w:t xml:space="preserve"> </w:t>
      </w:r>
      <w:r w:rsidR="006E39CD" w:rsidRPr="003331EF">
        <w:rPr>
          <w:iCs/>
          <w:spacing w:val="-5"/>
          <w:lang w:eastAsia="en-US"/>
        </w:rPr>
        <w:t>kohaselt võib</w:t>
      </w:r>
      <w:r w:rsidRPr="003331EF">
        <w:rPr>
          <w:iCs/>
          <w:spacing w:val="-5"/>
          <w:lang w:eastAsia="en-US"/>
        </w:rPr>
        <w:t xml:space="preserve"> taotluse jätta </w:t>
      </w:r>
      <w:proofErr w:type="spellStart"/>
      <w:r w:rsidRPr="003331EF">
        <w:rPr>
          <w:iCs/>
          <w:spacing w:val="-5"/>
          <w:lang w:eastAsia="en-US"/>
        </w:rPr>
        <w:t>läbivaatamata</w:t>
      </w:r>
      <w:proofErr w:type="spellEnd"/>
      <w:r w:rsidRPr="003331EF">
        <w:rPr>
          <w:iCs/>
          <w:spacing w:val="-5"/>
          <w:lang w:eastAsia="en-US"/>
        </w:rPr>
        <w:t xml:space="preserve"> ka juhul, kui ka määratud tähtajaks ei ole kõrvaldatud puudusi või esitatud lisaandmeid ja -dokumente. </w:t>
      </w:r>
      <w:r w:rsidR="006E39CD" w:rsidRPr="003331EF">
        <w:rPr>
          <w:iCs/>
          <w:spacing w:val="-5"/>
          <w:lang w:eastAsia="en-US"/>
        </w:rPr>
        <w:t>Samuti võib uuesti nõuda puuduste kõrvaldamist.</w:t>
      </w:r>
    </w:p>
    <w:p w14:paraId="4E9289BB" w14:textId="77777777" w:rsidR="001A4507" w:rsidRPr="003331EF" w:rsidRDefault="001A4507" w:rsidP="003331EF">
      <w:pPr>
        <w:spacing w:before="0"/>
        <w:rPr>
          <w:b/>
          <w:i/>
          <w:iCs/>
        </w:rPr>
      </w:pPr>
    </w:p>
    <w:p w14:paraId="66BAADB0" w14:textId="01502CEB" w:rsidR="001A4507" w:rsidRPr="003331EF" w:rsidRDefault="001A4507" w:rsidP="003331EF">
      <w:pPr>
        <w:spacing w:before="0"/>
        <w:rPr>
          <w:iCs/>
          <w:spacing w:val="-5"/>
          <w:lang w:eastAsia="en-US"/>
        </w:rPr>
      </w:pPr>
      <w:r w:rsidRPr="003331EF">
        <w:rPr>
          <w:b/>
        </w:rPr>
        <w:t xml:space="preserve">Lõike </w:t>
      </w:r>
      <w:r w:rsidR="000D487C" w:rsidRPr="003331EF">
        <w:rPr>
          <w:b/>
        </w:rPr>
        <w:t>9</w:t>
      </w:r>
      <w:r w:rsidR="00164B8D" w:rsidRPr="003331EF">
        <w:t xml:space="preserve"> </w:t>
      </w:r>
      <w:r w:rsidRPr="003331EF">
        <w:rPr>
          <w:iCs/>
          <w:spacing w:val="-5"/>
          <w:lang w:eastAsia="en-US"/>
        </w:rPr>
        <w:t>kohaselt teeb Finantsinspektsioon otsuse ühinemisloa andmise või sellest keeldumise kohta ühe kuu jooksul kõigi nõuetekohaste dokumentide ja andmete saamisest arvates, kuid mitte hiljem kui kolme kuu möödumisel taotluse saamisest arvates</w:t>
      </w:r>
      <w:r w:rsidR="00215293" w:rsidRPr="003331EF">
        <w:rPr>
          <w:iCs/>
          <w:spacing w:val="-5"/>
          <w:lang w:eastAsia="en-US"/>
        </w:rPr>
        <w:t xml:space="preserve"> (ehk ka lõikes 8 osutatud puuduste kõrvaldamist ei saa lõputult korrata).</w:t>
      </w:r>
    </w:p>
    <w:p w14:paraId="0739E2CB" w14:textId="77777777" w:rsidR="000D487C" w:rsidRPr="003331EF" w:rsidRDefault="000D487C" w:rsidP="003331EF">
      <w:pPr>
        <w:spacing w:before="0"/>
        <w:rPr>
          <w:iCs/>
          <w:spacing w:val="-5"/>
          <w:lang w:eastAsia="en-US"/>
        </w:rPr>
      </w:pPr>
    </w:p>
    <w:p w14:paraId="3258C0F1" w14:textId="26D0BC9D" w:rsidR="000D487C" w:rsidRPr="003331EF" w:rsidRDefault="00C63BB4" w:rsidP="003331EF">
      <w:pPr>
        <w:spacing w:before="0"/>
        <w:rPr>
          <w:rFonts w:eastAsiaTheme="minorHAnsi"/>
          <w:lang w:eastAsia="en-US"/>
        </w:rPr>
      </w:pPr>
      <w:r w:rsidRPr="003331EF">
        <w:rPr>
          <w:b/>
          <w:bCs/>
          <w:iCs/>
          <w:spacing w:val="-5"/>
          <w:lang w:eastAsia="en-US"/>
        </w:rPr>
        <w:t>L</w:t>
      </w:r>
      <w:r w:rsidR="000D4C7B" w:rsidRPr="003331EF">
        <w:rPr>
          <w:b/>
          <w:bCs/>
          <w:iCs/>
          <w:spacing w:val="-5"/>
          <w:lang w:eastAsia="en-US"/>
        </w:rPr>
        <w:t>õige 10</w:t>
      </w:r>
      <w:r w:rsidR="000D487C" w:rsidRPr="003331EF">
        <w:rPr>
          <w:iCs/>
          <w:spacing w:val="-5"/>
          <w:lang w:eastAsia="en-US"/>
        </w:rPr>
        <w:t xml:space="preserve">. Kuna uue </w:t>
      </w:r>
      <w:proofErr w:type="spellStart"/>
      <w:r w:rsidR="000D487C" w:rsidRPr="003331EF">
        <w:rPr>
          <w:iCs/>
          <w:spacing w:val="-5"/>
          <w:lang w:eastAsia="en-US"/>
        </w:rPr>
        <w:t>krüptovarateenuse</w:t>
      </w:r>
      <w:proofErr w:type="spellEnd"/>
      <w:r w:rsidR="000D487C" w:rsidRPr="003331EF">
        <w:rPr>
          <w:iCs/>
          <w:spacing w:val="-5"/>
          <w:lang w:eastAsia="en-US"/>
        </w:rPr>
        <w:t xml:space="preserve"> osutaja või varapõhise </w:t>
      </w:r>
      <w:proofErr w:type="spellStart"/>
      <w:r w:rsidR="000D487C" w:rsidRPr="003331EF">
        <w:rPr>
          <w:iCs/>
          <w:spacing w:val="-5"/>
          <w:lang w:eastAsia="en-US"/>
        </w:rPr>
        <w:t>tokeni</w:t>
      </w:r>
      <w:proofErr w:type="spellEnd"/>
      <w:r w:rsidR="000D487C" w:rsidRPr="003331EF">
        <w:rPr>
          <w:iCs/>
          <w:spacing w:val="-5"/>
          <w:lang w:eastAsia="en-US"/>
        </w:rPr>
        <w:t xml:space="preserve"> asutamisel tuleb koos ühinemisloa taotlusega esitada ka uue ühingu tegevusloa taotlus, teeb Finantsinspektsioon ühinemise kohta otsuse tähtaja jooksul, mis on ette nähtud tegevusloa taotluse suhtes otsuse tegemise kohta.</w:t>
      </w:r>
      <w:r w:rsidR="004B37C8" w:rsidRPr="003331EF">
        <w:rPr>
          <w:iCs/>
          <w:spacing w:val="-5"/>
          <w:lang w:eastAsia="en-US"/>
        </w:rPr>
        <w:t xml:space="preserve"> Ühinevate asutuste tegevusloa lõppemise kohta teeb Finantsinspektsioon koos ühinemisloa ja tegevusloa otsusega.</w:t>
      </w:r>
    </w:p>
    <w:p w14:paraId="22A62237" w14:textId="77777777" w:rsidR="001A4507" w:rsidRPr="003331EF" w:rsidRDefault="001A4507" w:rsidP="003331EF">
      <w:pPr>
        <w:spacing w:before="0"/>
        <w:rPr>
          <w:i/>
          <w:iCs/>
        </w:rPr>
      </w:pPr>
    </w:p>
    <w:p w14:paraId="37849B42" w14:textId="728E128F" w:rsidR="001A4507" w:rsidRPr="003331EF" w:rsidRDefault="001A4507" w:rsidP="003331EF">
      <w:pPr>
        <w:spacing w:before="0"/>
        <w:rPr>
          <w:iCs/>
          <w:spacing w:val="-5"/>
          <w:lang w:eastAsia="en-US"/>
        </w:rPr>
      </w:pPr>
      <w:r w:rsidRPr="003331EF">
        <w:t xml:space="preserve">Tulenevalt </w:t>
      </w:r>
      <w:r w:rsidRPr="003331EF">
        <w:rPr>
          <w:b/>
        </w:rPr>
        <w:t xml:space="preserve">lõikest </w:t>
      </w:r>
      <w:r w:rsidR="00EA7AED" w:rsidRPr="003331EF">
        <w:rPr>
          <w:b/>
        </w:rPr>
        <w:t>11</w:t>
      </w:r>
      <w:r w:rsidR="00164B8D" w:rsidRPr="003331EF">
        <w:t xml:space="preserve"> </w:t>
      </w:r>
      <w:r w:rsidRPr="003331EF">
        <w:rPr>
          <w:iCs/>
          <w:spacing w:val="-5"/>
          <w:lang w:eastAsia="en-US"/>
        </w:rPr>
        <w:t>võib Finantsinspektsioon keelduda ühinemisloa andmisest, kui:</w:t>
      </w:r>
    </w:p>
    <w:p w14:paraId="7545022C" w14:textId="3F6AF319" w:rsidR="001A4507" w:rsidRPr="003331EF" w:rsidRDefault="001A4507" w:rsidP="003331EF">
      <w:pPr>
        <w:numPr>
          <w:ilvl w:val="0"/>
          <w:numId w:val="15"/>
        </w:numPr>
        <w:spacing w:before="0"/>
        <w:rPr>
          <w:iCs/>
          <w:spacing w:val="-5"/>
          <w:lang w:eastAsia="en-US"/>
        </w:rPr>
      </w:pPr>
      <w:r w:rsidRPr="003331EF">
        <w:rPr>
          <w:iCs/>
          <w:spacing w:val="-5"/>
          <w:lang w:eastAsia="en-US"/>
        </w:rPr>
        <w:t xml:space="preserve">ühendava </w:t>
      </w:r>
      <w:proofErr w:type="spellStart"/>
      <w:r w:rsidRPr="003331EF">
        <w:rPr>
          <w:iCs/>
          <w:spacing w:val="-5"/>
          <w:lang w:eastAsia="en-US"/>
        </w:rPr>
        <w:t>krüptovarateenuse</w:t>
      </w:r>
      <w:proofErr w:type="spellEnd"/>
      <w:r w:rsidRPr="003331EF">
        <w:rPr>
          <w:iCs/>
          <w:spacing w:val="-5"/>
          <w:lang w:eastAsia="en-US"/>
        </w:rPr>
        <w:t xml:space="preserve"> osutaja </w:t>
      </w:r>
      <w:r w:rsidR="000C4EC8" w:rsidRPr="003331EF">
        <w:rPr>
          <w:iCs/>
          <w:spacing w:val="-5"/>
          <w:lang w:eastAsia="en-US"/>
        </w:rPr>
        <w:t xml:space="preserve">või varapõhise </w:t>
      </w:r>
      <w:proofErr w:type="spellStart"/>
      <w:r w:rsidR="000C4EC8" w:rsidRPr="003331EF">
        <w:rPr>
          <w:iCs/>
          <w:spacing w:val="-5"/>
          <w:lang w:eastAsia="en-US"/>
        </w:rPr>
        <w:t>tokeni</w:t>
      </w:r>
      <w:proofErr w:type="spellEnd"/>
      <w:r w:rsidR="000C4EC8" w:rsidRPr="003331EF">
        <w:rPr>
          <w:iCs/>
          <w:spacing w:val="-5"/>
          <w:lang w:eastAsia="en-US"/>
        </w:rPr>
        <w:t xml:space="preserve"> emitent </w:t>
      </w:r>
      <w:r w:rsidRPr="003331EF">
        <w:rPr>
          <w:iCs/>
          <w:spacing w:val="-5"/>
          <w:lang w:eastAsia="en-US"/>
        </w:rPr>
        <w:t xml:space="preserve">või uue ühingu juhid ei vasta </w:t>
      </w:r>
      <w:proofErr w:type="spellStart"/>
      <w:r w:rsidR="000C4EC8" w:rsidRPr="003331EF">
        <w:rPr>
          <w:iCs/>
          <w:spacing w:val="-5"/>
          <w:lang w:eastAsia="en-US"/>
        </w:rPr>
        <w:t>M</w:t>
      </w:r>
      <w:r w:rsidR="00A35898">
        <w:rPr>
          <w:iCs/>
          <w:spacing w:val="-5"/>
          <w:lang w:eastAsia="en-US"/>
        </w:rPr>
        <w:t>i</w:t>
      </w:r>
      <w:r w:rsidR="000C4EC8" w:rsidRPr="003331EF">
        <w:rPr>
          <w:iCs/>
          <w:spacing w:val="-5"/>
          <w:lang w:eastAsia="en-US"/>
        </w:rPr>
        <w:t>CA</w:t>
      </w:r>
      <w:proofErr w:type="spellEnd"/>
      <w:r w:rsidR="000C4EC8" w:rsidRPr="003331EF">
        <w:rPr>
          <w:iCs/>
          <w:spacing w:val="-5"/>
          <w:lang w:eastAsia="en-US"/>
        </w:rPr>
        <w:t xml:space="preserve"> määrusest</w:t>
      </w:r>
      <w:r w:rsidRPr="003331EF">
        <w:rPr>
          <w:iCs/>
          <w:spacing w:val="-5"/>
          <w:lang w:eastAsia="en-US"/>
        </w:rPr>
        <w:t xml:space="preserve"> tulenevatele nõuetele (punkt 1);</w:t>
      </w:r>
    </w:p>
    <w:p w14:paraId="737151F6" w14:textId="729D641F" w:rsidR="001A4507" w:rsidRPr="003331EF" w:rsidRDefault="001A4507" w:rsidP="003331EF">
      <w:pPr>
        <w:numPr>
          <w:ilvl w:val="0"/>
          <w:numId w:val="15"/>
        </w:numPr>
        <w:spacing w:before="0"/>
        <w:rPr>
          <w:iCs/>
          <w:spacing w:val="-5"/>
          <w:lang w:eastAsia="en-US"/>
        </w:rPr>
      </w:pPr>
      <w:r w:rsidRPr="003331EF">
        <w:rPr>
          <w:iCs/>
          <w:spacing w:val="-5"/>
          <w:lang w:eastAsia="en-US"/>
        </w:rPr>
        <w:t xml:space="preserve">ühendava </w:t>
      </w:r>
      <w:proofErr w:type="spellStart"/>
      <w:r w:rsidRPr="003331EF">
        <w:rPr>
          <w:iCs/>
          <w:spacing w:val="-5"/>
          <w:lang w:eastAsia="en-US"/>
        </w:rPr>
        <w:t>krüptovarateenuse</w:t>
      </w:r>
      <w:proofErr w:type="spellEnd"/>
      <w:r w:rsidRPr="003331EF">
        <w:rPr>
          <w:iCs/>
          <w:spacing w:val="-5"/>
          <w:lang w:eastAsia="en-US"/>
        </w:rPr>
        <w:t xml:space="preserve"> osutaja </w:t>
      </w:r>
      <w:r w:rsidR="000C4EC8" w:rsidRPr="003331EF">
        <w:rPr>
          <w:iCs/>
          <w:spacing w:val="-5"/>
          <w:lang w:eastAsia="en-US"/>
        </w:rPr>
        <w:t xml:space="preserve">või varapõhise </w:t>
      </w:r>
      <w:proofErr w:type="spellStart"/>
      <w:r w:rsidR="000C4EC8" w:rsidRPr="003331EF">
        <w:rPr>
          <w:iCs/>
          <w:spacing w:val="-5"/>
          <w:lang w:eastAsia="en-US"/>
        </w:rPr>
        <w:t>tokeni</w:t>
      </w:r>
      <w:proofErr w:type="spellEnd"/>
      <w:r w:rsidR="000C4EC8" w:rsidRPr="003331EF">
        <w:rPr>
          <w:iCs/>
          <w:spacing w:val="-5"/>
          <w:lang w:eastAsia="en-US"/>
        </w:rPr>
        <w:t xml:space="preserve"> emitent </w:t>
      </w:r>
      <w:r w:rsidRPr="003331EF">
        <w:rPr>
          <w:iCs/>
          <w:spacing w:val="-5"/>
          <w:lang w:eastAsia="en-US"/>
        </w:rPr>
        <w:t xml:space="preserve">või uue ühingu </w:t>
      </w:r>
      <w:r w:rsidR="000C4EC8" w:rsidRPr="003331EF">
        <w:rPr>
          <w:iCs/>
          <w:spacing w:val="-5"/>
          <w:lang w:eastAsia="en-US"/>
        </w:rPr>
        <w:t xml:space="preserve">majanduslik usaldusvääruses </w:t>
      </w:r>
      <w:r w:rsidRPr="003331EF">
        <w:rPr>
          <w:iCs/>
          <w:spacing w:val="-5"/>
          <w:lang w:eastAsia="en-US"/>
        </w:rPr>
        <w:t xml:space="preserve">ei vasta </w:t>
      </w:r>
      <w:proofErr w:type="spellStart"/>
      <w:r w:rsidR="000C4EC8" w:rsidRPr="003331EF">
        <w:rPr>
          <w:iCs/>
          <w:spacing w:val="-5"/>
          <w:lang w:eastAsia="en-US"/>
        </w:rPr>
        <w:t>M</w:t>
      </w:r>
      <w:r w:rsidR="00A35898">
        <w:rPr>
          <w:iCs/>
          <w:spacing w:val="-5"/>
          <w:lang w:eastAsia="en-US"/>
        </w:rPr>
        <w:t>i</w:t>
      </w:r>
      <w:r w:rsidR="000C4EC8" w:rsidRPr="003331EF">
        <w:rPr>
          <w:iCs/>
          <w:spacing w:val="-5"/>
          <w:lang w:eastAsia="en-US"/>
        </w:rPr>
        <w:t>CA</w:t>
      </w:r>
      <w:proofErr w:type="spellEnd"/>
      <w:r w:rsidR="000C4EC8" w:rsidRPr="003331EF">
        <w:rPr>
          <w:iCs/>
          <w:spacing w:val="-5"/>
          <w:lang w:eastAsia="en-US"/>
        </w:rPr>
        <w:t xml:space="preserve"> määrusest </w:t>
      </w:r>
      <w:r w:rsidRPr="003331EF">
        <w:rPr>
          <w:iCs/>
          <w:spacing w:val="-5"/>
          <w:lang w:eastAsia="en-US"/>
        </w:rPr>
        <w:t xml:space="preserve"> </w:t>
      </w:r>
      <w:r w:rsidR="000C4EC8" w:rsidRPr="003331EF">
        <w:rPr>
          <w:iCs/>
          <w:spacing w:val="-5"/>
          <w:lang w:eastAsia="en-US"/>
        </w:rPr>
        <w:t>tulenevatele</w:t>
      </w:r>
      <w:r w:rsidRPr="003331EF">
        <w:rPr>
          <w:iCs/>
          <w:spacing w:val="-5"/>
          <w:lang w:eastAsia="en-US"/>
        </w:rPr>
        <w:t xml:space="preserve"> nõuetele (punkt 2);</w:t>
      </w:r>
    </w:p>
    <w:p w14:paraId="5D622D7F" w14:textId="76343EE6" w:rsidR="001A4507" w:rsidRPr="003331EF" w:rsidRDefault="001A4507" w:rsidP="003331EF">
      <w:pPr>
        <w:numPr>
          <w:ilvl w:val="0"/>
          <w:numId w:val="15"/>
        </w:numPr>
        <w:spacing w:before="0"/>
        <w:rPr>
          <w:iCs/>
          <w:spacing w:val="-5"/>
          <w:lang w:eastAsia="en-US"/>
        </w:rPr>
      </w:pPr>
      <w:r w:rsidRPr="003331EF">
        <w:rPr>
          <w:iCs/>
          <w:spacing w:val="-5"/>
          <w:lang w:eastAsia="en-US"/>
        </w:rPr>
        <w:t>ühinemisleping ei vasta nõuetele (punkt 3);</w:t>
      </w:r>
    </w:p>
    <w:p w14:paraId="1A7846F8" w14:textId="2FD4F300" w:rsidR="001A4507" w:rsidRPr="003331EF" w:rsidRDefault="001A4507" w:rsidP="003331EF">
      <w:pPr>
        <w:numPr>
          <w:ilvl w:val="0"/>
          <w:numId w:val="15"/>
        </w:numPr>
        <w:spacing w:before="0"/>
        <w:rPr>
          <w:iCs/>
          <w:spacing w:val="-5"/>
          <w:lang w:eastAsia="en-US"/>
        </w:rPr>
      </w:pPr>
      <w:r w:rsidRPr="003331EF">
        <w:rPr>
          <w:iCs/>
          <w:spacing w:val="-5"/>
          <w:lang w:eastAsia="en-US"/>
        </w:rPr>
        <w:t xml:space="preserve">ühinemine võib takistada </w:t>
      </w:r>
      <w:proofErr w:type="spellStart"/>
      <w:r w:rsidRPr="003331EF">
        <w:rPr>
          <w:iCs/>
          <w:spacing w:val="-5"/>
          <w:lang w:eastAsia="en-US"/>
        </w:rPr>
        <w:t>krüptovarateenuse</w:t>
      </w:r>
      <w:proofErr w:type="spellEnd"/>
      <w:r w:rsidRPr="003331EF">
        <w:rPr>
          <w:iCs/>
          <w:spacing w:val="-5"/>
          <w:lang w:eastAsia="en-US"/>
        </w:rPr>
        <w:t xml:space="preserve"> osutaja </w:t>
      </w:r>
      <w:r w:rsidR="000C4EC8" w:rsidRPr="003331EF">
        <w:rPr>
          <w:iCs/>
          <w:spacing w:val="-5"/>
          <w:lang w:eastAsia="en-US"/>
        </w:rPr>
        <w:t xml:space="preserve">või varapõhise </w:t>
      </w:r>
      <w:proofErr w:type="spellStart"/>
      <w:r w:rsidR="000C4EC8" w:rsidRPr="003331EF">
        <w:rPr>
          <w:iCs/>
          <w:spacing w:val="-5"/>
          <w:lang w:eastAsia="en-US"/>
        </w:rPr>
        <w:t>tokeni</w:t>
      </w:r>
      <w:proofErr w:type="spellEnd"/>
      <w:r w:rsidR="000C4EC8" w:rsidRPr="003331EF">
        <w:rPr>
          <w:iCs/>
          <w:spacing w:val="-5"/>
          <w:lang w:eastAsia="en-US"/>
        </w:rPr>
        <w:t xml:space="preserve"> emitendi </w:t>
      </w:r>
      <w:r w:rsidRPr="003331EF">
        <w:rPr>
          <w:iCs/>
          <w:spacing w:val="-5"/>
          <w:lang w:eastAsia="en-US"/>
        </w:rPr>
        <w:t>üle vajalikul tasemel järelevalve teostamist (punkt 4);</w:t>
      </w:r>
    </w:p>
    <w:p w14:paraId="134745CE" w14:textId="7FCDC2B4" w:rsidR="001A4507" w:rsidRPr="003331EF" w:rsidRDefault="001A4507" w:rsidP="003331EF">
      <w:pPr>
        <w:numPr>
          <w:ilvl w:val="0"/>
          <w:numId w:val="15"/>
        </w:numPr>
        <w:spacing w:before="0"/>
        <w:rPr>
          <w:iCs/>
          <w:spacing w:val="-5"/>
          <w:lang w:eastAsia="en-US"/>
        </w:rPr>
      </w:pPr>
      <w:r w:rsidRPr="003331EF">
        <w:rPr>
          <w:iCs/>
          <w:spacing w:val="-5"/>
          <w:lang w:eastAsia="en-US"/>
        </w:rPr>
        <w:t xml:space="preserve">ühinemine võib muul põhjusel kahjustada </w:t>
      </w:r>
      <w:proofErr w:type="spellStart"/>
      <w:r w:rsidRPr="003331EF">
        <w:rPr>
          <w:iCs/>
          <w:spacing w:val="-5"/>
          <w:lang w:eastAsia="en-US"/>
        </w:rPr>
        <w:t>krüptovarateenuse</w:t>
      </w:r>
      <w:proofErr w:type="spellEnd"/>
      <w:r w:rsidRPr="003331EF">
        <w:rPr>
          <w:iCs/>
          <w:spacing w:val="-5"/>
          <w:lang w:eastAsia="en-US"/>
        </w:rPr>
        <w:t xml:space="preserve"> osutaja </w:t>
      </w:r>
      <w:r w:rsidR="000C4EC8" w:rsidRPr="003331EF">
        <w:rPr>
          <w:iCs/>
          <w:spacing w:val="-5"/>
          <w:lang w:eastAsia="en-US"/>
        </w:rPr>
        <w:t xml:space="preserve">või varapõhise </w:t>
      </w:r>
      <w:proofErr w:type="spellStart"/>
      <w:r w:rsidR="000C4EC8" w:rsidRPr="003331EF">
        <w:rPr>
          <w:iCs/>
          <w:spacing w:val="-5"/>
          <w:lang w:eastAsia="en-US"/>
        </w:rPr>
        <w:t>tokeni</w:t>
      </w:r>
      <w:proofErr w:type="spellEnd"/>
      <w:r w:rsidR="000C4EC8" w:rsidRPr="003331EF">
        <w:rPr>
          <w:iCs/>
          <w:spacing w:val="-5"/>
          <w:lang w:eastAsia="en-US"/>
        </w:rPr>
        <w:t xml:space="preserve"> emitent </w:t>
      </w:r>
      <w:r w:rsidRPr="003331EF">
        <w:rPr>
          <w:iCs/>
          <w:spacing w:val="-5"/>
          <w:lang w:eastAsia="en-US"/>
        </w:rPr>
        <w:t>klientide</w:t>
      </w:r>
      <w:r w:rsidR="000C4EC8" w:rsidRPr="003331EF">
        <w:rPr>
          <w:iCs/>
          <w:spacing w:val="-5"/>
          <w:lang w:eastAsia="en-US"/>
        </w:rPr>
        <w:t xml:space="preserve">, </w:t>
      </w:r>
      <w:proofErr w:type="spellStart"/>
      <w:r w:rsidR="000C4EC8" w:rsidRPr="003331EF">
        <w:rPr>
          <w:iCs/>
          <w:spacing w:val="-5"/>
          <w:lang w:eastAsia="en-US"/>
        </w:rPr>
        <w:t>krüptovara</w:t>
      </w:r>
      <w:proofErr w:type="spellEnd"/>
      <w:r w:rsidR="000C4EC8" w:rsidRPr="003331EF">
        <w:rPr>
          <w:iCs/>
          <w:spacing w:val="-5"/>
          <w:lang w:eastAsia="en-US"/>
        </w:rPr>
        <w:t xml:space="preserve"> omanike</w:t>
      </w:r>
      <w:r w:rsidRPr="003331EF">
        <w:rPr>
          <w:iCs/>
          <w:spacing w:val="-5"/>
          <w:lang w:eastAsia="en-US"/>
        </w:rPr>
        <w:t xml:space="preserve"> või teiste võlausaldajate huve (punkt 5).</w:t>
      </w:r>
    </w:p>
    <w:p w14:paraId="304D9BAC" w14:textId="77777777" w:rsidR="001A4507" w:rsidRPr="003331EF" w:rsidRDefault="001A4507" w:rsidP="003331EF">
      <w:pPr>
        <w:spacing w:before="0"/>
      </w:pPr>
    </w:p>
    <w:p w14:paraId="2C59D2ED" w14:textId="521767A7" w:rsidR="001A4507" w:rsidRPr="003331EF" w:rsidRDefault="001A4507" w:rsidP="003331EF">
      <w:pPr>
        <w:spacing w:before="0"/>
        <w:rPr>
          <w:iCs/>
          <w:spacing w:val="-5"/>
          <w:lang w:eastAsia="en-US"/>
        </w:rPr>
      </w:pPr>
      <w:r w:rsidRPr="003331EF">
        <w:rPr>
          <w:iCs/>
          <w:spacing w:val="-5"/>
          <w:lang w:eastAsia="en-US"/>
        </w:rPr>
        <w:t xml:space="preserve">Ühinevad äriühingud peavad </w:t>
      </w:r>
      <w:r w:rsidRPr="003331EF">
        <w:rPr>
          <w:b/>
          <w:bCs/>
          <w:iCs/>
          <w:spacing w:val="-5"/>
          <w:lang w:eastAsia="en-US"/>
        </w:rPr>
        <w:t xml:space="preserve">lõike </w:t>
      </w:r>
      <w:r w:rsidR="00EA7AED" w:rsidRPr="003331EF">
        <w:rPr>
          <w:b/>
          <w:bCs/>
          <w:iCs/>
          <w:spacing w:val="-5"/>
          <w:lang w:eastAsia="en-US"/>
        </w:rPr>
        <w:t>12</w:t>
      </w:r>
      <w:r w:rsidR="00164B8D" w:rsidRPr="003331EF">
        <w:rPr>
          <w:iCs/>
          <w:spacing w:val="-5"/>
          <w:lang w:eastAsia="en-US"/>
        </w:rPr>
        <w:t xml:space="preserve"> </w:t>
      </w:r>
      <w:r w:rsidRPr="003331EF">
        <w:rPr>
          <w:iCs/>
          <w:spacing w:val="-5"/>
          <w:lang w:eastAsia="en-US"/>
        </w:rPr>
        <w:t xml:space="preserve">kohaselt avaldama ühinemisteate ühinemisloa saamise kohta viivitamata oma veebilehel. </w:t>
      </w:r>
    </w:p>
    <w:p w14:paraId="0CFDA5D8" w14:textId="77777777" w:rsidR="001A4507" w:rsidRPr="003331EF" w:rsidRDefault="001A4507" w:rsidP="003331EF">
      <w:pPr>
        <w:shd w:val="clear" w:color="auto" w:fill="FFFFFF"/>
        <w:spacing w:before="0"/>
      </w:pPr>
    </w:p>
    <w:p w14:paraId="79CFF77A" w14:textId="1176AF4D" w:rsidR="001A4507" w:rsidRPr="003331EF" w:rsidRDefault="001A4507" w:rsidP="003331EF">
      <w:pPr>
        <w:shd w:val="clear" w:color="auto" w:fill="FFFFFF"/>
        <w:spacing w:before="0"/>
      </w:pPr>
      <w:r w:rsidRPr="003331EF">
        <w:rPr>
          <w:b/>
        </w:rPr>
        <w:t xml:space="preserve">Lõike </w:t>
      </w:r>
      <w:r w:rsidR="00EA7AED" w:rsidRPr="003331EF">
        <w:rPr>
          <w:b/>
        </w:rPr>
        <w:t>13</w:t>
      </w:r>
      <w:r w:rsidR="00164B8D" w:rsidRPr="003331EF">
        <w:t xml:space="preserve"> </w:t>
      </w:r>
      <w:r w:rsidRPr="003331EF">
        <w:rPr>
          <w:iCs/>
          <w:spacing w:val="-5"/>
          <w:lang w:eastAsia="en-US"/>
        </w:rPr>
        <w:t xml:space="preserve">kohaselt </w:t>
      </w:r>
      <w:r w:rsidR="000C4EC8" w:rsidRPr="003331EF">
        <w:rPr>
          <w:iCs/>
          <w:spacing w:val="-5"/>
          <w:lang w:eastAsia="en-US"/>
        </w:rPr>
        <w:t xml:space="preserve">tuleb </w:t>
      </w:r>
      <w:r w:rsidRPr="003331EF">
        <w:rPr>
          <w:iCs/>
          <w:spacing w:val="-5"/>
          <w:lang w:eastAsia="en-US"/>
        </w:rPr>
        <w:t>esitab ühinemise äriregistrisse kandmise avaldus viivitamata pärast eelmises lõikes nimetatud teate avaldamist.</w:t>
      </w:r>
    </w:p>
    <w:p w14:paraId="3A560360" w14:textId="77777777" w:rsidR="001A4507" w:rsidRPr="003331EF" w:rsidRDefault="001A4507" w:rsidP="003331EF">
      <w:pPr>
        <w:shd w:val="clear" w:color="auto" w:fill="FFFFFF"/>
        <w:spacing w:before="0"/>
        <w:rPr>
          <w:i/>
          <w:iCs/>
        </w:rPr>
      </w:pPr>
    </w:p>
    <w:p w14:paraId="2B007068" w14:textId="4DBB7E96" w:rsidR="000C4EC8" w:rsidRPr="003331EF" w:rsidRDefault="000C4EC8" w:rsidP="003331EF">
      <w:pPr>
        <w:spacing w:before="0"/>
        <w:rPr>
          <w:b/>
        </w:rPr>
      </w:pPr>
      <w:r w:rsidRPr="003331EF">
        <w:rPr>
          <w:b/>
          <w:bCs/>
        </w:rPr>
        <w:t>Paragrahv 2</w:t>
      </w:r>
      <w:r w:rsidR="00B361CD" w:rsidRPr="003331EF">
        <w:rPr>
          <w:b/>
          <w:bCs/>
        </w:rPr>
        <w:t>2</w:t>
      </w:r>
      <w:r w:rsidRPr="003331EF">
        <w:rPr>
          <w:b/>
          <w:bCs/>
        </w:rPr>
        <w:t xml:space="preserve">. </w:t>
      </w:r>
      <w:proofErr w:type="spellStart"/>
      <w:r w:rsidRPr="003331EF">
        <w:rPr>
          <w:b/>
          <w:bdr w:val="none" w:sz="0" w:space="0" w:color="auto" w:frame="1"/>
        </w:rPr>
        <w:t>Krüptovarateenuse</w:t>
      </w:r>
      <w:proofErr w:type="spellEnd"/>
      <w:r w:rsidRPr="003331EF">
        <w:rPr>
          <w:b/>
          <w:bdr w:val="none" w:sz="0" w:space="0" w:color="auto" w:frame="1"/>
        </w:rPr>
        <w:t xml:space="preserve"> osutaja ja varapõhise </w:t>
      </w:r>
      <w:proofErr w:type="spellStart"/>
      <w:r w:rsidRPr="003331EF">
        <w:rPr>
          <w:b/>
          <w:bdr w:val="none" w:sz="0" w:space="0" w:color="auto" w:frame="1"/>
        </w:rPr>
        <w:t>tokeni</w:t>
      </w:r>
      <w:proofErr w:type="spellEnd"/>
      <w:r w:rsidRPr="003331EF">
        <w:rPr>
          <w:b/>
          <w:bdr w:val="none" w:sz="0" w:space="0" w:color="auto" w:frame="1"/>
        </w:rPr>
        <w:t xml:space="preserve"> emitendi j</w:t>
      </w:r>
      <w:r w:rsidRPr="003331EF">
        <w:rPr>
          <w:b/>
        </w:rPr>
        <w:t>agunemine</w:t>
      </w:r>
    </w:p>
    <w:p w14:paraId="201E56B5" w14:textId="77777777" w:rsidR="000C4EC8" w:rsidRPr="003331EF" w:rsidRDefault="000C4EC8" w:rsidP="003331EF">
      <w:pPr>
        <w:pStyle w:val="Normal2"/>
        <w:rPr>
          <w:b/>
          <w:bCs w:val="0"/>
          <w:sz w:val="24"/>
        </w:rPr>
      </w:pPr>
    </w:p>
    <w:p w14:paraId="10CC3DB0" w14:textId="18B13E59" w:rsidR="001A4507" w:rsidRPr="003331EF" w:rsidRDefault="001A4507" w:rsidP="003331EF">
      <w:pPr>
        <w:pStyle w:val="Normal2"/>
        <w:rPr>
          <w:rFonts w:eastAsia="Times New Roman"/>
          <w:bCs w:val="0"/>
          <w:iCs/>
          <w:spacing w:val="-5"/>
          <w:sz w:val="24"/>
          <w:lang w:eastAsia="en-US"/>
        </w:rPr>
      </w:pPr>
      <w:r w:rsidRPr="003331EF">
        <w:rPr>
          <w:b/>
          <w:bCs w:val="0"/>
          <w:sz w:val="24"/>
        </w:rPr>
        <w:t xml:space="preserve">Paragrahv </w:t>
      </w:r>
      <w:r w:rsidR="000C4EC8" w:rsidRPr="003331EF">
        <w:rPr>
          <w:b/>
          <w:bCs w:val="0"/>
          <w:sz w:val="24"/>
        </w:rPr>
        <w:t>2</w:t>
      </w:r>
      <w:r w:rsidR="00B361CD" w:rsidRPr="003331EF">
        <w:rPr>
          <w:b/>
          <w:bCs w:val="0"/>
          <w:sz w:val="24"/>
        </w:rPr>
        <w:t>2</w:t>
      </w:r>
      <w:r w:rsidRPr="003331EF">
        <w:rPr>
          <w:sz w:val="24"/>
        </w:rPr>
        <w:t xml:space="preserve"> </w:t>
      </w:r>
      <w:r w:rsidRPr="003331EF">
        <w:rPr>
          <w:rFonts w:eastAsia="Times New Roman"/>
          <w:bCs w:val="0"/>
          <w:iCs/>
          <w:spacing w:val="-5"/>
          <w:sz w:val="24"/>
          <w:lang w:eastAsia="en-US"/>
        </w:rPr>
        <w:t xml:space="preserve">keelab </w:t>
      </w:r>
      <w:proofErr w:type="spellStart"/>
      <w:r w:rsidRPr="003331EF">
        <w:rPr>
          <w:rFonts w:eastAsia="Times New Roman"/>
          <w:bCs w:val="0"/>
          <w:iCs/>
          <w:spacing w:val="-5"/>
          <w:sz w:val="24"/>
          <w:lang w:eastAsia="en-US"/>
        </w:rPr>
        <w:t>krüptovarateenuse</w:t>
      </w:r>
      <w:proofErr w:type="spellEnd"/>
      <w:r w:rsidRPr="003331EF">
        <w:rPr>
          <w:rFonts w:eastAsia="Times New Roman"/>
          <w:bCs w:val="0"/>
          <w:iCs/>
          <w:spacing w:val="-5"/>
          <w:sz w:val="24"/>
          <w:lang w:eastAsia="en-US"/>
        </w:rPr>
        <w:t xml:space="preserve"> osutaja </w:t>
      </w:r>
      <w:r w:rsidR="000C4EC8" w:rsidRPr="003331EF">
        <w:rPr>
          <w:rFonts w:eastAsia="Times New Roman"/>
          <w:bCs w:val="0"/>
          <w:iCs/>
          <w:spacing w:val="-5"/>
          <w:sz w:val="24"/>
          <w:lang w:eastAsia="en-US"/>
        </w:rPr>
        <w:t xml:space="preserve">ja varapõhise </w:t>
      </w:r>
      <w:proofErr w:type="spellStart"/>
      <w:r w:rsidR="000C4EC8" w:rsidRPr="003331EF">
        <w:rPr>
          <w:rFonts w:eastAsia="Times New Roman"/>
          <w:bCs w:val="0"/>
          <w:iCs/>
          <w:spacing w:val="-5"/>
          <w:sz w:val="24"/>
          <w:lang w:eastAsia="en-US"/>
        </w:rPr>
        <w:t>tokeni</w:t>
      </w:r>
      <w:proofErr w:type="spellEnd"/>
      <w:r w:rsidR="000C4EC8" w:rsidRPr="003331EF">
        <w:rPr>
          <w:rFonts w:eastAsia="Times New Roman"/>
          <w:bCs w:val="0"/>
          <w:iCs/>
          <w:spacing w:val="-5"/>
          <w:sz w:val="24"/>
          <w:lang w:eastAsia="en-US"/>
        </w:rPr>
        <w:t xml:space="preserve"> emitendi </w:t>
      </w:r>
      <w:r w:rsidRPr="003331EF">
        <w:rPr>
          <w:rFonts w:eastAsia="Times New Roman"/>
          <w:bCs w:val="0"/>
          <w:iCs/>
          <w:spacing w:val="-5"/>
          <w:sz w:val="24"/>
          <w:lang w:eastAsia="en-US"/>
        </w:rPr>
        <w:t xml:space="preserve">jagunemise. Keeld tuleneb eelkõige sellest, et </w:t>
      </w:r>
      <w:proofErr w:type="spellStart"/>
      <w:r w:rsidRPr="003331EF">
        <w:rPr>
          <w:rFonts w:eastAsia="Times New Roman"/>
          <w:bCs w:val="0"/>
          <w:iCs/>
          <w:spacing w:val="-5"/>
          <w:sz w:val="24"/>
          <w:lang w:eastAsia="en-US"/>
        </w:rPr>
        <w:t>krüptovara</w:t>
      </w:r>
      <w:proofErr w:type="spellEnd"/>
      <w:r w:rsidRPr="003331EF">
        <w:rPr>
          <w:rFonts w:eastAsia="Times New Roman"/>
          <w:bCs w:val="0"/>
          <w:iCs/>
          <w:spacing w:val="-5"/>
          <w:sz w:val="24"/>
          <w:lang w:eastAsia="en-US"/>
        </w:rPr>
        <w:t xml:space="preserve"> väljastamisele suunatud ärimudelid on tihtipeale killustunud, kuna kasutusel on mitmed eriotstarbelised üksused (SPV-d). Seetõttu on tähtis, et tegevusloaga </w:t>
      </w:r>
      <w:proofErr w:type="spellStart"/>
      <w:r w:rsidRPr="003331EF">
        <w:rPr>
          <w:rFonts w:eastAsia="Times New Roman"/>
          <w:bCs w:val="0"/>
          <w:iCs/>
          <w:spacing w:val="-5"/>
          <w:sz w:val="24"/>
          <w:lang w:eastAsia="en-US"/>
        </w:rPr>
        <w:t>krüptovarat</w:t>
      </w:r>
      <w:r w:rsidR="00576A7C" w:rsidRPr="003331EF">
        <w:rPr>
          <w:rFonts w:eastAsia="Times New Roman"/>
          <w:bCs w:val="0"/>
          <w:iCs/>
          <w:spacing w:val="-5"/>
          <w:sz w:val="24"/>
          <w:lang w:eastAsia="en-US"/>
        </w:rPr>
        <w:t>uru</w:t>
      </w:r>
      <w:proofErr w:type="spellEnd"/>
      <w:r w:rsidR="00576A7C" w:rsidRPr="003331EF">
        <w:rPr>
          <w:rFonts w:eastAsia="Times New Roman"/>
          <w:bCs w:val="0"/>
          <w:iCs/>
          <w:spacing w:val="-5"/>
          <w:sz w:val="24"/>
          <w:lang w:eastAsia="en-US"/>
        </w:rPr>
        <w:t xml:space="preserve"> osaline </w:t>
      </w:r>
      <w:r w:rsidRPr="003331EF">
        <w:rPr>
          <w:rFonts w:eastAsia="Times New Roman"/>
          <w:bCs w:val="0"/>
          <w:iCs/>
          <w:spacing w:val="-5"/>
          <w:sz w:val="24"/>
          <w:lang w:eastAsia="en-US"/>
        </w:rPr>
        <w:t xml:space="preserve">ei kasutaks ära jagunemise võimalust jaotada oma või oma klientide varasid ja kohustusi erinevate üksuste vahel. </w:t>
      </w:r>
    </w:p>
    <w:p w14:paraId="06674B2E" w14:textId="77777777" w:rsidR="001A4507" w:rsidRPr="003331EF" w:rsidRDefault="001A4507" w:rsidP="003331EF">
      <w:pPr>
        <w:spacing w:before="0"/>
        <w:rPr>
          <w:iCs/>
          <w:spacing w:val="-5"/>
          <w:lang w:eastAsia="en-US"/>
        </w:rPr>
      </w:pPr>
    </w:p>
    <w:p w14:paraId="30B4ADCE" w14:textId="62B19846" w:rsidR="000C4EC8" w:rsidRPr="003331EF" w:rsidRDefault="000C4EC8" w:rsidP="003331EF">
      <w:pPr>
        <w:spacing w:before="0"/>
        <w:rPr>
          <w:b/>
          <w:bCs/>
        </w:rPr>
      </w:pPr>
      <w:r w:rsidRPr="003331EF">
        <w:rPr>
          <w:b/>
        </w:rPr>
        <w:t>Paragrahv 2</w:t>
      </w:r>
      <w:r w:rsidR="00B361CD" w:rsidRPr="003331EF">
        <w:rPr>
          <w:b/>
        </w:rPr>
        <w:t>3</w:t>
      </w:r>
      <w:r w:rsidRPr="003331EF">
        <w:rPr>
          <w:b/>
        </w:rPr>
        <w:t xml:space="preserve">. </w:t>
      </w:r>
      <w:proofErr w:type="spellStart"/>
      <w:r w:rsidRPr="003331EF">
        <w:rPr>
          <w:b/>
          <w:bCs/>
        </w:rPr>
        <w:t>Krüptovarateenuse</w:t>
      </w:r>
      <w:proofErr w:type="spellEnd"/>
      <w:r w:rsidRPr="003331EF">
        <w:rPr>
          <w:b/>
          <w:bCs/>
        </w:rPr>
        <w:t xml:space="preserve"> osutaja ja varapõhise </w:t>
      </w:r>
      <w:proofErr w:type="spellStart"/>
      <w:r w:rsidRPr="003331EF">
        <w:rPr>
          <w:b/>
          <w:bCs/>
        </w:rPr>
        <w:t>tokeni</w:t>
      </w:r>
      <w:proofErr w:type="spellEnd"/>
      <w:r w:rsidRPr="003331EF">
        <w:rPr>
          <w:b/>
          <w:bCs/>
        </w:rPr>
        <w:t xml:space="preserve"> emitendi lõpetamine</w:t>
      </w:r>
    </w:p>
    <w:p w14:paraId="3AFF30E0" w14:textId="77777777" w:rsidR="000C4EC8" w:rsidRPr="003331EF" w:rsidRDefault="000C4EC8" w:rsidP="003331EF">
      <w:pPr>
        <w:spacing w:before="0"/>
        <w:rPr>
          <w:b/>
        </w:rPr>
      </w:pPr>
    </w:p>
    <w:p w14:paraId="43BBC6B4" w14:textId="6DF0070B" w:rsidR="001A4507" w:rsidRPr="003331EF" w:rsidRDefault="001A4507" w:rsidP="003331EF">
      <w:pPr>
        <w:spacing w:before="0"/>
      </w:pPr>
      <w:r w:rsidRPr="003331EF">
        <w:rPr>
          <w:b/>
        </w:rPr>
        <w:t xml:space="preserve">Paragrahv </w:t>
      </w:r>
      <w:r w:rsidR="00B361CD" w:rsidRPr="003331EF">
        <w:rPr>
          <w:b/>
        </w:rPr>
        <w:t>23</w:t>
      </w:r>
      <w:r w:rsidR="00B361CD" w:rsidRPr="003331EF">
        <w:t xml:space="preserve"> </w:t>
      </w:r>
      <w:r w:rsidRPr="003331EF">
        <w:t xml:space="preserve">sätestab tingimused </w:t>
      </w:r>
      <w:proofErr w:type="spellStart"/>
      <w:r w:rsidRPr="003331EF">
        <w:t>krüptovarateenuse</w:t>
      </w:r>
      <w:proofErr w:type="spellEnd"/>
      <w:r w:rsidRPr="003331EF">
        <w:t xml:space="preserve"> osutaja lõpetamisele.</w:t>
      </w:r>
    </w:p>
    <w:p w14:paraId="15C2BA90" w14:textId="77777777" w:rsidR="001A4507" w:rsidRPr="003331EF" w:rsidRDefault="001A4507" w:rsidP="003331EF">
      <w:pPr>
        <w:spacing w:before="0"/>
        <w:rPr>
          <w:i/>
          <w:iCs/>
        </w:rPr>
      </w:pPr>
    </w:p>
    <w:p w14:paraId="6A7BF19D" w14:textId="2B2A8358" w:rsidR="001A4507" w:rsidRPr="003331EF" w:rsidRDefault="001A4507" w:rsidP="003331EF">
      <w:pPr>
        <w:spacing w:before="0"/>
      </w:pPr>
      <w:r w:rsidRPr="003331EF">
        <w:rPr>
          <w:b/>
        </w:rPr>
        <w:t>Lõike 1</w:t>
      </w:r>
      <w:r w:rsidRPr="003331EF">
        <w:t xml:space="preserve"> kohaselt toimub </w:t>
      </w:r>
      <w:proofErr w:type="spellStart"/>
      <w:r w:rsidRPr="003331EF">
        <w:t>krüptovarateenuse</w:t>
      </w:r>
      <w:proofErr w:type="spellEnd"/>
      <w:r w:rsidRPr="003331EF">
        <w:t xml:space="preserve"> osutaja </w:t>
      </w:r>
      <w:r w:rsidR="000C4EC8" w:rsidRPr="003331EF">
        <w:t xml:space="preserve">ja varapõhise </w:t>
      </w:r>
      <w:proofErr w:type="spellStart"/>
      <w:r w:rsidR="000C4EC8" w:rsidRPr="003331EF">
        <w:t>tokeni</w:t>
      </w:r>
      <w:proofErr w:type="spellEnd"/>
      <w:r w:rsidR="000C4EC8" w:rsidRPr="003331EF">
        <w:t xml:space="preserve"> emitendi </w:t>
      </w:r>
      <w:r w:rsidRPr="003331EF">
        <w:t xml:space="preserve">lõpetamine äriseadustikus sätestatud korras, kui seadusest ei tulene teisiti. </w:t>
      </w:r>
      <w:r w:rsidRPr="003331EF">
        <w:rPr>
          <w:b/>
          <w:bCs/>
        </w:rPr>
        <w:t>Lõige 2</w:t>
      </w:r>
      <w:r w:rsidRPr="003331EF">
        <w:t xml:space="preserve"> täpsustab, et</w:t>
      </w:r>
      <w:r w:rsidR="000C4EC8" w:rsidRPr="003331EF">
        <w:t xml:space="preserve"> </w:t>
      </w:r>
      <w:proofErr w:type="spellStart"/>
      <w:r w:rsidR="000C4EC8" w:rsidRPr="003331EF">
        <w:t>krüptovarateenuse</w:t>
      </w:r>
      <w:proofErr w:type="spellEnd"/>
      <w:r w:rsidR="000C4EC8" w:rsidRPr="003331EF">
        <w:t xml:space="preserve"> osutaja ja varapõhise </w:t>
      </w:r>
      <w:proofErr w:type="spellStart"/>
      <w:r w:rsidR="000C4EC8" w:rsidRPr="003331EF">
        <w:t>tokeni</w:t>
      </w:r>
      <w:proofErr w:type="spellEnd"/>
      <w:r w:rsidR="000C4EC8" w:rsidRPr="003331EF">
        <w:t xml:space="preserve"> emitendi vabatahtlik </w:t>
      </w:r>
      <w:r w:rsidRPr="003331EF">
        <w:t>lõpetamine võib toimuda üksnes Finantsinspektsiooni loal.</w:t>
      </w:r>
      <w:r w:rsidR="00576A7C" w:rsidRPr="003331EF">
        <w:t xml:space="preserve"> Finantsinspektsiooni luba on vajalik klientide kaitse tagamiseks.</w:t>
      </w:r>
    </w:p>
    <w:p w14:paraId="2FF102EE" w14:textId="77777777" w:rsidR="001A4507" w:rsidRPr="003331EF" w:rsidRDefault="001A4507" w:rsidP="003331EF">
      <w:pPr>
        <w:spacing w:before="0"/>
        <w:rPr>
          <w:i/>
          <w:iCs/>
        </w:rPr>
      </w:pPr>
    </w:p>
    <w:p w14:paraId="4C0A37B5" w14:textId="15555754" w:rsidR="001A4507" w:rsidRPr="003331EF" w:rsidRDefault="001A4507" w:rsidP="003331EF">
      <w:pPr>
        <w:spacing w:before="0"/>
        <w:rPr>
          <w:iCs/>
          <w:spacing w:val="-5"/>
          <w:lang w:eastAsia="en-US"/>
        </w:rPr>
      </w:pPr>
      <w:r w:rsidRPr="003331EF">
        <w:rPr>
          <w:b/>
        </w:rPr>
        <w:t>Lõige 3</w:t>
      </w:r>
      <w:r w:rsidRPr="003331EF">
        <w:t xml:space="preserve"> </w:t>
      </w:r>
      <w:r w:rsidRPr="003331EF">
        <w:rPr>
          <w:iCs/>
          <w:spacing w:val="-5"/>
          <w:lang w:eastAsia="en-US"/>
        </w:rPr>
        <w:t xml:space="preserve">sätestab, millised andmed tuleb esitada Finantsinspektsioonile </w:t>
      </w:r>
      <w:proofErr w:type="spellStart"/>
      <w:r w:rsidRPr="003331EF">
        <w:rPr>
          <w:iCs/>
          <w:spacing w:val="-5"/>
          <w:lang w:eastAsia="en-US"/>
        </w:rPr>
        <w:t>krüptovarateenuse</w:t>
      </w:r>
      <w:proofErr w:type="spellEnd"/>
      <w:r w:rsidRPr="003331EF">
        <w:rPr>
          <w:iCs/>
          <w:spacing w:val="-5"/>
          <w:lang w:eastAsia="en-US"/>
        </w:rPr>
        <w:t xml:space="preserve"> osutaja</w:t>
      </w:r>
      <w:r w:rsidR="000C4EC8" w:rsidRPr="003331EF">
        <w:rPr>
          <w:iCs/>
          <w:spacing w:val="-5"/>
          <w:lang w:eastAsia="en-US"/>
        </w:rPr>
        <w:t xml:space="preserve"> </w:t>
      </w:r>
      <w:r w:rsidRPr="003331EF">
        <w:rPr>
          <w:iCs/>
          <w:spacing w:val="-5"/>
          <w:lang w:eastAsia="en-US"/>
        </w:rPr>
        <w:t xml:space="preserve"> </w:t>
      </w:r>
      <w:r w:rsidR="000C4EC8" w:rsidRPr="003331EF">
        <w:rPr>
          <w:iCs/>
          <w:spacing w:val="-5"/>
          <w:lang w:eastAsia="en-US"/>
        </w:rPr>
        <w:t xml:space="preserve">või varapõhise </w:t>
      </w:r>
      <w:proofErr w:type="spellStart"/>
      <w:r w:rsidR="000C4EC8" w:rsidRPr="003331EF">
        <w:rPr>
          <w:iCs/>
          <w:spacing w:val="-5"/>
          <w:lang w:eastAsia="en-US"/>
        </w:rPr>
        <w:t>tokeni</w:t>
      </w:r>
      <w:proofErr w:type="spellEnd"/>
      <w:r w:rsidR="000C4EC8" w:rsidRPr="003331EF">
        <w:rPr>
          <w:iCs/>
          <w:spacing w:val="-5"/>
          <w:lang w:eastAsia="en-US"/>
        </w:rPr>
        <w:t xml:space="preserve"> emitendi </w:t>
      </w:r>
      <w:r w:rsidRPr="003331EF">
        <w:rPr>
          <w:iCs/>
          <w:spacing w:val="-5"/>
          <w:lang w:eastAsia="en-US"/>
        </w:rPr>
        <w:t xml:space="preserve">lõpetamise loa saamiseks. Selle kohaselt esitab </w:t>
      </w:r>
      <w:proofErr w:type="spellStart"/>
      <w:r w:rsidR="000C4EC8" w:rsidRPr="003331EF">
        <w:rPr>
          <w:iCs/>
          <w:spacing w:val="-5"/>
          <w:lang w:eastAsia="en-US"/>
        </w:rPr>
        <w:t>krüptovarateenuse</w:t>
      </w:r>
      <w:proofErr w:type="spellEnd"/>
      <w:r w:rsidR="000C4EC8" w:rsidRPr="003331EF">
        <w:rPr>
          <w:iCs/>
          <w:spacing w:val="-5"/>
          <w:lang w:eastAsia="en-US"/>
        </w:rPr>
        <w:t xml:space="preserve"> osutaja </w:t>
      </w:r>
      <w:r w:rsidR="007B7A2F" w:rsidRPr="003331EF">
        <w:rPr>
          <w:iCs/>
          <w:spacing w:val="-5"/>
          <w:lang w:eastAsia="en-US"/>
        </w:rPr>
        <w:t>või</w:t>
      </w:r>
      <w:r w:rsidR="000C4EC8" w:rsidRPr="003331EF">
        <w:rPr>
          <w:iCs/>
          <w:spacing w:val="-5"/>
          <w:lang w:eastAsia="en-US"/>
        </w:rPr>
        <w:t xml:space="preserve"> varapõhise </w:t>
      </w:r>
      <w:proofErr w:type="spellStart"/>
      <w:r w:rsidR="000C4EC8" w:rsidRPr="003331EF">
        <w:rPr>
          <w:iCs/>
          <w:spacing w:val="-5"/>
          <w:lang w:eastAsia="en-US"/>
        </w:rPr>
        <w:t>tokeni</w:t>
      </w:r>
      <w:proofErr w:type="spellEnd"/>
      <w:r w:rsidR="000C4EC8" w:rsidRPr="003331EF">
        <w:rPr>
          <w:iCs/>
          <w:spacing w:val="-5"/>
          <w:lang w:eastAsia="en-US"/>
        </w:rPr>
        <w:t xml:space="preserve"> emitent</w:t>
      </w:r>
      <w:r w:rsidRPr="003331EF">
        <w:rPr>
          <w:iCs/>
          <w:spacing w:val="-5"/>
          <w:lang w:eastAsia="en-US"/>
        </w:rPr>
        <w:t xml:space="preserve"> </w:t>
      </w:r>
      <w:r w:rsidR="00A33664" w:rsidRPr="003331EF">
        <w:rPr>
          <w:iCs/>
          <w:spacing w:val="-5"/>
          <w:lang w:eastAsia="en-US"/>
        </w:rPr>
        <w:t>taotluse</w:t>
      </w:r>
      <w:r w:rsidRPr="003331EF">
        <w:rPr>
          <w:iCs/>
          <w:spacing w:val="-5"/>
          <w:lang w:eastAsia="en-US"/>
        </w:rPr>
        <w:t>, millele lisatakse järgmised andmed ja dokumendid:</w:t>
      </w:r>
    </w:p>
    <w:p w14:paraId="3F07ED07" w14:textId="2F025970" w:rsidR="001A4507" w:rsidRPr="003331EF" w:rsidRDefault="001A4507" w:rsidP="003331EF">
      <w:pPr>
        <w:numPr>
          <w:ilvl w:val="0"/>
          <w:numId w:val="16"/>
        </w:numPr>
        <w:spacing w:before="0"/>
        <w:rPr>
          <w:iCs/>
          <w:spacing w:val="-5"/>
          <w:lang w:eastAsia="en-US"/>
        </w:rPr>
      </w:pPr>
      <w:proofErr w:type="spellStart"/>
      <w:r w:rsidRPr="003331EF">
        <w:rPr>
          <w:iCs/>
          <w:spacing w:val="-5"/>
          <w:lang w:eastAsia="en-US"/>
        </w:rPr>
        <w:t>krüptovarateenuse</w:t>
      </w:r>
      <w:proofErr w:type="spellEnd"/>
      <w:r w:rsidRPr="003331EF">
        <w:rPr>
          <w:iCs/>
          <w:spacing w:val="-5"/>
          <w:lang w:eastAsia="en-US"/>
        </w:rPr>
        <w:t xml:space="preserve"> osutaja </w:t>
      </w:r>
      <w:r w:rsidR="000C4EC8" w:rsidRPr="003331EF">
        <w:rPr>
          <w:iCs/>
          <w:spacing w:val="-5"/>
          <w:lang w:eastAsia="en-US"/>
        </w:rPr>
        <w:t xml:space="preserve">või varapõhise </w:t>
      </w:r>
      <w:proofErr w:type="spellStart"/>
      <w:r w:rsidR="000C4EC8" w:rsidRPr="003331EF">
        <w:rPr>
          <w:iCs/>
          <w:spacing w:val="-5"/>
          <w:lang w:eastAsia="en-US"/>
        </w:rPr>
        <w:t>tokeni</w:t>
      </w:r>
      <w:proofErr w:type="spellEnd"/>
      <w:r w:rsidR="000C4EC8" w:rsidRPr="003331EF">
        <w:rPr>
          <w:iCs/>
          <w:spacing w:val="-5"/>
          <w:lang w:eastAsia="en-US"/>
        </w:rPr>
        <w:t xml:space="preserve"> emitendi </w:t>
      </w:r>
      <w:r w:rsidRPr="003331EF">
        <w:rPr>
          <w:iCs/>
          <w:spacing w:val="-5"/>
          <w:lang w:eastAsia="en-US"/>
        </w:rPr>
        <w:t>üldkoosoleku või osanike koosoleku otsus lõpetamise ja selleks loa taotlemise kohta (punkt 1);</w:t>
      </w:r>
    </w:p>
    <w:p w14:paraId="2E1CE9F4" w14:textId="59BB0F6E" w:rsidR="001A4507" w:rsidRPr="003331EF" w:rsidRDefault="001A4507" w:rsidP="003331EF">
      <w:pPr>
        <w:numPr>
          <w:ilvl w:val="0"/>
          <w:numId w:val="16"/>
        </w:numPr>
        <w:spacing w:before="0"/>
        <w:rPr>
          <w:iCs/>
          <w:spacing w:val="-5"/>
          <w:lang w:eastAsia="en-US"/>
        </w:rPr>
      </w:pPr>
      <w:proofErr w:type="spellStart"/>
      <w:r w:rsidRPr="003331EF">
        <w:rPr>
          <w:iCs/>
          <w:spacing w:val="-5"/>
          <w:lang w:eastAsia="en-US"/>
        </w:rPr>
        <w:lastRenderedPageBreak/>
        <w:t>krüptovarateenuse</w:t>
      </w:r>
      <w:proofErr w:type="spellEnd"/>
      <w:r w:rsidRPr="003331EF">
        <w:rPr>
          <w:iCs/>
          <w:spacing w:val="-5"/>
          <w:lang w:eastAsia="en-US"/>
        </w:rPr>
        <w:t xml:space="preserve"> osutaja </w:t>
      </w:r>
      <w:r w:rsidR="000C4EC8" w:rsidRPr="003331EF">
        <w:rPr>
          <w:iCs/>
          <w:spacing w:val="-5"/>
          <w:lang w:eastAsia="en-US"/>
        </w:rPr>
        <w:t xml:space="preserve">või varapõhise </w:t>
      </w:r>
      <w:proofErr w:type="spellStart"/>
      <w:r w:rsidR="000C4EC8" w:rsidRPr="003331EF">
        <w:rPr>
          <w:iCs/>
          <w:spacing w:val="-5"/>
          <w:lang w:eastAsia="en-US"/>
        </w:rPr>
        <w:t>tokeni</w:t>
      </w:r>
      <w:proofErr w:type="spellEnd"/>
      <w:r w:rsidR="000C4EC8" w:rsidRPr="003331EF">
        <w:rPr>
          <w:iCs/>
          <w:spacing w:val="-5"/>
          <w:lang w:eastAsia="en-US"/>
        </w:rPr>
        <w:t xml:space="preserve"> emitendi </w:t>
      </w:r>
      <w:r w:rsidRPr="003331EF">
        <w:rPr>
          <w:iCs/>
          <w:spacing w:val="-5"/>
          <w:lang w:eastAsia="en-US"/>
        </w:rPr>
        <w:t>lõpetamise kava</w:t>
      </w:r>
      <w:r w:rsidR="000C4EC8" w:rsidRPr="003331EF">
        <w:rPr>
          <w:iCs/>
          <w:spacing w:val="-5"/>
          <w:lang w:eastAsia="en-US"/>
        </w:rPr>
        <w:t xml:space="preserve"> (</w:t>
      </w:r>
      <w:proofErr w:type="spellStart"/>
      <w:r w:rsidR="000C4EC8" w:rsidRPr="003331EF">
        <w:rPr>
          <w:iCs/>
          <w:spacing w:val="-5"/>
          <w:lang w:eastAsia="en-US"/>
        </w:rPr>
        <w:t>M</w:t>
      </w:r>
      <w:r w:rsidR="00A35898">
        <w:rPr>
          <w:iCs/>
          <w:spacing w:val="-5"/>
          <w:lang w:eastAsia="en-US"/>
        </w:rPr>
        <w:t>i</w:t>
      </w:r>
      <w:r w:rsidR="000C4EC8" w:rsidRPr="003331EF">
        <w:rPr>
          <w:iCs/>
          <w:spacing w:val="-5"/>
          <w:lang w:eastAsia="en-US"/>
        </w:rPr>
        <w:t>CA</w:t>
      </w:r>
      <w:proofErr w:type="spellEnd"/>
      <w:r w:rsidR="000C4EC8" w:rsidRPr="003331EF">
        <w:rPr>
          <w:iCs/>
          <w:spacing w:val="-5"/>
          <w:lang w:eastAsia="en-US"/>
        </w:rPr>
        <w:t xml:space="preserve"> määruse </w:t>
      </w:r>
      <w:r w:rsidR="0056656E" w:rsidRPr="003331EF">
        <w:rPr>
          <w:iCs/>
          <w:spacing w:val="-5"/>
          <w:lang w:eastAsia="en-US"/>
        </w:rPr>
        <w:t xml:space="preserve">artikli 34 lõikes 7 ja </w:t>
      </w:r>
      <w:r w:rsidR="000C4EC8" w:rsidRPr="003331EF">
        <w:rPr>
          <w:iCs/>
          <w:spacing w:val="-5"/>
          <w:lang w:eastAsia="en-US"/>
        </w:rPr>
        <w:t>art</w:t>
      </w:r>
      <w:r w:rsidR="0056656E" w:rsidRPr="003331EF">
        <w:rPr>
          <w:iCs/>
          <w:spacing w:val="-5"/>
          <w:lang w:eastAsia="en-US"/>
        </w:rPr>
        <w:t>iklis</w:t>
      </w:r>
      <w:r w:rsidR="000C4EC8" w:rsidRPr="003331EF">
        <w:rPr>
          <w:iCs/>
          <w:spacing w:val="-5"/>
          <w:lang w:eastAsia="en-US"/>
        </w:rPr>
        <w:t xml:space="preserve"> 74</w:t>
      </w:r>
      <w:r w:rsidR="0056656E" w:rsidRPr="003331EF">
        <w:rPr>
          <w:iCs/>
          <w:spacing w:val="-5"/>
          <w:lang w:eastAsia="en-US"/>
        </w:rPr>
        <w:t xml:space="preserve"> nimetatud kava</w:t>
      </w:r>
      <w:r w:rsidR="000C4EC8" w:rsidRPr="003331EF">
        <w:rPr>
          <w:iCs/>
          <w:spacing w:val="-5"/>
          <w:lang w:eastAsia="en-US"/>
        </w:rPr>
        <w:t>)</w:t>
      </w:r>
      <w:r w:rsidRPr="003331EF">
        <w:rPr>
          <w:iCs/>
          <w:spacing w:val="-5"/>
          <w:lang w:eastAsia="en-US"/>
        </w:rPr>
        <w:t>, sealhulgas hinnang enda lõpetamise mõju kohta klientide huvidele (punkt 2);</w:t>
      </w:r>
    </w:p>
    <w:p w14:paraId="26480943" w14:textId="77777777" w:rsidR="001A4507" w:rsidRPr="003331EF" w:rsidRDefault="001A4507" w:rsidP="003331EF">
      <w:pPr>
        <w:numPr>
          <w:ilvl w:val="0"/>
          <w:numId w:val="16"/>
        </w:numPr>
        <w:spacing w:before="0"/>
        <w:rPr>
          <w:iCs/>
          <w:spacing w:val="-5"/>
          <w:lang w:eastAsia="en-US"/>
        </w:rPr>
      </w:pPr>
      <w:r w:rsidRPr="003331EF">
        <w:rPr>
          <w:iCs/>
          <w:spacing w:val="-5"/>
          <w:lang w:eastAsia="en-US"/>
        </w:rPr>
        <w:t xml:space="preserve">kinnitus selle kohta, et kõik kliendisuhted ja kliendilepingud on lõpetatud või loovutatud teisele </w:t>
      </w:r>
      <w:proofErr w:type="spellStart"/>
      <w:r w:rsidRPr="003331EF">
        <w:rPr>
          <w:iCs/>
          <w:spacing w:val="-5"/>
          <w:lang w:eastAsia="en-US"/>
        </w:rPr>
        <w:t>krüptovarateenuse</w:t>
      </w:r>
      <w:proofErr w:type="spellEnd"/>
      <w:r w:rsidRPr="003331EF">
        <w:rPr>
          <w:iCs/>
          <w:spacing w:val="-5"/>
          <w:lang w:eastAsia="en-US"/>
        </w:rPr>
        <w:t xml:space="preserve"> osutajale (punkt 3);</w:t>
      </w:r>
    </w:p>
    <w:p w14:paraId="34981E17" w14:textId="6AA3E8F1" w:rsidR="001A4507" w:rsidRPr="003331EF" w:rsidRDefault="001A4507" w:rsidP="003331EF">
      <w:pPr>
        <w:numPr>
          <w:ilvl w:val="0"/>
          <w:numId w:val="16"/>
        </w:numPr>
        <w:spacing w:before="0"/>
        <w:rPr>
          <w:iCs/>
          <w:spacing w:val="-5"/>
          <w:lang w:eastAsia="en-US"/>
        </w:rPr>
      </w:pPr>
      <w:proofErr w:type="spellStart"/>
      <w:r w:rsidRPr="003331EF">
        <w:rPr>
          <w:iCs/>
          <w:spacing w:val="-5"/>
          <w:lang w:eastAsia="en-US"/>
        </w:rPr>
        <w:t>krüptovarateenuse</w:t>
      </w:r>
      <w:proofErr w:type="spellEnd"/>
      <w:r w:rsidRPr="003331EF">
        <w:rPr>
          <w:iCs/>
          <w:spacing w:val="-5"/>
          <w:lang w:eastAsia="en-US"/>
        </w:rPr>
        <w:t xml:space="preserve"> osutaja</w:t>
      </w:r>
      <w:r w:rsidR="00EE7205" w:rsidRPr="003331EF">
        <w:rPr>
          <w:iCs/>
          <w:spacing w:val="-5"/>
          <w:lang w:eastAsia="en-US"/>
        </w:rPr>
        <w:t xml:space="preserve"> või varapõhise </w:t>
      </w:r>
      <w:proofErr w:type="spellStart"/>
      <w:r w:rsidR="00EE7205" w:rsidRPr="003331EF">
        <w:rPr>
          <w:iCs/>
          <w:spacing w:val="-5"/>
          <w:lang w:eastAsia="en-US"/>
        </w:rPr>
        <w:t>tokeni</w:t>
      </w:r>
      <w:proofErr w:type="spellEnd"/>
      <w:r w:rsidR="00EE7205" w:rsidRPr="003331EF">
        <w:rPr>
          <w:iCs/>
          <w:spacing w:val="-5"/>
          <w:lang w:eastAsia="en-US"/>
        </w:rPr>
        <w:t xml:space="preserve"> emitendi</w:t>
      </w:r>
      <w:r w:rsidRPr="003331EF">
        <w:rPr>
          <w:iCs/>
          <w:spacing w:val="-5"/>
          <w:lang w:eastAsia="en-US"/>
        </w:rPr>
        <w:t xml:space="preserve"> regulaarne aruanne perioodi kohta viimasest regulaarse aruande esitamisest kuni lõpetamise otsuse tegemiseni (punkt 4).</w:t>
      </w:r>
    </w:p>
    <w:p w14:paraId="4AC72E86" w14:textId="77777777" w:rsidR="001A4507" w:rsidRPr="003331EF" w:rsidRDefault="001A4507" w:rsidP="003331EF">
      <w:pPr>
        <w:spacing w:before="0"/>
        <w:rPr>
          <w:i/>
          <w:iCs/>
        </w:rPr>
      </w:pPr>
    </w:p>
    <w:p w14:paraId="5650A02C" w14:textId="729D1899" w:rsidR="001A4507" w:rsidRPr="003331EF" w:rsidRDefault="001A4507" w:rsidP="003331EF">
      <w:pPr>
        <w:spacing w:before="0"/>
        <w:rPr>
          <w:iCs/>
          <w:spacing w:val="-5"/>
          <w:lang w:eastAsia="en-US"/>
        </w:rPr>
      </w:pPr>
      <w:r w:rsidRPr="003331EF">
        <w:rPr>
          <w:iCs/>
          <w:spacing w:val="-5"/>
          <w:lang w:eastAsia="en-US"/>
        </w:rPr>
        <w:t>Punktis 2 nimetatud hinnangus tuleks märkida vähemalt seda, kas ja kuidas lõpetamine mõjutab klientide huve, sh klientide (</w:t>
      </w:r>
      <w:proofErr w:type="spellStart"/>
      <w:r w:rsidRPr="003331EF">
        <w:rPr>
          <w:iCs/>
          <w:spacing w:val="-5"/>
          <w:lang w:eastAsia="en-US"/>
        </w:rPr>
        <w:t>krüptovarateenuse</w:t>
      </w:r>
      <w:proofErr w:type="spellEnd"/>
      <w:r w:rsidRPr="003331EF">
        <w:rPr>
          <w:iCs/>
          <w:spacing w:val="-5"/>
          <w:lang w:eastAsia="en-US"/>
        </w:rPr>
        <w:t xml:space="preserve"> osutaja juures või kontrolli all oleva) vara väärtust, võimalusi nimetatud vara võõrandada pärast teenuseosutaja lõpetamist, samuti kas ja kuidas punktis 3 nimetatud kliendisuhete lõpetamine või kliendilepingute loovutamine mõjutab kliendi huve.</w:t>
      </w:r>
    </w:p>
    <w:p w14:paraId="6E1D9B7D" w14:textId="77777777" w:rsidR="001A4507" w:rsidRPr="003331EF" w:rsidRDefault="001A4507" w:rsidP="003331EF">
      <w:pPr>
        <w:spacing w:before="0"/>
        <w:rPr>
          <w:b/>
          <w:i/>
          <w:iCs/>
        </w:rPr>
      </w:pPr>
    </w:p>
    <w:p w14:paraId="00E2ECA5" w14:textId="09043617" w:rsidR="001A4507" w:rsidRPr="003331EF" w:rsidRDefault="001A4507" w:rsidP="003331EF">
      <w:pPr>
        <w:spacing w:before="0"/>
      </w:pPr>
      <w:r w:rsidRPr="003331EF">
        <w:rPr>
          <w:b/>
        </w:rPr>
        <w:t>Lõige 4</w:t>
      </w:r>
      <w:r w:rsidRPr="003331EF">
        <w:t xml:space="preserve"> </w:t>
      </w:r>
      <w:r w:rsidRPr="003331EF">
        <w:rPr>
          <w:iCs/>
          <w:spacing w:val="-5"/>
          <w:lang w:eastAsia="en-US"/>
        </w:rPr>
        <w:t xml:space="preserve">sätestab järelevalvele otsuse tegemise ajaraamistiku. Selle kohaselt otsuse </w:t>
      </w:r>
      <w:proofErr w:type="spellStart"/>
      <w:r w:rsidRPr="003331EF">
        <w:rPr>
          <w:iCs/>
          <w:spacing w:val="-5"/>
          <w:lang w:eastAsia="en-US"/>
        </w:rPr>
        <w:t>krüptovarateenuse</w:t>
      </w:r>
      <w:proofErr w:type="spellEnd"/>
      <w:r w:rsidRPr="003331EF">
        <w:rPr>
          <w:iCs/>
          <w:spacing w:val="-5"/>
          <w:lang w:eastAsia="en-US"/>
        </w:rPr>
        <w:t xml:space="preserve"> osutaja </w:t>
      </w:r>
      <w:r w:rsidR="00EE7205" w:rsidRPr="003331EF">
        <w:rPr>
          <w:iCs/>
          <w:spacing w:val="-5"/>
          <w:lang w:eastAsia="en-US"/>
        </w:rPr>
        <w:t xml:space="preserve">või varapõhise </w:t>
      </w:r>
      <w:proofErr w:type="spellStart"/>
      <w:r w:rsidR="00EE7205" w:rsidRPr="003331EF">
        <w:rPr>
          <w:iCs/>
          <w:spacing w:val="-5"/>
          <w:lang w:eastAsia="en-US"/>
        </w:rPr>
        <w:t>tokeni</w:t>
      </w:r>
      <w:proofErr w:type="spellEnd"/>
      <w:r w:rsidR="00EE7205" w:rsidRPr="003331EF">
        <w:rPr>
          <w:iCs/>
          <w:spacing w:val="-5"/>
          <w:lang w:eastAsia="en-US"/>
        </w:rPr>
        <w:t xml:space="preserve"> emitendi </w:t>
      </w:r>
      <w:r w:rsidRPr="003331EF">
        <w:rPr>
          <w:iCs/>
          <w:spacing w:val="-5"/>
          <w:lang w:eastAsia="en-US"/>
        </w:rPr>
        <w:t>lõpetamise loa andmise või sellest keeldumise kohta teeb Finantsinspektsioon kolme kuu jooksul pärast kõigi vajalike dokumentide ja andmete esitamist.</w:t>
      </w:r>
    </w:p>
    <w:p w14:paraId="1C9D2E84" w14:textId="77777777" w:rsidR="001A4507" w:rsidRPr="003331EF" w:rsidRDefault="001A4507" w:rsidP="003331EF">
      <w:pPr>
        <w:spacing w:before="0"/>
      </w:pPr>
    </w:p>
    <w:p w14:paraId="550E36C0" w14:textId="13EAA48F" w:rsidR="001A4507" w:rsidRPr="003331EF" w:rsidRDefault="001A4507" w:rsidP="003331EF">
      <w:pPr>
        <w:spacing w:before="0"/>
      </w:pPr>
      <w:r w:rsidRPr="003331EF">
        <w:rPr>
          <w:b/>
        </w:rPr>
        <w:t>Lõige 5</w:t>
      </w:r>
      <w:r w:rsidRPr="003331EF">
        <w:t xml:space="preserve"> </w:t>
      </w:r>
      <w:r w:rsidRPr="003331EF">
        <w:rPr>
          <w:iCs/>
          <w:spacing w:val="-5"/>
          <w:lang w:eastAsia="en-US"/>
        </w:rPr>
        <w:t>sätestab finantsjärelevalvele aluse</w:t>
      </w:r>
      <w:r w:rsidR="007B7A2F" w:rsidRPr="003331EF">
        <w:rPr>
          <w:iCs/>
          <w:spacing w:val="-5"/>
          <w:lang w:eastAsia="en-US"/>
        </w:rPr>
        <w:t>d</w:t>
      </w:r>
      <w:r w:rsidRPr="003331EF">
        <w:rPr>
          <w:iCs/>
          <w:spacing w:val="-5"/>
          <w:lang w:eastAsia="en-US"/>
        </w:rPr>
        <w:t xml:space="preserve"> </w:t>
      </w:r>
      <w:proofErr w:type="spellStart"/>
      <w:r w:rsidRPr="003331EF">
        <w:rPr>
          <w:iCs/>
          <w:spacing w:val="-5"/>
          <w:lang w:eastAsia="en-US"/>
        </w:rPr>
        <w:t>krüptovarateenuse</w:t>
      </w:r>
      <w:proofErr w:type="spellEnd"/>
      <w:r w:rsidRPr="003331EF">
        <w:rPr>
          <w:iCs/>
          <w:spacing w:val="-5"/>
          <w:lang w:eastAsia="en-US"/>
        </w:rPr>
        <w:t xml:space="preserve"> osutaja </w:t>
      </w:r>
      <w:r w:rsidR="00EE7205" w:rsidRPr="003331EF">
        <w:rPr>
          <w:iCs/>
          <w:spacing w:val="-5"/>
          <w:lang w:eastAsia="en-US"/>
        </w:rPr>
        <w:t xml:space="preserve">või varapõhise </w:t>
      </w:r>
      <w:proofErr w:type="spellStart"/>
      <w:r w:rsidR="00EE7205" w:rsidRPr="003331EF">
        <w:rPr>
          <w:iCs/>
          <w:spacing w:val="-5"/>
          <w:lang w:eastAsia="en-US"/>
        </w:rPr>
        <w:t>tokeni</w:t>
      </w:r>
      <w:proofErr w:type="spellEnd"/>
      <w:r w:rsidR="00EE7205" w:rsidRPr="003331EF">
        <w:rPr>
          <w:iCs/>
          <w:spacing w:val="-5"/>
          <w:lang w:eastAsia="en-US"/>
        </w:rPr>
        <w:t xml:space="preserve"> emitendi </w:t>
      </w:r>
      <w:r w:rsidRPr="003331EF">
        <w:rPr>
          <w:iCs/>
          <w:spacing w:val="-5"/>
          <w:lang w:eastAsia="en-US"/>
        </w:rPr>
        <w:t xml:space="preserve">lõpetamise loa andmisest keeldumiseks. Nimelt võib Finantsinspektsioon keelduda </w:t>
      </w:r>
      <w:proofErr w:type="spellStart"/>
      <w:r w:rsidRPr="003331EF">
        <w:rPr>
          <w:iCs/>
          <w:spacing w:val="-5"/>
          <w:lang w:eastAsia="en-US"/>
        </w:rPr>
        <w:t>krüptovarateenuse</w:t>
      </w:r>
      <w:proofErr w:type="spellEnd"/>
      <w:r w:rsidRPr="003331EF">
        <w:rPr>
          <w:iCs/>
          <w:spacing w:val="-5"/>
          <w:lang w:eastAsia="en-US"/>
        </w:rPr>
        <w:t xml:space="preserve"> osutaja </w:t>
      </w:r>
      <w:r w:rsidR="00EE7205" w:rsidRPr="003331EF">
        <w:rPr>
          <w:iCs/>
          <w:spacing w:val="-5"/>
          <w:lang w:eastAsia="en-US"/>
        </w:rPr>
        <w:t xml:space="preserve">või varapõhise </w:t>
      </w:r>
      <w:proofErr w:type="spellStart"/>
      <w:r w:rsidR="00EE7205" w:rsidRPr="003331EF">
        <w:rPr>
          <w:iCs/>
          <w:spacing w:val="-5"/>
          <w:lang w:eastAsia="en-US"/>
        </w:rPr>
        <w:t>tokeni</w:t>
      </w:r>
      <w:proofErr w:type="spellEnd"/>
      <w:r w:rsidR="00EE7205" w:rsidRPr="003331EF">
        <w:rPr>
          <w:iCs/>
          <w:spacing w:val="-5"/>
          <w:lang w:eastAsia="en-US"/>
        </w:rPr>
        <w:t xml:space="preserve"> emitendi </w:t>
      </w:r>
      <w:r w:rsidRPr="003331EF">
        <w:rPr>
          <w:iCs/>
          <w:spacing w:val="-5"/>
          <w:lang w:eastAsia="en-US"/>
        </w:rPr>
        <w:t xml:space="preserve">lõpetamise loa andmisest, kui </w:t>
      </w:r>
      <w:proofErr w:type="spellStart"/>
      <w:r w:rsidRPr="003331EF">
        <w:rPr>
          <w:iCs/>
          <w:spacing w:val="-5"/>
          <w:lang w:eastAsia="en-US"/>
        </w:rPr>
        <w:t>krüptovarateenuse</w:t>
      </w:r>
      <w:proofErr w:type="spellEnd"/>
      <w:r w:rsidRPr="003331EF">
        <w:rPr>
          <w:iCs/>
          <w:spacing w:val="-5"/>
          <w:lang w:eastAsia="en-US"/>
        </w:rPr>
        <w:t xml:space="preserve"> osutaja </w:t>
      </w:r>
      <w:r w:rsidR="00EE7205" w:rsidRPr="003331EF">
        <w:rPr>
          <w:iCs/>
          <w:spacing w:val="-5"/>
          <w:lang w:eastAsia="en-US"/>
        </w:rPr>
        <w:t xml:space="preserve">või varapõhise </w:t>
      </w:r>
      <w:proofErr w:type="spellStart"/>
      <w:r w:rsidR="00EE7205" w:rsidRPr="003331EF">
        <w:rPr>
          <w:iCs/>
          <w:spacing w:val="-5"/>
          <w:lang w:eastAsia="en-US"/>
        </w:rPr>
        <w:t>tokeni</w:t>
      </w:r>
      <w:proofErr w:type="spellEnd"/>
      <w:r w:rsidR="00EE7205" w:rsidRPr="003331EF">
        <w:rPr>
          <w:iCs/>
          <w:spacing w:val="-5"/>
          <w:lang w:eastAsia="en-US"/>
        </w:rPr>
        <w:t xml:space="preserve"> emitendi </w:t>
      </w:r>
      <w:r w:rsidRPr="003331EF">
        <w:rPr>
          <w:iCs/>
          <w:spacing w:val="-5"/>
          <w:lang w:eastAsia="en-US"/>
        </w:rPr>
        <w:t xml:space="preserve">lõpetamine on vastuolus tema klientide huvidega. Sealhulgas tuleks arvesse võtta käesoleva paragrahvi lõikes 3 punktis 2 nimetatud hinnangut ning kaaluda, kas lõpetamine mõjutab negatiivselt </w:t>
      </w:r>
      <w:proofErr w:type="spellStart"/>
      <w:r w:rsidR="007B7A2F" w:rsidRPr="003331EF">
        <w:rPr>
          <w:iCs/>
          <w:spacing w:val="-5"/>
          <w:lang w:eastAsia="en-US"/>
        </w:rPr>
        <w:t>krüptovaraturu</w:t>
      </w:r>
      <w:proofErr w:type="spellEnd"/>
      <w:r w:rsidR="007B7A2F" w:rsidRPr="003331EF">
        <w:rPr>
          <w:iCs/>
          <w:spacing w:val="-5"/>
          <w:lang w:eastAsia="en-US"/>
        </w:rPr>
        <w:t xml:space="preserve"> osalise</w:t>
      </w:r>
      <w:r w:rsidRPr="003331EF">
        <w:rPr>
          <w:iCs/>
          <w:spacing w:val="-5"/>
          <w:lang w:eastAsia="en-US"/>
        </w:rPr>
        <w:t xml:space="preserve"> kliente.</w:t>
      </w:r>
    </w:p>
    <w:p w14:paraId="1D573CF4" w14:textId="77777777" w:rsidR="001A4507" w:rsidRPr="003331EF" w:rsidRDefault="001A4507" w:rsidP="003331EF">
      <w:pPr>
        <w:spacing w:before="0"/>
        <w:rPr>
          <w:i/>
          <w:iCs/>
        </w:rPr>
      </w:pPr>
    </w:p>
    <w:p w14:paraId="36CA2CAA" w14:textId="5F715B19" w:rsidR="001A4507" w:rsidRPr="003331EF" w:rsidRDefault="001A4507" w:rsidP="003331EF">
      <w:pPr>
        <w:spacing w:before="0"/>
        <w:rPr>
          <w:iCs/>
          <w:spacing w:val="-5"/>
          <w:lang w:eastAsia="en-US"/>
        </w:rPr>
      </w:pPr>
      <w:r w:rsidRPr="003331EF">
        <w:rPr>
          <w:b/>
        </w:rPr>
        <w:t>Lõike 6</w:t>
      </w:r>
      <w:r w:rsidRPr="003331EF">
        <w:t xml:space="preserve"> </w:t>
      </w:r>
      <w:r w:rsidRPr="003331EF">
        <w:rPr>
          <w:iCs/>
          <w:spacing w:val="-5"/>
          <w:lang w:eastAsia="en-US"/>
        </w:rPr>
        <w:t xml:space="preserve">kohaselt teeb Finantsinspektsioon viivitamata </w:t>
      </w:r>
      <w:proofErr w:type="spellStart"/>
      <w:r w:rsidRPr="003331EF">
        <w:rPr>
          <w:iCs/>
          <w:spacing w:val="-5"/>
          <w:lang w:eastAsia="en-US"/>
        </w:rPr>
        <w:t>krüptovarateenuse</w:t>
      </w:r>
      <w:proofErr w:type="spellEnd"/>
      <w:r w:rsidRPr="003331EF">
        <w:rPr>
          <w:iCs/>
          <w:spacing w:val="-5"/>
          <w:lang w:eastAsia="en-US"/>
        </w:rPr>
        <w:t xml:space="preserve"> osutajale</w:t>
      </w:r>
      <w:r w:rsidR="00EE7205" w:rsidRPr="003331EF">
        <w:rPr>
          <w:iCs/>
          <w:spacing w:val="-5"/>
          <w:lang w:eastAsia="en-US"/>
        </w:rPr>
        <w:t xml:space="preserve"> ja varapõhise </w:t>
      </w:r>
      <w:proofErr w:type="spellStart"/>
      <w:r w:rsidR="00EE7205" w:rsidRPr="003331EF">
        <w:rPr>
          <w:iCs/>
          <w:spacing w:val="-5"/>
          <w:lang w:eastAsia="en-US"/>
        </w:rPr>
        <w:t>tokeni</w:t>
      </w:r>
      <w:proofErr w:type="spellEnd"/>
      <w:r w:rsidR="00EE7205" w:rsidRPr="003331EF">
        <w:rPr>
          <w:iCs/>
          <w:spacing w:val="-5"/>
          <w:lang w:eastAsia="en-US"/>
        </w:rPr>
        <w:t xml:space="preserve"> emitendile</w:t>
      </w:r>
      <w:r w:rsidRPr="003331EF">
        <w:rPr>
          <w:iCs/>
          <w:spacing w:val="-5"/>
          <w:lang w:eastAsia="en-US"/>
        </w:rPr>
        <w:t xml:space="preserve"> teatavaks otsuse tema lõpetamise loa andmise või sellest keeldumise kohta.</w:t>
      </w:r>
    </w:p>
    <w:p w14:paraId="3BA045F0" w14:textId="77777777" w:rsidR="000D4C7B" w:rsidRPr="003331EF" w:rsidRDefault="000D4C7B" w:rsidP="003331EF">
      <w:pPr>
        <w:spacing w:before="0"/>
        <w:rPr>
          <w:iCs/>
          <w:spacing w:val="-5"/>
          <w:lang w:eastAsia="en-US"/>
        </w:rPr>
      </w:pPr>
    </w:p>
    <w:p w14:paraId="1F43583C" w14:textId="271D78B9" w:rsidR="000D4C7B" w:rsidRPr="003331EF" w:rsidRDefault="000D4C7B" w:rsidP="003331EF">
      <w:pPr>
        <w:spacing w:before="0"/>
      </w:pPr>
      <w:r w:rsidRPr="003331EF">
        <w:rPr>
          <w:b/>
          <w:bCs/>
          <w:iCs/>
          <w:spacing w:val="-5"/>
          <w:lang w:eastAsia="en-US"/>
        </w:rPr>
        <w:t>Lõigete</w:t>
      </w:r>
      <w:r w:rsidR="00F642E4" w:rsidRPr="003331EF">
        <w:rPr>
          <w:b/>
          <w:bCs/>
          <w:iCs/>
          <w:spacing w:val="-5"/>
          <w:lang w:eastAsia="en-US"/>
        </w:rPr>
        <w:t>s</w:t>
      </w:r>
      <w:r w:rsidRPr="003331EF">
        <w:rPr>
          <w:b/>
          <w:bCs/>
          <w:iCs/>
          <w:spacing w:val="-5"/>
          <w:lang w:eastAsia="en-US"/>
        </w:rPr>
        <w:t xml:space="preserve"> 7–11 </w:t>
      </w:r>
      <w:r w:rsidRPr="003331EF">
        <w:rPr>
          <w:iCs/>
          <w:spacing w:val="-5"/>
          <w:lang w:eastAsia="en-US"/>
        </w:rPr>
        <w:t xml:space="preserve">on reguleeritud varapõhise </w:t>
      </w:r>
      <w:proofErr w:type="spellStart"/>
      <w:r w:rsidRPr="003331EF">
        <w:rPr>
          <w:iCs/>
          <w:spacing w:val="-5"/>
          <w:lang w:eastAsia="en-US"/>
        </w:rPr>
        <w:t>tokeni</w:t>
      </w:r>
      <w:proofErr w:type="spellEnd"/>
      <w:r w:rsidRPr="003331EF">
        <w:rPr>
          <w:iCs/>
          <w:spacing w:val="-5"/>
          <w:lang w:eastAsia="en-US"/>
        </w:rPr>
        <w:t xml:space="preserve"> emitendi ja </w:t>
      </w:r>
      <w:proofErr w:type="spellStart"/>
      <w:r w:rsidRPr="003331EF">
        <w:rPr>
          <w:iCs/>
          <w:spacing w:val="-5"/>
          <w:lang w:eastAsia="en-US"/>
        </w:rPr>
        <w:t>krüptovarateenuse</w:t>
      </w:r>
      <w:proofErr w:type="spellEnd"/>
      <w:r w:rsidRPr="003331EF">
        <w:rPr>
          <w:iCs/>
          <w:spacing w:val="-5"/>
          <w:lang w:eastAsia="en-US"/>
        </w:rPr>
        <w:t xml:space="preserve"> osutaja sundlõpetamine. Sundlõpetamise regulatsiooni</w:t>
      </w:r>
      <w:r w:rsidR="008F2490" w:rsidRPr="003331EF">
        <w:rPr>
          <w:iCs/>
          <w:spacing w:val="-5"/>
          <w:lang w:eastAsia="en-US"/>
        </w:rPr>
        <w:t xml:space="preserve"> puhul</w:t>
      </w:r>
      <w:r w:rsidRPr="003331EF">
        <w:rPr>
          <w:iCs/>
          <w:spacing w:val="-5"/>
          <w:lang w:eastAsia="en-US"/>
        </w:rPr>
        <w:t xml:space="preserve"> on lähtutud </w:t>
      </w:r>
      <w:proofErr w:type="spellStart"/>
      <w:r w:rsidRPr="003331EF">
        <w:rPr>
          <w:iCs/>
          <w:spacing w:val="-5"/>
          <w:lang w:eastAsia="en-US"/>
        </w:rPr>
        <w:t>MERAS-e</w:t>
      </w:r>
      <w:proofErr w:type="spellEnd"/>
      <w:r w:rsidRPr="003331EF">
        <w:rPr>
          <w:iCs/>
          <w:spacing w:val="-5"/>
          <w:lang w:eastAsia="en-US"/>
        </w:rPr>
        <w:t xml:space="preserve"> sundlõpetamise sätetest. Seega nähakse ette, et sundlõpetamine on võimalik Finantsinspektsiooni avalduse alusel kohtu määrusega, kui Finantsinspektsioon on varapõhise </w:t>
      </w:r>
      <w:proofErr w:type="spellStart"/>
      <w:r w:rsidRPr="003331EF">
        <w:rPr>
          <w:iCs/>
          <w:spacing w:val="-5"/>
          <w:lang w:eastAsia="en-US"/>
        </w:rPr>
        <w:t>tokeni</w:t>
      </w:r>
      <w:proofErr w:type="spellEnd"/>
      <w:r w:rsidRPr="003331EF">
        <w:rPr>
          <w:iCs/>
          <w:spacing w:val="-5"/>
          <w:lang w:eastAsia="en-US"/>
        </w:rPr>
        <w:t xml:space="preserve"> emitendi või </w:t>
      </w:r>
      <w:proofErr w:type="spellStart"/>
      <w:r w:rsidRPr="003331EF">
        <w:rPr>
          <w:iCs/>
          <w:spacing w:val="-5"/>
          <w:lang w:eastAsia="en-US"/>
        </w:rPr>
        <w:t>krüptovarateenuse</w:t>
      </w:r>
      <w:proofErr w:type="spellEnd"/>
      <w:r w:rsidRPr="003331EF">
        <w:rPr>
          <w:iCs/>
          <w:spacing w:val="-5"/>
          <w:lang w:eastAsia="en-US"/>
        </w:rPr>
        <w:t xml:space="preserve"> osutaja tegevusloa kehtetuks tunnistanud (vastavad alused on </w:t>
      </w:r>
      <w:proofErr w:type="spellStart"/>
      <w:r w:rsidRPr="003331EF">
        <w:rPr>
          <w:iCs/>
          <w:spacing w:val="-5"/>
          <w:lang w:eastAsia="en-US"/>
        </w:rPr>
        <w:t>MiCA</w:t>
      </w:r>
      <w:proofErr w:type="spellEnd"/>
      <w:r w:rsidRPr="003331EF">
        <w:rPr>
          <w:iCs/>
          <w:spacing w:val="-5"/>
          <w:lang w:eastAsia="en-US"/>
        </w:rPr>
        <w:t xml:space="preserve"> määruse artiklites 24 ja 64</w:t>
      </w:r>
      <w:r w:rsidR="00F642E4" w:rsidRPr="003331EF">
        <w:rPr>
          <w:iCs/>
          <w:spacing w:val="-5"/>
          <w:lang w:eastAsia="en-US"/>
        </w:rPr>
        <w:t>)</w:t>
      </w:r>
      <w:r w:rsidRPr="003331EF">
        <w:rPr>
          <w:iCs/>
          <w:spacing w:val="-5"/>
          <w:lang w:eastAsia="en-US"/>
        </w:rPr>
        <w:t xml:space="preserve">. Lõige 8 täpsustab lõiget 7 ning näeb ette, et sundlõpetamise avaldusega koos tuleb kohtule esitada ka tõendid </w:t>
      </w:r>
      <w:proofErr w:type="spellStart"/>
      <w:r w:rsidRPr="003331EF">
        <w:rPr>
          <w:iCs/>
          <w:spacing w:val="-5"/>
          <w:lang w:eastAsia="en-US"/>
        </w:rPr>
        <w:t>MiCA</w:t>
      </w:r>
      <w:proofErr w:type="spellEnd"/>
      <w:r w:rsidRPr="003331EF">
        <w:rPr>
          <w:iCs/>
          <w:spacing w:val="-5"/>
          <w:lang w:eastAsia="en-US"/>
        </w:rPr>
        <w:t xml:space="preserve"> määruse artiklites 24 ja 64 sätestatud asjaolude kohta. Lõike 9 kohaselt otsustab varapõhise </w:t>
      </w:r>
      <w:proofErr w:type="spellStart"/>
      <w:r w:rsidRPr="003331EF">
        <w:rPr>
          <w:iCs/>
          <w:spacing w:val="-5"/>
          <w:lang w:eastAsia="en-US"/>
        </w:rPr>
        <w:t>tokeni</w:t>
      </w:r>
      <w:proofErr w:type="spellEnd"/>
      <w:r w:rsidRPr="003331EF">
        <w:rPr>
          <w:iCs/>
          <w:spacing w:val="-5"/>
          <w:lang w:eastAsia="en-US"/>
        </w:rPr>
        <w:t xml:space="preserve"> emitendi või </w:t>
      </w:r>
      <w:proofErr w:type="spellStart"/>
      <w:r w:rsidRPr="003331EF">
        <w:rPr>
          <w:iCs/>
          <w:spacing w:val="-5"/>
          <w:lang w:eastAsia="en-US"/>
        </w:rPr>
        <w:t>krüptovarateenuse</w:t>
      </w:r>
      <w:proofErr w:type="spellEnd"/>
      <w:r w:rsidRPr="003331EF">
        <w:rPr>
          <w:iCs/>
          <w:spacing w:val="-5"/>
          <w:lang w:eastAsia="en-US"/>
        </w:rPr>
        <w:t xml:space="preserve"> osutaja sundlikvideerimise kohus kolme tööpäeva jooksul vastava avalduse esitamisest arvates. Lõige 10 sätestab, et sundlõpetamise määrus kuulub viivitamatule täitmisele ning kaebuse esitamine ja menetlemine ei peata likvideerijate tegevust.</w:t>
      </w:r>
      <w:r w:rsidRPr="003331EF">
        <w:t xml:space="preserve"> </w:t>
      </w:r>
    </w:p>
    <w:p w14:paraId="4AF6E454" w14:textId="77777777" w:rsidR="000D4C7B" w:rsidRPr="003331EF" w:rsidRDefault="000D4C7B" w:rsidP="003331EF">
      <w:pPr>
        <w:spacing w:before="0"/>
      </w:pPr>
    </w:p>
    <w:p w14:paraId="5B735BD3" w14:textId="49747FC6" w:rsidR="000D4C7B" w:rsidRPr="003331EF" w:rsidRDefault="000D4C7B" w:rsidP="003331EF">
      <w:pPr>
        <w:spacing w:before="0"/>
        <w:rPr>
          <w:iCs/>
          <w:spacing w:val="-5"/>
          <w:lang w:eastAsia="en-US"/>
        </w:rPr>
      </w:pPr>
      <w:r w:rsidRPr="003331EF">
        <w:rPr>
          <w:iCs/>
          <w:spacing w:val="-5"/>
          <w:lang w:eastAsia="en-US"/>
        </w:rPr>
        <w:t>Lõike 11 kohaselt sundlõpetamise korral ei rakendata äriseadustiku § 203 lõikes 3 või 366 lõikes</w:t>
      </w:r>
      <w:r w:rsidR="003A07D7">
        <w:rPr>
          <w:iCs/>
          <w:spacing w:val="-5"/>
          <w:lang w:eastAsia="en-US"/>
        </w:rPr>
        <w:t> </w:t>
      </w:r>
      <w:r w:rsidRPr="003331EF">
        <w:rPr>
          <w:iCs/>
          <w:spacing w:val="-5"/>
          <w:lang w:eastAsia="en-US"/>
        </w:rPr>
        <w:t xml:space="preserve">3 sätestatut. Äriseadustiku eelnimetatud sätted annavad võimaluse, et kui sundlõpetamise aluseks oleva puuduse või muu asjaolu saab ilmselt kõrvaldada, määrab kohus eelnevalt tähtaja puuduse või asjaolu kõrvaldamiseks. Finantsinspektsioon </w:t>
      </w:r>
      <w:r w:rsidR="008976AF" w:rsidRPr="003331EF">
        <w:rPr>
          <w:iCs/>
          <w:spacing w:val="-5"/>
          <w:lang w:eastAsia="en-US"/>
        </w:rPr>
        <w:t xml:space="preserve">võib </w:t>
      </w:r>
      <w:r w:rsidRPr="003331EF">
        <w:rPr>
          <w:iCs/>
          <w:spacing w:val="-5"/>
          <w:lang w:eastAsia="en-US"/>
        </w:rPr>
        <w:t>enne tegevusloa kehtetuks tunnistamist teha ettekirjutuse, andes tähtaja kehtetuks tunnistamise põhjuseks olevate puuduste kõrvaldamiseks</w:t>
      </w:r>
    </w:p>
    <w:p w14:paraId="05204F4D" w14:textId="77777777" w:rsidR="001A4507" w:rsidRPr="003331EF" w:rsidRDefault="001A4507" w:rsidP="003331EF">
      <w:pPr>
        <w:spacing w:before="0"/>
        <w:rPr>
          <w:i/>
          <w:iCs/>
        </w:rPr>
      </w:pPr>
    </w:p>
    <w:p w14:paraId="6E6D7F21" w14:textId="36CCB564" w:rsidR="00EE7205" w:rsidRPr="003331EF" w:rsidRDefault="00EE7205" w:rsidP="003331EF">
      <w:pPr>
        <w:spacing w:before="0"/>
        <w:rPr>
          <w:b/>
          <w:bCs/>
        </w:rPr>
      </w:pPr>
      <w:r w:rsidRPr="003331EF">
        <w:rPr>
          <w:b/>
        </w:rPr>
        <w:t>Paragrahv 2</w:t>
      </w:r>
      <w:r w:rsidR="00F3554D" w:rsidRPr="003331EF">
        <w:rPr>
          <w:b/>
        </w:rPr>
        <w:t>4</w:t>
      </w:r>
      <w:r w:rsidRPr="003331EF">
        <w:rPr>
          <w:b/>
        </w:rPr>
        <w:t xml:space="preserve">. </w:t>
      </w:r>
      <w:proofErr w:type="spellStart"/>
      <w:r w:rsidRPr="003331EF">
        <w:rPr>
          <w:b/>
          <w:bCs/>
        </w:rPr>
        <w:t>Krüptovarateenuse</w:t>
      </w:r>
      <w:proofErr w:type="spellEnd"/>
      <w:r w:rsidRPr="003331EF">
        <w:rPr>
          <w:b/>
          <w:bCs/>
        </w:rPr>
        <w:t xml:space="preserve"> osutaja ja varapõhise </w:t>
      </w:r>
      <w:proofErr w:type="spellStart"/>
      <w:r w:rsidRPr="003331EF">
        <w:rPr>
          <w:b/>
          <w:bCs/>
        </w:rPr>
        <w:t>tokeni</w:t>
      </w:r>
      <w:proofErr w:type="spellEnd"/>
      <w:r w:rsidRPr="003331EF">
        <w:rPr>
          <w:b/>
          <w:bCs/>
        </w:rPr>
        <w:t xml:space="preserve"> emitendi pankrot</w:t>
      </w:r>
    </w:p>
    <w:p w14:paraId="67636EB2" w14:textId="77777777" w:rsidR="004B58F4" w:rsidRPr="003331EF" w:rsidRDefault="004B58F4" w:rsidP="003331EF">
      <w:pPr>
        <w:spacing w:before="0"/>
        <w:rPr>
          <w:b/>
          <w:bCs/>
        </w:rPr>
      </w:pPr>
    </w:p>
    <w:p w14:paraId="157AEA61" w14:textId="4830FD6B" w:rsidR="004B58F4" w:rsidRPr="003331EF" w:rsidRDefault="004B58F4" w:rsidP="003331EF">
      <w:pPr>
        <w:spacing w:before="0"/>
        <w:rPr>
          <w:iCs/>
          <w:spacing w:val="-5"/>
          <w:lang w:eastAsia="en-US"/>
        </w:rPr>
      </w:pPr>
      <w:proofErr w:type="spellStart"/>
      <w:r w:rsidRPr="003331EF">
        <w:rPr>
          <w:iCs/>
          <w:spacing w:val="-5"/>
          <w:lang w:eastAsia="en-US"/>
        </w:rPr>
        <w:t>Krüptovarateenuse</w:t>
      </w:r>
      <w:proofErr w:type="spellEnd"/>
      <w:r w:rsidRPr="003331EF">
        <w:rPr>
          <w:iCs/>
          <w:spacing w:val="-5"/>
          <w:lang w:eastAsia="en-US"/>
        </w:rPr>
        <w:t xml:space="preserve"> osutaja ja varapõhise </w:t>
      </w:r>
      <w:proofErr w:type="spellStart"/>
      <w:r w:rsidRPr="003331EF">
        <w:rPr>
          <w:iCs/>
          <w:spacing w:val="-5"/>
          <w:lang w:eastAsia="en-US"/>
        </w:rPr>
        <w:t>tokeni</w:t>
      </w:r>
      <w:proofErr w:type="spellEnd"/>
      <w:r w:rsidRPr="003331EF">
        <w:rPr>
          <w:iCs/>
          <w:spacing w:val="-5"/>
          <w:lang w:eastAsia="en-US"/>
        </w:rPr>
        <w:t xml:space="preserve"> emitendi pankroti korral kohaldatakse pankrotiseadust, kuid käesolevas seaduses on ette nähtud teatud erisused. </w:t>
      </w:r>
    </w:p>
    <w:p w14:paraId="597D3A6D" w14:textId="77777777" w:rsidR="00EE7205" w:rsidRPr="003331EF" w:rsidRDefault="00EE7205" w:rsidP="003331EF">
      <w:pPr>
        <w:spacing w:before="0"/>
        <w:rPr>
          <w:b/>
        </w:rPr>
      </w:pPr>
    </w:p>
    <w:p w14:paraId="438EF2C5" w14:textId="226B6D65" w:rsidR="001A4507" w:rsidRPr="003331EF" w:rsidRDefault="001A4507" w:rsidP="003331EF">
      <w:pPr>
        <w:spacing w:before="0"/>
      </w:pPr>
      <w:r w:rsidRPr="003331EF">
        <w:rPr>
          <w:b/>
        </w:rPr>
        <w:lastRenderedPageBreak/>
        <w:t xml:space="preserve">Paragrahv </w:t>
      </w:r>
      <w:r w:rsidR="00EE7205" w:rsidRPr="003331EF">
        <w:rPr>
          <w:b/>
        </w:rPr>
        <w:t>2</w:t>
      </w:r>
      <w:r w:rsidR="00F3554D" w:rsidRPr="003331EF">
        <w:rPr>
          <w:b/>
        </w:rPr>
        <w:t>4</w:t>
      </w:r>
      <w:r w:rsidRPr="003331EF">
        <w:t xml:space="preserve"> </w:t>
      </w:r>
      <w:r w:rsidRPr="003331EF">
        <w:rPr>
          <w:iCs/>
          <w:spacing w:val="-5"/>
          <w:lang w:eastAsia="en-US"/>
        </w:rPr>
        <w:t xml:space="preserve">käsitleb </w:t>
      </w:r>
      <w:proofErr w:type="spellStart"/>
      <w:r w:rsidRPr="003331EF">
        <w:rPr>
          <w:iCs/>
          <w:spacing w:val="-5"/>
          <w:lang w:eastAsia="en-US"/>
        </w:rPr>
        <w:t>krüptovarateenuse</w:t>
      </w:r>
      <w:proofErr w:type="spellEnd"/>
      <w:r w:rsidRPr="003331EF">
        <w:rPr>
          <w:iCs/>
          <w:spacing w:val="-5"/>
          <w:lang w:eastAsia="en-US"/>
        </w:rPr>
        <w:t xml:space="preserve"> osutaja pankroti olukorda.</w:t>
      </w:r>
      <w:r w:rsidR="00BF6F88" w:rsidRPr="003331EF">
        <w:rPr>
          <w:iCs/>
          <w:spacing w:val="-5"/>
          <w:lang w:eastAsia="en-US"/>
        </w:rPr>
        <w:t xml:space="preserve"> </w:t>
      </w:r>
      <w:proofErr w:type="spellStart"/>
      <w:r w:rsidR="00BF6F88" w:rsidRPr="003331EF">
        <w:rPr>
          <w:iCs/>
          <w:spacing w:val="-5"/>
          <w:lang w:eastAsia="en-US"/>
        </w:rPr>
        <w:t>Krüptovarateenuse</w:t>
      </w:r>
      <w:proofErr w:type="spellEnd"/>
      <w:r w:rsidR="00BF6F88" w:rsidRPr="003331EF">
        <w:rPr>
          <w:iCs/>
          <w:spacing w:val="-5"/>
          <w:lang w:eastAsia="en-US"/>
        </w:rPr>
        <w:t xml:space="preserve"> osutaja ja varapõhise </w:t>
      </w:r>
      <w:proofErr w:type="spellStart"/>
      <w:r w:rsidR="00BF6F88" w:rsidRPr="003331EF">
        <w:rPr>
          <w:iCs/>
          <w:spacing w:val="-5"/>
          <w:lang w:eastAsia="en-US"/>
        </w:rPr>
        <w:t>tokeni</w:t>
      </w:r>
      <w:proofErr w:type="spellEnd"/>
      <w:r w:rsidR="00BF6F88" w:rsidRPr="003331EF">
        <w:rPr>
          <w:iCs/>
          <w:spacing w:val="-5"/>
          <w:lang w:eastAsia="en-US"/>
        </w:rPr>
        <w:t xml:space="preserve"> emitendi pankrotimenetlus toimub </w:t>
      </w:r>
      <w:proofErr w:type="spellStart"/>
      <w:r w:rsidR="00BF6F88" w:rsidRPr="003331EF">
        <w:rPr>
          <w:iCs/>
          <w:spacing w:val="-5"/>
          <w:lang w:eastAsia="en-US"/>
        </w:rPr>
        <w:t>pankraotiseaduses</w:t>
      </w:r>
      <w:proofErr w:type="spellEnd"/>
      <w:r w:rsidR="00BF6F88" w:rsidRPr="003331EF">
        <w:rPr>
          <w:iCs/>
          <w:spacing w:val="-5"/>
          <w:lang w:eastAsia="en-US"/>
        </w:rPr>
        <w:t xml:space="preserve"> sätestatu kohaselt, arvestades käesolevas seaduses sätestatud erisustega.</w:t>
      </w:r>
    </w:p>
    <w:p w14:paraId="5E045970" w14:textId="77777777" w:rsidR="001A4507" w:rsidRPr="003331EF" w:rsidRDefault="001A4507" w:rsidP="003331EF">
      <w:pPr>
        <w:spacing w:before="0"/>
        <w:rPr>
          <w:i/>
          <w:iCs/>
        </w:rPr>
      </w:pPr>
    </w:p>
    <w:p w14:paraId="67E810C6" w14:textId="396C125D" w:rsidR="001A4507" w:rsidRPr="003331EF" w:rsidRDefault="001A4507" w:rsidP="003331EF">
      <w:pPr>
        <w:spacing w:before="0"/>
      </w:pPr>
      <w:r w:rsidRPr="003331EF">
        <w:rPr>
          <w:b/>
        </w:rPr>
        <w:t>Lõike 1</w:t>
      </w:r>
      <w:r w:rsidRPr="003331EF">
        <w:t xml:space="preserve"> k</w:t>
      </w:r>
      <w:r w:rsidRPr="003331EF">
        <w:rPr>
          <w:iCs/>
          <w:spacing w:val="-5"/>
          <w:lang w:eastAsia="en-US"/>
        </w:rPr>
        <w:t>ohaselt või</w:t>
      </w:r>
      <w:r w:rsidR="00A3106A" w:rsidRPr="003331EF">
        <w:rPr>
          <w:iCs/>
          <w:spacing w:val="-5"/>
          <w:lang w:eastAsia="en-US"/>
        </w:rPr>
        <w:t>b</w:t>
      </w:r>
      <w:r w:rsidRPr="003331EF">
        <w:rPr>
          <w:iCs/>
          <w:spacing w:val="-5"/>
          <w:lang w:eastAsia="en-US"/>
        </w:rPr>
        <w:t xml:space="preserve"> </w:t>
      </w:r>
      <w:proofErr w:type="spellStart"/>
      <w:r w:rsidRPr="003331EF">
        <w:rPr>
          <w:iCs/>
          <w:spacing w:val="-5"/>
          <w:lang w:eastAsia="en-US"/>
        </w:rPr>
        <w:t>krüptovarateenuse</w:t>
      </w:r>
      <w:proofErr w:type="spellEnd"/>
      <w:r w:rsidRPr="003331EF">
        <w:rPr>
          <w:iCs/>
          <w:spacing w:val="-5"/>
          <w:lang w:eastAsia="en-US"/>
        </w:rPr>
        <w:t xml:space="preserve"> osutaja </w:t>
      </w:r>
      <w:r w:rsidR="00EE7205" w:rsidRPr="003331EF">
        <w:rPr>
          <w:iCs/>
          <w:spacing w:val="-5"/>
          <w:lang w:eastAsia="en-US"/>
        </w:rPr>
        <w:t xml:space="preserve">või varapõhise </w:t>
      </w:r>
      <w:proofErr w:type="spellStart"/>
      <w:r w:rsidR="00EE7205" w:rsidRPr="003331EF">
        <w:rPr>
          <w:iCs/>
          <w:spacing w:val="-5"/>
          <w:lang w:eastAsia="en-US"/>
        </w:rPr>
        <w:t>tokeni</w:t>
      </w:r>
      <w:proofErr w:type="spellEnd"/>
      <w:r w:rsidR="00EE7205" w:rsidRPr="003331EF">
        <w:rPr>
          <w:iCs/>
          <w:spacing w:val="-5"/>
          <w:lang w:eastAsia="en-US"/>
        </w:rPr>
        <w:t xml:space="preserve"> emitendi </w:t>
      </w:r>
      <w:r w:rsidRPr="003331EF">
        <w:rPr>
          <w:iCs/>
          <w:spacing w:val="-5"/>
          <w:lang w:eastAsia="en-US"/>
        </w:rPr>
        <w:t>vastu pankrotiavalduse esitada Finantsinspektsioon (punkt 1), likvideerijad (punkt 2) või võlausaldajad (punkt 3).</w:t>
      </w:r>
    </w:p>
    <w:p w14:paraId="4CD87C22" w14:textId="77777777" w:rsidR="001A4507" w:rsidRPr="003331EF" w:rsidRDefault="001A4507" w:rsidP="003331EF">
      <w:pPr>
        <w:spacing w:before="0"/>
        <w:rPr>
          <w:i/>
          <w:iCs/>
        </w:rPr>
      </w:pPr>
    </w:p>
    <w:p w14:paraId="4AFAF8C2" w14:textId="20E30FAA" w:rsidR="002B7ED2" w:rsidRPr="003331EF" w:rsidRDefault="002B7ED2" w:rsidP="003331EF">
      <w:pPr>
        <w:spacing w:before="0"/>
      </w:pPr>
      <w:r w:rsidRPr="003331EF">
        <w:rPr>
          <w:b/>
        </w:rPr>
        <w:t>Lõike 2</w:t>
      </w:r>
      <w:r w:rsidRPr="003331EF">
        <w:t xml:space="preserve"> </w:t>
      </w:r>
      <w:r w:rsidRPr="003331EF">
        <w:rPr>
          <w:iCs/>
          <w:spacing w:val="-5"/>
          <w:lang w:eastAsia="en-US"/>
        </w:rPr>
        <w:t xml:space="preserve">kohaselt võib tegutsev </w:t>
      </w:r>
      <w:proofErr w:type="spellStart"/>
      <w:r w:rsidRPr="003331EF">
        <w:rPr>
          <w:iCs/>
          <w:spacing w:val="-5"/>
          <w:lang w:eastAsia="en-US"/>
        </w:rPr>
        <w:t>krüptovarateenuse</w:t>
      </w:r>
      <w:proofErr w:type="spellEnd"/>
      <w:r w:rsidRPr="003331EF">
        <w:rPr>
          <w:iCs/>
          <w:spacing w:val="-5"/>
          <w:lang w:eastAsia="en-US"/>
        </w:rPr>
        <w:t xml:space="preserve"> osutaja või varapõhise </w:t>
      </w:r>
      <w:proofErr w:type="spellStart"/>
      <w:r w:rsidRPr="003331EF">
        <w:rPr>
          <w:iCs/>
          <w:spacing w:val="-5"/>
          <w:lang w:eastAsia="en-US"/>
        </w:rPr>
        <w:t>tokeni</w:t>
      </w:r>
      <w:proofErr w:type="spellEnd"/>
      <w:r w:rsidRPr="003331EF">
        <w:rPr>
          <w:iCs/>
          <w:spacing w:val="-5"/>
          <w:lang w:eastAsia="en-US"/>
        </w:rPr>
        <w:t xml:space="preserve"> emitent kui võlgnik pankrotiavalduse esitada enda kohta ainult Finantsinspektsiooni kirjalikul nõusolekul.</w:t>
      </w:r>
    </w:p>
    <w:p w14:paraId="0EC1F46B" w14:textId="77777777" w:rsidR="002B7ED2" w:rsidRPr="003331EF" w:rsidRDefault="002B7ED2" w:rsidP="003331EF">
      <w:pPr>
        <w:spacing w:before="0"/>
        <w:rPr>
          <w:b/>
        </w:rPr>
      </w:pPr>
    </w:p>
    <w:p w14:paraId="281EF606" w14:textId="49A55C54" w:rsidR="001A4507" w:rsidRPr="003331EF" w:rsidRDefault="001A4507" w:rsidP="003331EF">
      <w:pPr>
        <w:spacing w:before="0"/>
      </w:pPr>
      <w:r w:rsidRPr="003331EF">
        <w:rPr>
          <w:b/>
        </w:rPr>
        <w:t xml:space="preserve">Lõike </w:t>
      </w:r>
      <w:r w:rsidR="002B7ED2" w:rsidRPr="003331EF">
        <w:rPr>
          <w:b/>
        </w:rPr>
        <w:t>3</w:t>
      </w:r>
      <w:r w:rsidRPr="003331EF">
        <w:t xml:space="preserve"> </w:t>
      </w:r>
      <w:r w:rsidRPr="003331EF">
        <w:rPr>
          <w:iCs/>
          <w:spacing w:val="-5"/>
          <w:lang w:eastAsia="en-US"/>
        </w:rPr>
        <w:t xml:space="preserve">kohaselt peab tegutsev </w:t>
      </w:r>
      <w:proofErr w:type="spellStart"/>
      <w:r w:rsidRPr="003331EF">
        <w:rPr>
          <w:iCs/>
          <w:spacing w:val="-5"/>
          <w:lang w:eastAsia="en-US"/>
        </w:rPr>
        <w:t>krüptovarateenuse</w:t>
      </w:r>
      <w:proofErr w:type="spellEnd"/>
      <w:r w:rsidRPr="003331EF">
        <w:rPr>
          <w:iCs/>
          <w:spacing w:val="-5"/>
          <w:lang w:eastAsia="en-US"/>
        </w:rPr>
        <w:t xml:space="preserve"> osutaja </w:t>
      </w:r>
      <w:r w:rsidR="00EE7205" w:rsidRPr="003331EF">
        <w:rPr>
          <w:iCs/>
          <w:spacing w:val="-5"/>
          <w:lang w:eastAsia="en-US"/>
        </w:rPr>
        <w:t xml:space="preserve">või varapõhise </w:t>
      </w:r>
      <w:proofErr w:type="spellStart"/>
      <w:r w:rsidR="00EE7205" w:rsidRPr="003331EF">
        <w:rPr>
          <w:iCs/>
          <w:spacing w:val="-5"/>
          <w:lang w:eastAsia="en-US"/>
        </w:rPr>
        <w:t>tokeni</w:t>
      </w:r>
      <w:proofErr w:type="spellEnd"/>
      <w:r w:rsidR="00EE7205" w:rsidRPr="003331EF">
        <w:rPr>
          <w:iCs/>
          <w:spacing w:val="-5"/>
          <w:lang w:eastAsia="en-US"/>
        </w:rPr>
        <w:t xml:space="preserve"> emitent </w:t>
      </w:r>
      <w:r w:rsidRPr="003331EF">
        <w:rPr>
          <w:iCs/>
          <w:spacing w:val="-5"/>
          <w:lang w:eastAsia="en-US"/>
        </w:rPr>
        <w:t>viivitamata Finantsinspektsiooni</w:t>
      </w:r>
      <w:r w:rsidRPr="003331EF" w:rsidDel="000D6B7F">
        <w:rPr>
          <w:iCs/>
          <w:spacing w:val="-5"/>
          <w:lang w:eastAsia="en-US"/>
        </w:rPr>
        <w:t xml:space="preserve"> </w:t>
      </w:r>
      <w:r w:rsidRPr="003331EF">
        <w:rPr>
          <w:iCs/>
          <w:spacing w:val="-5"/>
          <w:lang w:eastAsia="en-US"/>
        </w:rPr>
        <w:t>teavitama pankrotiavalduse esitamisest enda suhtes</w:t>
      </w:r>
      <w:r w:rsidR="00B361CD" w:rsidRPr="003331EF">
        <w:rPr>
          <w:iCs/>
          <w:spacing w:val="-5"/>
          <w:lang w:eastAsia="en-US"/>
        </w:rPr>
        <w:t xml:space="preserve"> ehk kui selle on esitanud likvideerijad või võlausaldajad.</w:t>
      </w:r>
    </w:p>
    <w:p w14:paraId="3C435475" w14:textId="77777777" w:rsidR="001A4507" w:rsidRPr="003331EF" w:rsidRDefault="001A4507" w:rsidP="003331EF">
      <w:pPr>
        <w:spacing w:before="0"/>
        <w:rPr>
          <w:i/>
          <w:iCs/>
        </w:rPr>
      </w:pPr>
    </w:p>
    <w:p w14:paraId="7E0BD87A" w14:textId="26E77A80" w:rsidR="001A4507" w:rsidRPr="003331EF" w:rsidRDefault="001A4507" w:rsidP="003331EF">
      <w:pPr>
        <w:spacing w:before="0"/>
      </w:pPr>
      <w:r w:rsidRPr="003331EF">
        <w:rPr>
          <w:b/>
        </w:rPr>
        <w:t>Lõige 4</w:t>
      </w:r>
      <w:r w:rsidRPr="003331EF">
        <w:t xml:space="preserve"> </w:t>
      </w:r>
      <w:r w:rsidRPr="003331EF">
        <w:rPr>
          <w:iCs/>
          <w:spacing w:val="-5"/>
          <w:lang w:eastAsia="en-US"/>
        </w:rPr>
        <w:t xml:space="preserve">sätestab kaitsemeetme klientide varale pankrotimenetluse korral. Selle kohaselt kuulub teenuseosutamisega seoses </w:t>
      </w:r>
      <w:proofErr w:type="spellStart"/>
      <w:r w:rsidR="007B7A2F" w:rsidRPr="003331EF">
        <w:rPr>
          <w:iCs/>
          <w:spacing w:val="-5"/>
          <w:lang w:eastAsia="en-US"/>
        </w:rPr>
        <w:t>krüptovara</w:t>
      </w:r>
      <w:r w:rsidRPr="003331EF">
        <w:rPr>
          <w:iCs/>
          <w:spacing w:val="-5"/>
          <w:lang w:eastAsia="en-US"/>
        </w:rPr>
        <w:t>teenuse</w:t>
      </w:r>
      <w:proofErr w:type="spellEnd"/>
      <w:r w:rsidR="007B7A2F" w:rsidRPr="003331EF">
        <w:rPr>
          <w:iCs/>
          <w:spacing w:val="-5"/>
          <w:lang w:eastAsia="en-US"/>
        </w:rPr>
        <w:t xml:space="preserve"> </w:t>
      </w:r>
      <w:r w:rsidRPr="003331EF">
        <w:rPr>
          <w:iCs/>
          <w:spacing w:val="-5"/>
          <w:lang w:eastAsia="en-US"/>
        </w:rPr>
        <w:t>osutajale usaldatud kliendi vara, samuti selle arvel omandatud vara, teenuse</w:t>
      </w:r>
      <w:r w:rsidR="007B7A2F" w:rsidRPr="003331EF">
        <w:rPr>
          <w:iCs/>
          <w:spacing w:val="-5"/>
          <w:lang w:eastAsia="en-US"/>
        </w:rPr>
        <w:t xml:space="preserve"> </w:t>
      </w:r>
      <w:r w:rsidRPr="003331EF">
        <w:rPr>
          <w:iCs/>
          <w:spacing w:val="-5"/>
          <w:lang w:eastAsia="en-US"/>
        </w:rPr>
        <w:t xml:space="preserve">osutamisega seotud kliendile ning seda ei arvata </w:t>
      </w:r>
      <w:proofErr w:type="spellStart"/>
      <w:r w:rsidRPr="003331EF">
        <w:rPr>
          <w:iCs/>
          <w:spacing w:val="-5"/>
          <w:lang w:eastAsia="en-US"/>
        </w:rPr>
        <w:t>krüptovarateenuse</w:t>
      </w:r>
      <w:proofErr w:type="spellEnd"/>
      <w:r w:rsidRPr="003331EF">
        <w:rPr>
          <w:iCs/>
          <w:spacing w:val="-5"/>
          <w:lang w:eastAsia="en-US"/>
        </w:rPr>
        <w:t xml:space="preserve"> osutaja pankrotivara hulka ja selle arvel ei rahuldata </w:t>
      </w:r>
      <w:proofErr w:type="spellStart"/>
      <w:r w:rsidRPr="003331EF">
        <w:rPr>
          <w:iCs/>
          <w:spacing w:val="-5"/>
          <w:lang w:eastAsia="en-US"/>
        </w:rPr>
        <w:t>krüptovarateenuse</w:t>
      </w:r>
      <w:proofErr w:type="spellEnd"/>
      <w:r w:rsidRPr="003331EF">
        <w:rPr>
          <w:iCs/>
          <w:spacing w:val="-5"/>
          <w:lang w:eastAsia="en-US"/>
        </w:rPr>
        <w:t xml:space="preserve"> osutaja teiste võlausaldajate nõudeid.</w:t>
      </w:r>
    </w:p>
    <w:p w14:paraId="277CC791" w14:textId="77777777" w:rsidR="001A4507" w:rsidRPr="003331EF" w:rsidRDefault="001A4507" w:rsidP="003331EF">
      <w:pPr>
        <w:spacing w:before="0"/>
        <w:rPr>
          <w:i/>
          <w:iCs/>
        </w:rPr>
      </w:pPr>
    </w:p>
    <w:p w14:paraId="195A4A91" w14:textId="77777777" w:rsidR="000D7E55" w:rsidRPr="003331EF" w:rsidRDefault="001A4507" w:rsidP="003331EF">
      <w:pPr>
        <w:spacing w:before="0"/>
        <w:rPr>
          <w:iCs/>
          <w:spacing w:val="-5"/>
          <w:lang w:eastAsia="en-US"/>
        </w:rPr>
      </w:pPr>
      <w:r w:rsidRPr="003331EF">
        <w:rPr>
          <w:b/>
        </w:rPr>
        <w:t xml:space="preserve">Seaduse </w:t>
      </w:r>
      <w:r w:rsidR="00A720C0" w:rsidRPr="003331EF">
        <w:rPr>
          <w:b/>
        </w:rPr>
        <w:t>7</w:t>
      </w:r>
      <w:r w:rsidRPr="003331EF">
        <w:rPr>
          <w:b/>
        </w:rPr>
        <w:t>. peatükk</w:t>
      </w:r>
      <w:r w:rsidRPr="003331EF">
        <w:t xml:space="preserve"> </w:t>
      </w:r>
      <w:r w:rsidRPr="003331EF">
        <w:rPr>
          <w:iCs/>
          <w:spacing w:val="-5"/>
          <w:lang w:eastAsia="en-US"/>
        </w:rPr>
        <w:t xml:space="preserve">kehtestab nõuded järelevalvele. </w:t>
      </w:r>
    </w:p>
    <w:p w14:paraId="5DDE3DC2" w14:textId="77777777" w:rsidR="000D7E55" w:rsidRPr="003331EF" w:rsidRDefault="000D7E55" w:rsidP="003331EF">
      <w:pPr>
        <w:spacing w:before="0"/>
        <w:rPr>
          <w:iCs/>
          <w:spacing w:val="-5"/>
          <w:lang w:eastAsia="en-US"/>
        </w:rPr>
      </w:pPr>
    </w:p>
    <w:p w14:paraId="1BD3EEED" w14:textId="0F96C44F" w:rsidR="001A4507" w:rsidRPr="003331EF" w:rsidRDefault="001A4507" w:rsidP="003331EF">
      <w:pPr>
        <w:spacing w:before="0"/>
        <w:rPr>
          <w:iCs/>
          <w:spacing w:val="-5"/>
          <w:lang w:eastAsia="en-US"/>
        </w:rPr>
      </w:pPr>
      <w:r w:rsidRPr="003331EF">
        <w:rPr>
          <w:iCs/>
          <w:spacing w:val="-5"/>
          <w:lang w:eastAsia="en-US"/>
        </w:rPr>
        <w:t xml:space="preserve">Käesoleva peatüki sõnastamisel on võetud arvesse artikli 94 lõikes 1 sätestatut, mis ütleb, millised ülesanded pädeval asutusel on, kuid selle sissejuhatav lause jätab riigisiseselt võimaluse näha ette pädevale asutusele täiendavaid ülesendeid, kuna lõikes 1 sätestatud loetelu ei ole lõplik. </w:t>
      </w:r>
      <w:proofErr w:type="spellStart"/>
      <w:r w:rsidRPr="003331EF">
        <w:rPr>
          <w:iCs/>
          <w:spacing w:val="-5"/>
          <w:lang w:eastAsia="en-US"/>
        </w:rPr>
        <w:t>M</w:t>
      </w:r>
      <w:r w:rsidR="00A35898">
        <w:rPr>
          <w:iCs/>
          <w:spacing w:val="-5"/>
          <w:lang w:eastAsia="en-US"/>
        </w:rPr>
        <w:t>i</w:t>
      </w:r>
      <w:r w:rsidRPr="003331EF">
        <w:rPr>
          <w:iCs/>
          <w:spacing w:val="-5"/>
          <w:lang w:eastAsia="en-US"/>
        </w:rPr>
        <w:t>CA</w:t>
      </w:r>
      <w:proofErr w:type="spellEnd"/>
      <w:r w:rsidRPr="003331EF">
        <w:rPr>
          <w:iCs/>
          <w:spacing w:val="-5"/>
          <w:lang w:eastAsia="en-US"/>
        </w:rPr>
        <w:t xml:space="preserve"> määruse artikli 94 lõige 5 sätestab lisaks, et liikmesriik tagab asjakohaste meetmete võtmise, nii et pädevatel asutustel on võimalik kasutada oma ülesannete täitmiseks vajalikke järelevalve- ja uurimisvolitusi.</w:t>
      </w:r>
      <w:r w:rsidR="00396E06" w:rsidRPr="003331EF">
        <w:rPr>
          <w:iCs/>
          <w:spacing w:val="-5"/>
          <w:lang w:eastAsia="en-US"/>
        </w:rPr>
        <w:t xml:space="preserve"> </w:t>
      </w:r>
    </w:p>
    <w:p w14:paraId="5CD68291" w14:textId="77777777" w:rsidR="00396E06" w:rsidRPr="003331EF" w:rsidRDefault="00396E06" w:rsidP="003331EF">
      <w:pPr>
        <w:spacing w:before="0"/>
        <w:rPr>
          <w:iCs/>
          <w:spacing w:val="-5"/>
          <w:lang w:eastAsia="en-US"/>
        </w:rPr>
      </w:pPr>
    </w:p>
    <w:p w14:paraId="6B2CFEC4" w14:textId="6267B52B" w:rsidR="00396E06" w:rsidRPr="003331EF" w:rsidRDefault="00396E06" w:rsidP="003331EF">
      <w:pPr>
        <w:spacing w:before="0"/>
        <w:rPr>
          <w:iCs/>
          <w:spacing w:val="-5"/>
          <w:lang w:eastAsia="en-US"/>
        </w:rPr>
      </w:pPr>
      <w:proofErr w:type="spellStart"/>
      <w:r w:rsidRPr="003331EF">
        <w:rPr>
          <w:iCs/>
          <w:spacing w:val="-5"/>
          <w:lang w:eastAsia="en-US"/>
        </w:rPr>
        <w:t>M</w:t>
      </w:r>
      <w:r w:rsidR="00A35898">
        <w:rPr>
          <w:iCs/>
          <w:spacing w:val="-5"/>
          <w:lang w:eastAsia="en-US"/>
        </w:rPr>
        <w:t>i</w:t>
      </w:r>
      <w:r w:rsidRPr="003331EF">
        <w:rPr>
          <w:iCs/>
          <w:spacing w:val="-5"/>
          <w:lang w:eastAsia="en-US"/>
        </w:rPr>
        <w:t>CA</w:t>
      </w:r>
      <w:proofErr w:type="spellEnd"/>
      <w:r w:rsidRPr="003331EF">
        <w:rPr>
          <w:iCs/>
          <w:spacing w:val="-5"/>
          <w:lang w:eastAsia="en-US"/>
        </w:rPr>
        <w:t xml:space="preserve"> määruse artiklis 111 on loetelu karistustest ja muudest meetmetest, </w:t>
      </w:r>
      <w:r w:rsidR="000F4060" w:rsidRPr="003331EF">
        <w:rPr>
          <w:iCs/>
          <w:spacing w:val="-5"/>
          <w:lang w:eastAsia="en-US"/>
        </w:rPr>
        <w:t xml:space="preserve">mida pädev asutus võib rakendada, </w:t>
      </w:r>
      <w:r w:rsidRPr="003331EF">
        <w:rPr>
          <w:iCs/>
          <w:spacing w:val="-5"/>
          <w:lang w:eastAsia="en-US"/>
        </w:rPr>
        <w:t>kuid sama artikli 6 täpsustab, et liikmesriigid võivad ette näha, et pädevatel asutustel on ka muud õigused, ja nad võivad nii rikkumise eest vastutavatele füüsilistele kui ka juriidilistele isikutele näha ette rangemad karistused, kui on sätestatud selles artiklis.</w:t>
      </w:r>
    </w:p>
    <w:p w14:paraId="739B4CE0" w14:textId="77777777" w:rsidR="00EE7205" w:rsidRPr="003331EF" w:rsidRDefault="00EE7205" w:rsidP="003331EF">
      <w:pPr>
        <w:pStyle w:val="Normal2"/>
        <w:rPr>
          <w:b/>
          <w:sz w:val="24"/>
        </w:rPr>
      </w:pPr>
    </w:p>
    <w:p w14:paraId="350525DD" w14:textId="1B60145B" w:rsidR="00A720C0" w:rsidRPr="003331EF" w:rsidRDefault="00A720C0" w:rsidP="003331EF">
      <w:pPr>
        <w:pStyle w:val="Normal2"/>
        <w:rPr>
          <w:b/>
          <w:sz w:val="24"/>
        </w:rPr>
      </w:pPr>
      <w:r w:rsidRPr="003331EF">
        <w:rPr>
          <w:b/>
          <w:sz w:val="24"/>
        </w:rPr>
        <w:t>Paragrahv 2</w:t>
      </w:r>
      <w:r w:rsidR="00F25C58" w:rsidRPr="003331EF">
        <w:rPr>
          <w:b/>
          <w:sz w:val="24"/>
        </w:rPr>
        <w:t>5</w:t>
      </w:r>
      <w:r w:rsidRPr="003331EF">
        <w:rPr>
          <w:b/>
          <w:sz w:val="24"/>
        </w:rPr>
        <w:t>. Järelevalve eesmärk</w:t>
      </w:r>
    </w:p>
    <w:p w14:paraId="35796DF3" w14:textId="77777777" w:rsidR="00A720C0" w:rsidRPr="003331EF" w:rsidRDefault="00A720C0" w:rsidP="003331EF">
      <w:pPr>
        <w:pStyle w:val="Normal2"/>
        <w:rPr>
          <w:b/>
          <w:sz w:val="24"/>
        </w:rPr>
      </w:pPr>
    </w:p>
    <w:p w14:paraId="4D8334C8" w14:textId="2C8C7498" w:rsidR="003F112D" w:rsidRPr="003331EF" w:rsidRDefault="001A4507" w:rsidP="003331EF">
      <w:pPr>
        <w:pStyle w:val="Normal2"/>
        <w:rPr>
          <w:rFonts w:eastAsia="Times New Roman"/>
          <w:bCs w:val="0"/>
          <w:iCs/>
          <w:spacing w:val="-5"/>
          <w:sz w:val="24"/>
          <w:lang w:eastAsia="en-US"/>
        </w:rPr>
      </w:pPr>
      <w:r w:rsidRPr="003331EF">
        <w:rPr>
          <w:b/>
          <w:sz w:val="24"/>
        </w:rPr>
        <w:t xml:space="preserve">Paragrahv </w:t>
      </w:r>
      <w:r w:rsidR="00A720C0" w:rsidRPr="003331EF">
        <w:rPr>
          <w:b/>
          <w:sz w:val="24"/>
        </w:rPr>
        <w:t>2</w:t>
      </w:r>
      <w:r w:rsidR="00F25C58" w:rsidRPr="003331EF">
        <w:rPr>
          <w:b/>
          <w:sz w:val="24"/>
        </w:rPr>
        <w:t>5</w:t>
      </w:r>
      <w:r w:rsidR="00A720C0" w:rsidRPr="003331EF">
        <w:rPr>
          <w:sz w:val="24"/>
        </w:rPr>
        <w:t xml:space="preserve"> </w:t>
      </w:r>
      <w:r w:rsidRPr="003331EF">
        <w:rPr>
          <w:rFonts w:eastAsia="Times New Roman"/>
          <w:bCs w:val="0"/>
          <w:iCs/>
          <w:spacing w:val="-5"/>
          <w:sz w:val="24"/>
          <w:lang w:eastAsia="en-US"/>
        </w:rPr>
        <w:t xml:space="preserve">näeb ette järelevalve eesmärgid. Nimelt on järelevalve põhieesmärk tagada kõigi </w:t>
      </w:r>
      <w:proofErr w:type="spellStart"/>
      <w:r w:rsidRPr="003331EF">
        <w:rPr>
          <w:rFonts w:eastAsia="Times New Roman"/>
          <w:bCs w:val="0"/>
          <w:iCs/>
          <w:spacing w:val="-5"/>
          <w:sz w:val="24"/>
          <w:lang w:eastAsia="en-US"/>
        </w:rPr>
        <w:t>krüptovaraturu</w:t>
      </w:r>
      <w:proofErr w:type="spellEnd"/>
      <w:r w:rsidRPr="003331EF">
        <w:rPr>
          <w:rFonts w:eastAsia="Times New Roman"/>
          <w:bCs w:val="0"/>
          <w:iCs/>
          <w:spacing w:val="-5"/>
          <w:sz w:val="24"/>
          <w:lang w:eastAsia="en-US"/>
        </w:rPr>
        <w:t xml:space="preserve"> osaliste asutamise, tegevuse ja lõpetamise vastavus õigusaktides sätestatule, pidades silmas kõigi </w:t>
      </w:r>
      <w:proofErr w:type="spellStart"/>
      <w:r w:rsidRPr="003331EF">
        <w:rPr>
          <w:rFonts w:eastAsia="Times New Roman"/>
          <w:bCs w:val="0"/>
          <w:iCs/>
          <w:spacing w:val="-5"/>
          <w:sz w:val="24"/>
          <w:lang w:eastAsia="en-US"/>
        </w:rPr>
        <w:t>krüptovara</w:t>
      </w:r>
      <w:proofErr w:type="spellEnd"/>
      <w:r w:rsidRPr="003331EF">
        <w:rPr>
          <w:rFonts w:eastAsia="Times New Roman"/>
          <w:bCs w:val="0"/>
          <w:iCs/>
          <w:spacing w:val="-5"/>
          <w:sz w:val="24"/>
          <w:lang w:eastAsia="en-US"/>
        </w:rPr>
        <w:t xml:space="preserve"> omanike ja </w:t>
      </w:r>
      <w:proofErr w:type="spellStart"/>
      <w:r w:rsidRPr="003331EF">
        <w:rPr>
          <w:rFonts w:eastAsia="Times New Roman"/>
          <w:bCs w:val="0"/>
          <w:iCs/>
          <w:spacing w:val="-5"/>
          <w:sz w:val="24"/>
          <w:lang w:eastAsia="en-US"/>
        </w:rPr>
        <w:t>krüptovarateenuse</w:t>
      </w:r>
      <w:proofErr w:type="spellEnd"/>
      <w:r w:rsidRPr="003331EF">
        <w:rPr>
          <w:rFonts w:eastAsia="Times New Roman"/>
          <w:bCs w:val="0"/>
          <w:iCs/>
          <w:spacing w:val="-5"/>
          <w:sz w:val="24"/>
          <w:lang w:eastAsia="en-US"/>
        </w:rPr>
        <w:t xml:space="preserve"> klientide huvide ja õiguste kaitset.</w:t>
      </w:r>
      <w:r w:rsidRPr="003331EF">
        <w:rPr>
          <w:sz w:val="24"/>
        </w:rPr>
        <w:t xml:space="preserve"> </w:t>
      </w:r>
      <w:r w:rsidR="003F112D" w:rsidRPr="003331EF">
        <w:rPr>
          <w:rFonts w:eastAsia="Times New Roman"/>
          <w:bCs w:val="0"/>
          <w:iCs/>
          <w:spacing w:val="-5"/>
          <w:sz w:val="24"/>
          <w:lang w:eastAsia="en-US"/>
        </w:rPr>
        <w:t xml:space="preserve">Riigi ülesanne on (tulenevalt EV </w:t>
      </w:r>
      <w:r w:rsidR="00703778">
        <w:rPr>
          <w:rFonts w:eastAsia="Times New Roman"/>
          <w:bCs w:val="0"/>
          <w:iCs/>
          <w:spacing w:val="-5"/>
          <w:sz w:val="24"/>
          <w:lang w:eastAsia="en-US"/>
        </w:rPr>
        <w:t>p</w:t>
      </w:r>
      <w:r w:rsidR="003F112D" w:rsidRPr="003331EF">
        <w:rPr>
          <w:rFonts w:eastAsia="Times New Roman"/>
          <w:bCs w:val="0"/>
          <w:iCs/>
          <w:spacing w:val="-5"/>
          <w:sz w:val="24"/>
          <w:lang w:eastAsia="en-US"/>
        </w:rPr>
        <w:t xml:space="preserve">õhiseaduse §-s 13 sätestatud kaitsekohustusest) finantsjärelevalve korraldamise teel minimeerida finantsturul tegutsevate ettevõtjate ebaõnnestumisi. </w:t>
      </w:r>
    </w:p>
    <w:p w14:paraId="4CA3CB0C" w14:textId="77777777" w:rsidR="003F112D" w:rsidRPr="003331EF" w:rsidRDefault="003F112D" w:rsidP="003331EF">
      <w:pPr>
        <w:spacing w:before="0"/>
        <w:rPr>
          <w:iCs/>
          <w:spacing w:val="-5"/>
          <w:lang w:eastAsia="en-US"/>
        </w:rPr>
      </w:pPr>
    </w:p>
    <w:p w14:paraId="4D51CDA9" w14:textId="29695FAD" w:rsidR="003F112D" w:rsidRPr="003331EF" w:rsidRDefault="003F112D" w:rsidP="003331EF">
      <w:pPr>
        <w:spacing w:before="0"/>
        <w:rPr>
          <w:iCs/>
          <w:spacing w:val="-5"/>
          <w:lang w:eastAsia="en-US"/>
        </w:rPr>
      </w:pPr>
      <w:r w:rsidRPr="003331EF">
        <w:rPr>
          <w:iCs/>
          <w:spacing w:val="-5"/>
          <w:lang w:eastAsia="en-US"/>
        </w:rPr>
        <w:t xml:space="preserve">Finantsinspektsioon tegutseb finantsjärelevalve teostamisel riigi nimel. Eelnõuga määratakse Finantsinspektsioon teostama järelevalvet </w:t>
      </w:r>
      <w:proofErr w:type="spellStart"/>
      <w:r w:rsidRPr="003331EF">
        <w:rPr>
          <w:iCs/>
          <w:spacing w:val="-5"/>
          <w:lang w:eastAsia="en-US"/>
        </w:rPr>
        <w:t>krüptovaraturu</w:t>
      </w:r>
      <w:proofErr w:type="spellEnd"/>
      <w:r w:rsidRPr="003331EF">
        <w:rPr>
          <w:iCs/>
          <w:spacing w:val="-5"/>
          <w:lang w:eastAsia="en-US"/>
        </w:rPr>
        <w:t xml:space="preserve"> osalise tegevuse üle. FIS § 2 lõike 1 kehtiv sõnastus ütleb, et riiklik finantsjärelevalve käesoleva seaduse tähenduses on järelevalve riikliku finantsjärelevalve subjektide üle ning käesolevas seaduses, krediidiasutuste seaduses, krediidiandjate ja -vahendajate seaduses, kindlustustegevuse seaduses, investeerimisfondide seaduses, kogumispensionide seaduses, väärtpaberituru seaduses, liikluskindlustuse seaduses, makseasutuste ja e-raha asutuste seaduses, pandikirjaseaduses ja väärtpaberite registri pidamise seaduses ning nende alusel kehtestatud õigusaktides sätestatud tegevuse üle. Eelnõu § 49 punkt 1 näeb ette, et riikliku finantsjärelevalve ulatusse lisatakse järelevalve </w:t>
      </w:r>
      <w:proofErr w:type="spellStart"/>
      <w:r w:rsidRPr="003331EF">
        <w:rPr>
          <w:iCs/>
          <w:spacing w:val="-5"/>
          <w:lang w:eastAsia="en-US"/>
        </w:rPr>
        <w:t>krüptovaraturu</w:t>
      </w:r>
      <w:proofErr w:type="spellEnd"/>
      <w:r w:rsidRPr="003331EF">
        <w:rPr>
          <w:iCs/>
          <w:spacing w:val="-5"/>
          <w:lang w:eastAsia="en-US"/>
        </w:rPr>
        <w:t xml:space="preserve"> seaduses sätestatu üle. </w:t>
      </w:r>
    </w:p>
    <w:p w14:paraId="564BA329" w14:textId="77777777" w:rsidR="003F112D" w:rsidRPr="003331EF" w:rsidRDefault="003F112D" w:rsidP="003331EF">
      <w:pPr>
        <w:spacing w:before="0"/>
        <w:rPr>
          <w:iCs/>
          <w:spacing w:val="-5"/>
          <w:lang w:eastAsia="en-US"/>
        </w:rPr>
      </w:pPr>
    </w:p>
    <w:p w14:paraId="79083F35" w14:textId="697FB69B" w:rsidR="003F112D" w:rsidRPr="003331EF" w:rsidRDefault="003F112D" w:rsidP="003331EF">
      <w:pPr>
        <w:spacing w:before="0"/>
        <w:rPr>
          <w:iCs/>
          <w:spacing w:val="-5"/>
          <w:lang w:eastAsia="en-US"/>
        </w:rPr>
      </w:pPr>
      <w:r w:rsidRPr="003331EF">
        <w:rPr>
          <w:iCs/>
          <w:spacing w:val="-5"/>
          <w:lang w:eastAsia="en-US"/>
        </w:rPr>
        <w:lastRenderedPageBreak/>
        <w:t>FIS § 2 lõike 12 kohaselt on finantsjärelevalve subjektiks isik, kellele on pädeva organi poolt lõikes</w:t>
      </w:r>
      <w:r w:rsidR="00703778">
        <w:rPr>
          <w:iCs/>
          <w:spacing w:val="-5"/>
          <w:lang w:eastAsia="en-US"/>
        </w:rPr>
        <w:t> </w:t>
      </w:r>
      <w:r w:rsidRPr="003331EF">
        <w:rPr>
          <w:iCs/>
          <w:spacing w:val="-5"/>
          <w:lang w:eastAsia="en-US"/>
        </w:rPr>
        <w:t xml:space="preserve">1 nimetatud seaduse alusel antud tegutsemise õigus vastaval tegevusalal ehk eelnõu kohaselt saab finantsjärelevalvesubjektiks ka </w:t>
      </w:r>
      <w:proofErr w:type="spellStart"/>
      <w:r w:rsidRPr="003331EF">
        <w:rPr>
          <w:iCs/>
          <w:spacing w:val="-5"/>
          <w:lang w:eastAsia="en-US"/>
        </w:rPr>
        <w:t>krüptovaraturu</w:t>
      </w:r>
      <w:proofErr w:type="spellEnd"/>
      <w:r w:rsidRPr="003331EF">
        <w:rPr>
          <w:iCs/>
          <w:spacing w:val="-5"/>
          <w:lang w:eastAsia="en-US"/>
        </w:rPr>
        <w:t xml:space="preserve"> osaline. Finantsjärelevalve üldise eesmärgi sätestab FIS § 3. Tuleb arvestada, et riiklik järelevalve ettevõtjate tegevuse üle ei saa kunagi olla kõikehõlmav. Seetõttu on oluline, et järelevalve eesmärgid oleksid tasakaalus kaitstavate huvide tähtsusega.</w:t>
      </w:r>
    </w:p>
    <w:p w14:paraId="775E27D2" w14:textId="77777777" w:rsidR="001A4507" w:rsidRPr="003331EF" w:rsidRDefault="001A4507" w:rsidP="003331EF">
      <w:pPr>
        <w:spacing w:before="0"/>
      </w:pPr>
    </w:p>
    <w:p w14:paraId="5D7DEBB8" w14:textId="35A48BB3" w:rsidR="00A720C0" w:rsidRPr="003331EF" w:rsidRDefault="00A720C0" w:rsidP="003331EF">
      <w:pPr>
        <w:spacing w:before="0"/>
        <w:rPr>
          <w:b/>
          <w:bCs/>
        </w:rPr>
      </w:pPr>
      <w:r w:rsidRPr="003331EF">
        <w:rPr>
          <w:b/>
          <w:bCs/>
        </w:rPr>
        <w:t>Paragrahv 2</w:t>
      </w:r>
      <w:r w:rsidR="007E0560" w:rsidRPr="003331EF">
        <w:rPr>
          <w:b/>
          <w:bCs/>
        </w:rPr>
        <w:t>6</w:t>
      </w:r>
      <w:r w:rsidRPr="003331EF">
        <w:rPr>
          <w:b/>
          <w:bCs/>
        </w:rPr>
        <w:t>. Järelevalve alused ja ulatus</w:t>
      </w:r>
    </w:p>
    <w:p w14:paraId="1B4B1CAB" w14:textId="77777777" w:rsidR="00A720C0" w:rsidRPr="003331EF" w:rsidRDefault="00A720C0" w:rsidP="003331EF">
      <w:pPr>
        <w:spacing w:before="0"/>
        <w:rPr>
          <w:b/>
          <w:bCs/>
        </w:rPr>
      </w:pPr>
    </w:p>
    <w:p w14:paraId="722A9DA5" w14:textId="049033AA" w:rsidR="001A4507" w:rsidRPr="003331EF" w:rsidRDefault="001A4507" w:rsidP="003331EF">
      <w:pPr>
        <w:spacing w:before="0"/>
        <w:rPr>
          <w:iCs/>
          <w:spacing w:val="-5"/>
          <w:lang w:eastAsia="en-US"/>
        </w:rPr>
      </w:pPr>
      <w:r w:rsidRPr="003331EF">
        <w:rPr>
          <w:b/>
          <w:bCs/>
        </w:rPr>
        <w:t xml:space="preserve">Paragrahv </w:t>
      </w:r>
      <w:r w:rsidR="00A720C0" w:rsidRPr="003331EF">
        <w:rPr>
          <w:b/>
          <w:bCs/>
        </w:rPr>
        <w:t>2</w:t>
      </w:r>
      <w:r w:rsidR="007E0560" w:rsidRPr="003331EF">
        <w:rPr>
          <w:b/>
          <w:bCs/>
        </w:rPr>
        <w:t>6</w:t>
      </w:r>
      <w:r w:rsidR="00A720C0" w:rsidRPr="003331EF">
        <w:t xml:space="preserve"> </w:t>
      </w:r>
      <w:r w:rsidRPr="003331EF">
        <w:rPr>
          <w:iCs/>
          <w:spacing w:val="-5"/>
          <w:lang w:eastAsia="en-US"/>
        </w:rPr>
        <w:t>kehtestab järelevalve alused ja ulatuse ning sammud järelevalve teostamisel.</w:t>
      </w:r>
    </w:p>
    <w:p w14:paraId="49D83E2C" w14:textId="77777777" w:rsidR="00357E7F" w:rsidRPr="003331EF" w:rsidRDefault="00357E7F" w:rsidP="003331EF">
      <w:pPr>
        <w:spacing w:before="0"/>
        <w:rPr>
          <w:iCs/>
          <w:spacing w:val="-5"/>
          <w:lang w:eastAsia="en-US"/>
        </w:rPr>
      </w:pPr>
    </w:p>
    <w:p w14:paraId="4B938D47" w14:textId="3A6A89CA" w:rsidR="001A4507" w:rsidRPr="003331EF" w:rsidRDefault="007E0560" w:rsidP="003331EF">
      <w:pPr>
        <w:pStyle w:val="Normal2"/>
        <w:rPr>
          <w:bCs w:val="0"/>
        </w:rPr>
      </w:pPr>
      <w:r w:rsidRPr="003331EF">
        <w:rPr>
          <w:rFonts w:eastAsia="Times New Roman"/>
          <w:b/>
          <w:bCs w:val="0"/>
          <w:sz w:val="24"/>
        </w:rPr>
        <w:t xml:space="preserve">Lõige </w:t>
      </w:r>
      <w:r w:rsidR="001A4507" w:rsidRPr="003331EF">
        <w:rPr>
          <w:rFonts w:eastAsia="Times New Roman"/>
          <w:b/>
          <w:bCs w:val="0"/>
          <w:sz w:val="24"/>
        </w:rPr>
        <w:t>1</w:t>
      </w:r>
      <w:r w:rsidRPr="003331EF">
        <w:rPr>
          <w:rFonts w:eastAsia="Times New Roman"/>
          <w:b/>
          <w:bCs w:val="0"/>
          <w:sz w:val="24"/>
        </w:rPr>
        <w:t>.</w:t>
      </w:r>
      <w:r w:rsidRPr="003331EF">
        <w:rPr>
          <w:b/>
        </w:rPr>
        <w:t xml:space="preserve"> </w:t>
      </w:r>
      <w:r w:rsidRPr="003331EF">
        <w:rPr>
          <w:rFonts w:eastAsia="Times New Roman"/>
          <w:bCs w:val="0"/>
          <w:iCs/>
          <w:spacing w:val="-5"/>
          <w:sz w:val="24"/>
          <w:lang w:eastAsia="en-US"/>
        </w:rPr>
        <w:t xml:space="preserve">MICA määruse artikli 93 kohaselt peab iga liikmesriik määrama asutuse, </w:t>
      </w:r>
      <w:r w:rsidR="00755384" w:rsidRPr="003331EF">
        <w:rPr>
          <w:rFonts w:eastAsia="Times New Roman"/>
          <w:bCs w:val="0"/>
          <w:iCs/>
          <w:spacing w:val="-5"/>
          <w:sz w:val="24"/>
          <w:lang w:eastAsia="en-US"/>
        </w:rPr>
        <w:t xml:space="preserve">kes täidab </w:t>
      </w:r>
      <w:proofErr w:type="spellStart"/>
      <w:r w:rsidR="00755384" w:rsidRPr="003331EF">
        <w:rPr>
          <w:rFonts w:eastAsia="Times New Roman"/>
          <w:bCs w:val="0"/>
          <w:iCs/>
          <w:spacing w:val="-5"/>
          <w:sz w:val="24"/>
          <w:lang w:eastAsia="en-US"/>
        </w:rPr>
        <w:t>MiCA</w:t>
      </w:r>
      <w:proofErr w:type="spellEnd"/>
      <w:r w:rsidR="00755384" w:rsidRPr="003331EF">
        <w:rPr>
          <w:rFonts w:eastAsia="Times New Roman"/>
          <w:bCs w:val="0"/>
          <w:iCs/>
          <w:spacing w:val="-5"/>
          <w:sz w:val="24"/>
          <w:lang w:eastAsia="en-US"/>
        </w:rPr>
        <w:t xml:space="preserve"> määruses ette nähtud ülesandeid ja kohustusi</w:t>
      </w:r>
      <w:r w:rsidRPr="003331EF">
        <w:rPr>
          <w:rFonts w:eastAsia="Times New Roman"/>
          <w:bCs w:val="0"/>
          <w:iCs/>
          <w:spacing w:val="-5"/>
          <w:sz w:val="24"/>
          <w:lang w:eastAsia="en-US"/>
        </w:rPr>
        <w:t xml:space="preserve">. DORA määruse artikli 46 punkti d kohaselt teeb DORA määruse </w:t>
      </w:r>
      <w:proofErr w:type="spellStart"/>
      <w:r w:rsidRPr="003331EF">
        <w:rPr>
          <w:rFonts w:eastAsia="Times New Roman"/>
          <w:bCs w:val="0"/>
          <w:iCs/>
          <w:spacing w:val="-5"/>
          <w:sz w:val="24"/>
          <w:lang w:eastAsia="en-US"/>
        </w:rPr>
        <w:t>nõete</w:t>
      </w:r>
      <w:proofErr w:type="spellEnd"/>
      <w:r w:rsidRPr="003331EF">
        <w:rPr>
          <w:rFonts w:eastAsia="Times New Roman"/>
          <w:bCs w:val="0"/>
          <w:iCs/>
          <w:spacing w:val="-5"/>
          <w:sz w:val="24"/>
          <w:lang w:eastAsia="en-US"/>
        </w:rPr>
        <w:t xml:space="preserve"> täitmise üle järelevalvet </w:t>
      </w:r>
      <w:proofErr w:type="spellStart"/>
      <w:r w:rsidRPr="003331EF">
        <w:rPr>
          <w:rFonts w:eastAsia="Times New Roman"/>
          <w:bCs w:val="0"/>
          <w:iCs/>
          <w:spacing w:val="-5"/>
          <w:sz w:val="24"/>
          <w:lang w:eastAsia="en-US"/>
        </w:rPr>
        <w:t>MiCA</w:t>
      </w:r>
      <w:proofErr w:type="spellEnd"/>
      <w:r w:rsidRPr="003331EF">
        <w:rPr>
          <w:rFonts w:eastAsia="Times New Roman"/>
          <w:bCs w:val="0"/>
          <w:iCs/>
          <w:spacing w:val="-5"/>
          <w:sz w:val="24"/>
          <w:lang w:eastAsia="en-US"/>
        </w:rPr>
        <w:t xml:space="preserve"> määruse kohaselt määratud pädev asutus. Seega </w:t>
      </w:r>
      <w:proofErr w:type="spellStart"/>
      <w:r w:rsidRPr="003331EF">
        <w:rPr>
          <w:rFonts w:eastAsia="Times New Roman"/>
          <w:bCs w:val="0"/>
          <w:iCs/>
          <w:spacing w:val="-5"/>
          <w:sz w:val="24"/>
          <w:lang w:eastAsia="en-US"/>
        </w:rPr>
        <w:t>MiCA</w:t>
      </w:r>
      <w:proofErr w:type="spellEnd"/>
      <w:r w:rsidRPr="003331EF">
        <w:rPr>
          <w:rFonts w:eastAsia="Times New Roman"/>
          <w:bCs w:val="0"/>
          <w:iCs/>
          <w:spacing w:val="-5"/>
          <w:sz w:val="24"/>
          <w:lang w:eastAsia="en-US"/>
        </w:rPr>
        <w:t xml:space="preserve"> ja DORA nõuete täitmise üle teeb järelevalvet sama pädev asutus. Eelnõuga nähakse ette, et selleks pädevaks asutuseks on Finantsinspektsioon</w:t>
      </w:r>
      <w:r w:rsidR="00112771" w:rsidRPr="003331EF">
        <w:rPr>
          <w:rFonts w:eastAsia="Times New Roman"/>
          <w:bCs w:val="0"/>
          <w:iCs/>
          <w:spacing w:val="-5"/>
          <w:sz w:val="24"/>
          <w:lang w:eastAsia="en-US"/>
        </w:rPr>
        <w:t xml:space="preserve"> (vt ka käesoleva seletuskirja punkt</w:t>
      </w:r>
      <w:r w:rsidR="00610DCF" w:rsidRPr="003331EF">
        <w:rPr>
          <w:rFonts w:eastAsia="Times New Roman"/>
          <w:bCs w:val="0"/>
          <w:iCs/>
          <w:spacing w:val="-5"/>
          <w:sz w:val="24"/>
          <w:lang w:eastAsia="en-US"/>
        </w:rPr>
        <w:t>i</w:t>
      </w:r>
      <w:r w:rsidR="00700DDB">
        <w:rPr>
          <w:rFonts w:eastAsia="Times New Roman"/>
          <w:bCs w:val="0"/>
          <w:iCs/>
          <w:spacing w:val="-5"/>
          <w:sz w:val="24"/>
          <w:lang w:eastAsia="en-US"/>
        </w:rPr>
        <w:t> </w:t>
      </w:r>
      <w:r w:rsidR="00610DCF" w:rsidRPr="003331EF">
        <w:rPr>
          <w:rFonts w:eastAsia="Times New Roman"/>
          <w:bCs w:val="0"/>
          <w:iCs/>
          <w:spacing w:val="-5"/>
          <w:sz w:val="24"/>
          <w:lang w:eastAsia="en-US"/>
        </w:rPr>
        <w:t>2.4.2</w:t>
      </w:r>
      <w:r w:rsidR="00700DDB">
        <w:rPr>
          <w:rFonts w:eastAsia="Times New Roman"/>
          <w:bCs w:val="0"/>
          <w:iCs/>
          <w:spacing w:val="-5"/>
          <w:sz w:val="24"/>
          <w:lang w:eastAsia="en-US"/>
        </w:rPr>
        <w:t> </w:t>
      </w:r>
      <w:r w:rsidR="00610DCF" w:rsidRPr="003331EF">
        <w:rPr>
          <w:rFonts w:eastAsia="Times New Roman"/>
          <w:bCs w:val="0"/>
          <w:iCs/>
          <w:spacing w:val="-5"/>
          <w:sz w:val="24"/>
          <w:lang w:eastAsia="en-US"/>
        </w:rPr>
        <w:t>A)</w:t>
      </w:r>
      <w:r w:rsidRPr="003331EF">
        <w:rPr>
          <w:rFonts w:eastAsia="Times New Roman"/>
          <w:bCs w:val="0"/>
          <w:iCs/>
          <w:spacing w:val="-5"/>
          <w:sz w:val="24"/>
          <w:lang w:eastAsia="en-US"/>
        </w:rPr>
        <w:t xml:space="preserve">, kes </w:t>
      </w:r>
      <w:r w:rsidR="001A4507" w:rsidRPr="003331EF">
        <w:rPr>
          <w:rFonts w:eastAsia="Times New Roman"/>
          <w:bCs w:val="0"/>
          <w:iCs/>
          <w:spacing w:val="-5"/>
          <w:sz w:val="24"/>
          <w:lang w:eastAsia="en-US"/>
        </w:rPr>
        <w:t>lähtu</w:t>
      </w:r>
      <w:r w:rsidRPr="003331EF">
        <w:rPr>
          <w:rFonts w:eastAsia="Times New Roman"/>
          <w:bCs w:val="0"/>
          <w:iCs/>
          <w:spacing w:val="-5"/>
          <w:sz w:val="24"/>
          <w:lang w:eastAsia="en-US"/>
        </w:rPr>
        <w:t>b</w:t>
      </w:r>
      <w:r w:rsidR="001A4507" w:rsidRPr="003331EF">
        <w:rPr>
          <w:rFonts w:eastAsia="Times New Roman"/>
          <w:bCs w:val="0"/>
          <w:iCs/>
          <w:spacing w:val="-5"/>
          <w:sz w:val="24"/>
          <w:lang w:eastAsia="en-US"/>
        </w:rPr>
        <w:t xml:space="preserve"> </w:t>
      </w:r>
      <w:r w:rsidRPr="003331EF">
        <w:rPr>
          <w:rFonts w:eastAsia="Times New Roman"/>
          <w:bCs w:val="0"/>
          <w:iCs/>
          <w:spacing w:val="-5"/>
          <w:sz w:val="24"/>
          <w:lang w:eastAsia="en-US"/>
        </w:rPr>
        <w:t xml:space="preserve">järelevalve teostamisel </w:t>
      </w:r>
      <w:r w:rsidR="001A4507" w:rsidRPr="003331EF">
        <w:rPr>
          <w:rFonts w:eastAsia="Times New Roman"/>
          <w:bCs w:val="0"/>
          <w:iCs/>
          <w:spacing w:val="-5"/>
          <w:sz w:val="24"/>
          <w:lang w:eastAsia="en-US"/>
        </w:rPr>
        <w:t xml:space="preserve">käesolevas seaduses, DORA määruses, </w:t>
      </w:r>
      <w:proofErr w:type="spellStart"/>
      <w:r w:rsidR="001A4507" w:rsidRPr="003331EF">
        <w:rPr>
          <w:rFonts w:eastAsia="Times New Roman"/>
          <w:bCs w:val="0"/>
          <w:iCs/>
          <w:spacing w:val="-5"/>
          <w:sz w:val="24"/>
          <w:lang w:eastAsia="en-US"/>
        </w:rPr>
        <w:t>M</w:t>
      </w:r>
      <w:r w:rsidR="00A35898">
        <w:rPr>
          <w:rFonts w:eastAsia="Times New Roman"/>
          <w:bCs w:val="0"/>
          <w:iCs/>
          <w:spacing w:val="-5"/>
          <w:sz w:val="24"/>
          <w:lang w:eastAsia="en-US"/>
        </w:rPr>
        <w:t>i</w:t>
      </w:r>
      <w:r w:rsidR="001A4507" w:rsidRPr="003331EF">
        <w:rPr>
          <w:rFonts w:eastAsia="Times New Roman"/>
          <w:bCs w:val="0"/>
          <w:iCs/>
          <w:spacing w:val="-5"/>
          <w:sz w:val="24"/>
          <w:lang w:eastAsia="en-US"/>
        </w:rPr>
        <w:t>CA</w:t>
      </w:r>
      <w:proofErr w:type="spellEnd"/>
      <w:r w:rsidR="001A4507" w:rsidRPr="003331EF">
        <w:rPr>
          <w:rFonts w:eastAsia="Times New Roman"/>
          <w:bCs w:val="0"/>
          <w:iCs/>
          <w:spacing w:val="-5"/>
          <w:sz w:val="24"/>
          <w:lang w:eastAsia="en-US"/>
        </w:rPr>
        <w:t xml:space="preserve"> määruses, Finantsinspektsiooni seaduses ja muudes </w:t>
      </w:r>
      <w:proofErr w:type="spellStart"/>
      <w:r w:rsidR="001A4507" w:rsidRPr="003331EF">
        <w:rPr>
          <w:rFonts w:eastAsia="Times New Roman"/>
          <w:bCs w:val="0"/>
          <w:iCs/>
          <w:spacing w:val="-5"/>
          <w:sz w:val="24"/>
          <w:lang w:eastAsia="en-US"/>
        </w:rPr>
        <w:t>krüptovaraturu</w:t>
      </w:r>
      <w:proofErr w:type="spellEnd"/>
      <w:r w:rsidR="001A4507" w:rsidRPr="003331EF">
        <w:rPr>
          <w:rFonts w:eastAsia="Times New Roman"/>
          <w:bCs w:val="0"/>
          <w:iCs/>
          <w:spacing w:val="-5"/>
          <w:sz w:val="24"/>
          <w:lang w:eastAsia="en-US"/>
        </w:rPr>
        <w:t xml:space="preserve"> osalise tegevust reguleerivates õigusaktides ning nende alusel välja antud õigusaktides sätestatust.</w:t>
      </w:r>
      <w:r w:rsidR="001A4507" w:rsidRPr="003331EF">
        <w:t xml:space="preserve"> </w:t>
      </w:r>
    </w:p>
    <w:p w14:paraId="7D92705E" w14:textId="77777777" w:rsidR="002940CC" w:rsidRPr="003331EF" w:rsidRDefault="002940CC" w:rsidP="003331EF">
      <w:pPr>
        <w:spacing w:before="0"/>
        <w:ind w:right="-64"/>
        <w:rPr>
          <w:b/>
        </w:rPr>
      </w:pPr>
    </w:p>
    <w:p w14:paraId="1A6386F7" w14:textId="32364E2D" w:rsidR="00B7722F" w:rsidRPr="003331EF" w:rsidRDefault="007E45A5" w:rsidP="003331EF">
      <w:pPr>
        <w:spacing w:before="0"/>
      </w:pPr>
      <w:r w:rsidRPr="003331EF">
        <w:rPr>
          <w:b/>
          <w:bCs/>
        </w:rPr>
        <w:t>Lõike 2</w:t>
      </w:r>
      <w:r w:rsidRPr="003331EF">
        <w:t xml:space="preserve"> </w:t>
      </w:r>
      <w:r w:rsidR="00B7722F" w:rsidRPr="003331EF">
        <w:t xml:space="preserve"> </w:t>
      </w:r>
      <w:r w:rsidRPr="003331EF">
        <w:t xml:space="preserve">eesmärk on täpsustata, et kuivõrd lõike 1 kohaselt on Finantsinspektsioon määratud nii </w:t>
      </w:r>
      <w:proofErr w:type="spellStart"/>
      <w:r w:rsidRPr="003331EF">
        <w:t>MiCA</w:t>
      </w:r>
      <w:proofErr w:type="spellEnd"/>
      <w:r w:rsidRPr="003331EF">
        <w:t xml:space="preserve"> määruse kui ka DORA määruse pädevaks asutuseks, siis on tal ka viidatud määrustes sätestatud </w:t>
      </w:r>
      <w:r w:rsidR="00B7722F" w:rsidRPr="003331EF">
        <w:t xml:space="preserve">nõuete kohase täitmise üle järelevalve teostamisel kõik </w:t>
      </w:r>
      <w:r w:rsidRPr="003331EF">
        <w:t>nendes</w:t>
      </w:r>
      <w:r w:rsidR="00B7722F" w:rsidRPr="003331EF">
        <w:t xml:space="preserve"> määrustes, käesolevas seaduses ja Finantsinspektsiooni seaduses sätestatud õigused.</w:t>
      </w:r>
      <w:r w:rsidR="00244773" w:rsidRPr="003331EF">
        <w:t xml:space="preserve"> Näiteks on </w:t>
      </w:r>
      <w:proofErr w:type="spellStart"/>
      <w:r w:rsidR="00244773" w:rsidRPr="003331EF">
        <w:t>MiCA</w:t>
      </w:r>
      <w:proofErr w:type="spellEnd"/>
      <w:r w:rsidR="00244773" w:rsidRPr="003331EF">
        <w:t xml:space="preserve"> määruses sätestatud pädeva asutuse volitused sätestatud artiklis 94 ja DORA määruses on pädeva asutuse volitused sätestatud artiklis 50.</w:t>
      </w:r>
    </w:p>
    <w:p w14:paraId="4D6546AD" w14:textId="77777777" w:rsidR="00B7722F" w:rsidRPr="003331EF" w:rsidRDefault="00B7722F" w:rsidP="003331EF">
      <w:pPr>
        <w:spacing w:before="0"/>
        <w:ind w:right="-64"/>
        <w:rPr>
          <w:b/>
        </w:rPr>
      </w:pPr>
    </w:p>
    <w:p w14:paraId="683C95E0" w14:textId="065D21C9" w:rsidR="001A4507" w:rsidRPr="003331EF" w:rsidRDefault="001A4507" w:rsidP="003331EF">
      <w:pPr>
        <w:spacing w:before="0"/>
        <w:ind w:right="-64"/>
        <w:rPr>
          <w:iCs/>
          <w:spacing w:val="-5"/>
          <w:lang w:eastAsia="en-US"/>
        </w:rPr>
      </w:pPr>
      <w:r w:rsidRPr="003331EF">
        <w:rPr>
          <w:b/>
        </w:rPr>
        <w:t xml:space="preserve">Lõikes </w:t>
      </w:r>
      <w:r w:rsidR="00B7722F" w:rsidRPr="003331EF">
        <w:rPr>
          <w:b/>
        </w:rPr>
        <w:t>3</w:t>
      </w:r>
      <w:r w:rsidR="00A720C0" w:rsidRPr="003331EF">
        <w:t xml:space="preserve"> </w:t>
      </w:r>
      <w:r w:rsidRPr="003331EF">
        <w:t>o</w:t>
      </w:r>
      <w:r w:rsidRPr="003331EF">
        <w:rPr>
          <w:iCs/>
          <w:spacing w:val="-5"/>
          <w:lang w:eastAsia="en-US"/>
        </w:rPr>
        <w:t>n sätestatud järelevalve ulatus. Finantsinspektsioon teostab järelevalvet:</w:t>
      </w:r>
    </w:p>
    <w:p w14:paraId="774E9D98" w14:textId="77777777" w:rsidR="001A4507" w:rsidRPr="003331EF" w:rsidRDefault="001A4507" w:rsidP="003331EF">
      <w:pPr>
        <w:numPr>
          <w:ilvl w:val="0"/>
          <w:numId w:val="10"/>
        </w:numPr>
        <w:spacing w:before="0"/>
        <w:ind w:right="-64"/>
        <w:rPr>
          <w:iCs/>
          <w:spacing w:val="-5"/>
          <w:lang w:eastAsia="en-US"/>
        </w:rPr>
      </w:pPr>
      <w:r w:rsidRPr="003331EF">
        <w:rPr>
          <w:iCs/>
          <w:spacing w:val="-5"/>
          <w:lang w:eastAsia="en-US"/>
        </w:rPr>
        <w:t xml:space="preserve">Eestis asutatud </w:t>
      </w:r>
      <w:proofErr w:type="spellStart"/>
      <w:r w:rsidRPr="003331EF">
        <w:rPr>
          <w:iCs/>
          <w:spacing w:val="-5"/>
          <w:lang w:eastAsia="en-US"/>
        </w:rPr>
        <w:t>krüptovaraturu</w:t>
      </w:r>
      <w:proofErr w:type="spellEnd"/>
      <w:r w:rsidRPr="003331EF">
        <w:rPr>
          <w:iCs/>
          <w:spacing w:val="-5"/>
          <w:lang w:eastAsia="en-US"/>
        </w:rPr>
        <w:t xml:space="preserve"> osalise üle;</w:t>
      </w:r>
    </w:p>
    <w:p w14:paraId="1E00CDA7" w14:textId="77777777" w:rsidR="001A4507" w:rsidRPr="003331EF" w:rsidRDefault="001A4507" w:rsidP="003331EF">
      <w:pPr>
        <w:numPr>
          <w:ilvl w:val="0"/>
          <w:numId w:val="10"/>
        </w:numPr>
        <w:spacing w:before="0"/>
        <w:ind w:right="-64"/>
        <w:rPr>
          <w:iCs/>
          <w:spacing w:val="-5"/>
          <w:lang w:eastAsia="en-US"/>
        </w:rPr>
      </w:pPr>
      <w:r w:rsidRPr="003331EF">
        <w:rPr>
          <w:iCs/>
          <w:spacing w:val="-5"/>
          <w:lang w:eastAsia="en-US"/>
        </w:rPr>
        <w:t xml:space="preserve">Eesti </w:t>
      </w:r>
      <w:proofErr w:type="spellStart"/>
      <w:r w:rsidRPr="003331EF">
        <w:rPr>
          <w:iCs/>
          <w:spacing w:val="-5"/>
          <w:lang w:eastAsia="en-US"/>
        </w:rPr>
        <w:t>krüptovaraturu</w:t>
      </w:r>
      <w:proofErr w:type="spellEnd"/>
      <w:r w:rsidRPr="003331EF">
        <w:rPr>
          <w:iCs/>
          <w:spacing w:val="-5"/>
          <w:lang w:eastAsia="en-US"/>
        </w:rPr>
        <w:t xml:space="preserve"> osalise kolmandas riigis registreeritud filiaali üle, kui filiaali üle ei teosta järelevalvet selle riigi finantsjärelevalve asutus või kui selle riigi finantsjärelevalve asutusega on sõlmitud vastav kokkulepe;</w:t>
      </w:r>
    </w:p>
    <w:p w14:paraId="1FDE35D8" w14:textId="77777777" w:rsidR="001A4507" w:rsidRPr="003331EF" w:rsidRDefault="001A4507" w:rsidP="003331EF">
      <w:pPr>
        <w:numPr>
          <w:ilvl w:val="0"/>
          <w:numId w:val="10"/>
        </w:numPr>
        <w:spacing w:before="0"/>
        <w:ind w:right="-64"/>
        <w:rPr>
          <w:iCs/>
          <w:spacing w:val="-5"/>
          <w:lang w:eastAsia="en-US"/>
        </w:rPr>
      </w:pPr>
      <w:r w:rsidRPr="003331EF">
        <w:rPr>
          <w:iCs/>
          <w:spacing w:val="-5"/>
          <w:lang w:eastAsia="en-US"/>
        </w:rPr>
        <w:t xml:space="preserve">isiku üle, kellele </w:t>
      </w:r>
      <w:proofErr w:type="spellStart"/>
      <w:r w:rsidRPr="003331EF">
        <w:rPr>
          <w:iCs/>
          <w:spacing w:val="-5"/>
          <w:lang w:eastAsia="en-US"/>
        </w:rPr>
        <w:t>krüptovaraturu</w:t>
      </w:r>
      <w:proofErr w:type="spellEnd"/>
      <w:r w:rsidRPr="003331EF">
        <w:rPr>
          <w:iCs/>
          <w:spacing w:val="-5"/>
          <w:lang w:eastAsia="en-US"/>
        </w:rPr>
        <w:t xml:space="preserve"> osaline on seaduse kohaselt teatud tegevused edasi andnud, sh IKT-teenused;</w:t>
      </w:r>
    </w:p>
    <w:p w14:paraId="1946F350" w14:textId="11D63CA5" w:rsidR="007D5805" w:rsidRPr="003331EF" w:rsidRDefault="007D5805" w:rsidP="003331EF">
      <w:pPr>
        <w:numPr>
          <w:ilvl w:val="0"/>
          <w:numId w:val="10"/>
        </w:numPr>
        <w:spacing w:before="0"/>
        <w:ind w:right="-64"/>
        <w:rPr>
          <w:iCs/>
          <w:spacing w:val="-5"/>
          <w:lang w:eastAsia="en-US"/>
        </w:rPr>
      </w:pPr>
      <w:proofErr w:type="spellStart"/>
      <w:r w:rsidRPr="003331EF">
        <w:rPr>
          <w:iCs/>
          <w:spacing w:val="-5"/>
          <w:lang w:eastAsia="en-US"/>
        </w:rPr>
        <w:t>M</w:t>
      </w:r>
      <w:r w:rsidR="00A35898">
        <w:rPr>
          <w:iCs/>
          <w:spacing w:val="-5"/>
          <w:lang w:eastAsia="en-US"/>
        </w:rPr>
        <w:t>i</w:t>
      </w:r>
      <w:r w:rsidRPr="003331EF">
        <w:rPr>
          <w:iCs/>
          <w:spacing w:val="-5"/>
          <w:lang w:eastAsia="en-US"/>
        </w:rPr>
        <w:t>CA</w:t>
      </w:r>
      <w:proofErr w:type="spellEnd"/>
      <w:r w:rsidRPr="003331EF">
        <w:rPr>
          <w:iCs/>
          <w:spacing w:val="-5"/>
          <w:lang w:eastAsia="en-US"/>
        </w:rPr>
        <w:t xml:space="preserve"> alusel liidus tegutsemise õigust omava isiku üle</w:t>
      </w:r>
      <w:r w:rsidR="001A4507" w:rsidRPr="003331EF">
        <w:rPr>
          <w:iCs/>
          <w:spacing w:val="-5"/>
          <w:lang w:eastAsia="en-US"/>
        </w:rPr>
        <w:t xml:space="preserve">, kes </w:t>
      </w:r>
      <w:r w:rsidR="00EF787E" w:rsidRPr="003331EF">
        <w:rPr>
          <w:iCs/>
          <w:spacing w:val="-5"/>
          <w:lang w:eastAsia="en-US"/>
        </w:rPr>
        <w:t>tegutse</w:t>
      </w:r>
      <w:r w:rsidR="000D7E55" w:rsidRPr="003331EF">
        <w:rPr>
          <w:iCs/>
          <w:spacing w:val="-5"/>
          <w:lang w:eastAsia="en-US"/>
        </w:rPr>
        <w:t>b</w:t>
      </w:r>
      <w:r w:rsidR="00EF787E" w:rsidRPr="003331EF">
        <w:rPr>
          <w:iCs/>
          <w:spacing w:val="-5"/>
          <w:lang w:eastAsia="en-US"/>
        </w:rPr>
        <w:t xml:space="preserve"> </w:t>
      </w:r>
      <w:r w:rsidR="001A4507" w:rsidRPr="003331EF">
        <w:rPr>
          <w:iCs/>
          <w:spacing w:val="-5"/>
          <w:lang w:eastAsia="en-US"/>
        </w:rPr>
        <w:t>Eestis filiaali kaudu või piiriüleselt.</w:t>
      </w:r>
      <w:r w:rsidRPr="003331EF">
        <w:rPr>
          <w:iCs/>
          <w:spacing w:val="-5"/>
          <w:lang w:eastAsia="en-US"/>
        </w:rPr>
        <w:t xml:space="preserve"> </w:t>
      </w:r>
      <w:proofErr w:type="spellStart"/>
      <w:r w:rsidRPr="003331EF">
        <w:rPr>
          <w:iCs/>
          <w:spacing w:val="-5"/>
          <w:lang w:eastAsia="en-US"/>
        </w:rPr>
        <w:t>M</w:t>
      </w:r>
      <w:r w:rsidR="00A35898">
        <w:rPr>
          <w:iCs/>
          <w:spacing w:val="-5"/>
          <w:lang w:eastAsia="en-US"/>
        </w:rPr>
        <w:t>i</w:t>
      </w:r>
      <w:r w:rsidRPr="003331EF">
        <w:rPr>
          <w:iCs/>
          <w:spacing w:val="-5"/>
          <w:lang w:eastAsia="en-US"/>
        </w:rPr>
        <w:t>CA</w:t>
      </w:r>
      <w:proofErr w:type="spellEnd"/>
      <w:r w:rsidRPr="003331EF">
        <w:rPr>
          <w:iCs/>
          <w:spacing w:val="-5"/>
          <w:lang w:eastAsia="en-US"/>
        </w:rPr>
        <w:t xml:space="preserve"> määruse art 102 reguleerib, millised on vastuvõtva liikmesriigi </w:t>
      </w:r>
      <w:r w:rsidR="00351BBE" w:rsidRPr="003331EF">
        <w:rPr>
          <w:iCs/>
          <w:spacing w:val="-5"/>
          <w:lang w:eastAsia="en-US"/>
        </w:rPr>
        <w:t xml:space="preserve">pädeva asutuse </w:t>
      </w:r>
      <w:r w:rsidR="00EF787E" w:rsidRPr="003331EF">
        <w:rPr>
          <w:iCs/>
          <w:spacing w:val="-5"/>
          <w:lang w:eastAsia="en-US"/>
        </w:rPr>
        <w:t xml:space="preserve">(ehk Finantsinspektsiooni) </w:t>
      </w:r>
      <w:r w:rsidRPr="003331EF">
        <w:rPr>
          <w:iCs/>
          <w:spacing w:val="-5"/>
          <w:lang w:eastAsia="en-US"/>
        </w:rPr>
        <w:t xml:space="preserve">õigused, kui pakkuja, </w:t>
      </w:r>
      <w:proofErr w:type="spellStart"/>
      <w:r w:rsidRPr="003331EF">
        <w:rPr>
          <w:iCs/>
          <w:spacing w:val="-5"/>
          <w:lang w:eastAsia="en-US"/>
        </w:rPr>
        <w:t>krüptovara</w:t>
      </w:r>
      <w:proofErr w:type="spellEnd"/>
      <w:r w:rsidRPr="003331EF">
        <w:rPr>
          <w:iCs/>
          <w:spacing w:val="-5"/>
          <w:lang w:eastAsia="en-US"/>
        </w:rPr>
        <w:t xml:space="preserve"> kauplemisele võtmist taotlev isik, varapõhise </w:t>
      </w:r>
      <w:proofErr w:type="spellStart"/>
      <w:r w:rsidRPr="003331EF">
        <w:rPr>
          <w:iCs/>
          <w:spacing w:val="-5"/>
          <w:lang w:eastAsia="en-US"/>
        </w:rPr>
        <w:t>tokeni</w:t>
      </w:r>
      <w:proofErr w:type="spellEnd"/>
      <w:r w:rsidRPr="003331EF">
        <w:rPr>
          <w:iCs/>
          <w:spacing w:val="-5"/>
          <w:lang w:eastAsia="en-US"/>
        </w:rPr>
        <w:t xml:space="preserve"> või e-raha </w:t>
      </w:r>
      <w:proofErr w:type="spellStart"/>
      <w:r w:rsidRPr="003331EF">
        <w:rPr>
          <w:iCs/>
          <w:spacing w:val="-5"/>
          <w:lang w:eastAsia="en-US"/>
        </w:rPr>
        <w:t>tokeni</w:t>
      </w:r>
      <w:proofErr w:type="spellEnd"/>
      <w:r w:rsidRPr="003331EF">
        <w:rPr>
          <w:iCs/>
          <w:spacing w:val="-5"/>
          <w:lang w:eastAsia="en-US"/>
        </w:rPr>
        <w:t xml:space="preserve"> emitent või </w:t>
      </w:r>
      <w:proofErr w:type="spellStart"/>
      <w:r w:rsidRPr="003331EF">
        <w:rPr>
          <w:iCs/>
          <w:spacing w:val="-5"/>
          <w:lang w:eastAsia="en-US"/>
        </w:rPr>
        <w:t>krüptovarateenuse</w:t>
      </w:r>
      <w:proofErr w:type="spellEnd"/>
      <w:r w:rsidRPr="003331EF">
        <w:rPr>
          <w:iCs/>
          <w:spacing w:val="-5"/>
          <w:lang w:eastAsia="en-US"/>
        </w:rPr>
        <w:t xml:space="preserve"> osutaja on toime pannud </w:t>
      </w:r>
      <w:r w:rsidR="002940CC" w:rsidRPr="003331EF">
        <w:rPr>
          <w:iCs/>
          <w:spacing w:val="-5"/>
          <w:lang w:eastAsia="en-US"/>
        </w:rPr>
        <w:t xml:space="preserve">vastuvõtvas riigis </w:t>
      </w:r>
      <w:r w:rsidRPr="003331EF">
        <w:rPr>
          <w:iCs/>
          <w:spacing w:val="-5"/>
          <w:lang w:eastAsia="en-US"/>
        </w:rPr>
        <w:t>õigusnormide rikkumise.</w:t>
      </w:r>
      <w:r w:rsidR="00BE191F" w:rsidRPr="003331EF">
        <w:rPr>
          <w:iCs/>
          <w:spacing w:val="-5"/>
          <w:lang w:eastAsia="en-US"/>
        </w:rPr>
        <w:t xml:space="preserve"> Näiteks saab Finantsinspektsioon sekkuda ja takistada isiku teg</w:t>
      </w:r>
      <w:r w:rsidR="002940CC" w:rsidRPr="003331EF">
        <w:rPr>
          <w:iCs/>
          <w:spacing w:val="-5"/>
          <w:lang w:eastAsia="en-US"/>
        </w:rPr>
        <w:t>utsemist</w:t>
      </w:r>
      <w:r w:rsidR="00BE191F" w:rsidRPr="003331EF">
        <w:rPr>
          <w:iCs/>
          <w:spacing w:val="-5"/>
          <w:lang w:eastAsia="en-US"/>
        </w:rPr>
        <w:t xml:space="preserve"> Eestis</w:t>
      </w:r>
      <w:r w:rsidR="005F1128" w:rsidRPr="003331EF">
        <w:rPr>
          <w:iCs/>
          <w:spacing w:val="-5"/>
          <w:lang w:eastAsia="en-US"/>
        </w:rPr>
        <w:t xml:space="preserve"> (eelnevalt asjakohaseid asutusi teavitades).</w:t>
      </w:r>
    </w:p>
    <w:p w14:paraId="67B36A9F" w14:textId="77777777" w:rsidR="001A4507" w:rsidRPr="003331EF" w:rsidRDefault="001A4507" w:rsidP="003331EF">
      <w:pPr>
        <w:spacing w:before="0"/>
        <w:rPr>
          <w:i/>
          <w:iCs/>
        </w:rPr>
      </w:pPr>
    </w:p>
    <w:p w14:paraId="690E3C30" w14:textId="3DE5C7C7" w:rsidR="001A4507" w:rsidRPr="003331EF" w:rsidRDefault="001A4507" w:rsidP="003331EF">
      <w:pPr>
        <w:spacing w:before="0"/>
        <w:ind w:right="-64"/>
        <w:rPr>
          <w:iCs/>
          <w:spacing w:val="-5"/>
          <w:lang w:eastAsia="en-US"/>
        </w:rPr>
      </w:pPr>
      <w:r w:rsidRPr="003331EF">
        <w:rPr>
          <w:b/>
        </w:rPr>
        <w:t xml:space="preserve">Lõige </w:t>
      </w:r>
      <w:r w:rsidR="00B7722F" w:rsidRPr="003331EF">
        <w:rPr>
          <w:b/>
        </w:rPr>
        <w:t>4</w:t>
      </w:r>
      <w:r w:rsidRPr="003331EF">
        <w:t xml:space="preserve"> </w:t>
      </w:r>
      <w:r w:rsidRPr="003331EF">
        <w:rPr>
          <w:iCs/>
          <w:spacing w:val="-5"/>
          <w:lang w:eastAsia="en-US"/>
        </w:rPr>
        <w:t>võtab kokku õigusaktidest tulenevad Finantsinspektsiooni ülesanded. Finantsinspektsioon:</w:t>
      </w:r>
    </w:p>
    <w:p w14:paraId="6227E2E3" w14:textId="5AAC0C90" w:rsidR="001A4507" w:rsidRPr="003331EF" w:rsidRDefault="001A4507" w:rsidP="003331EF">
      <w:pPr>
        <w:numPr>
          <w:ilvl w:val="0"/>
          <w:numId w:val="10"/>
        </w:numPr>
        <w:spacing w:before="0"/>
        <w:ind w:right="-64"/>
        <w:rPr>
          <w:iCs/>
          <w:spacing w:val="-5"/>
          <w:lang w:eastAsia="en-US"/>
        </w:rPr>
      </w:pPr>
      <w:r w:rsidRPr="003331EF">
        <w:rPr>
          <w:iCs/>
          <w:spacing w:val="-5"/>
          <w:lang w:eastAsia="en-US"/>
        </w:rPr>
        <w:t>otsustab lubade andmise, muutmise ja kehtetuks tunnistamise</w:t>
      </w:r>
      <w:r w:rsidR="006910A4" w:rsidRPr="003331EF">
        <w:rPr>
          <w:iCs/>
          <w:spacing w:val="-5"/>
          <w:lang w:eastAsia="en-US"/>
        </w:rPr>
        <w:t xml:space="preserve"> (sh </w:t>
      </w:r>
      <w:r w:rsidR="00F05D22" w:rsidRPr="003331EF">
        <w:rPr>
          <w:iCs/>
          <w:spacing w:val="-5"/>
          <w:lang w:eastAsia="en-US"/>
        </w:rPr>
        <w:t xml:space="preserve">näiteks </w:t>
      </w:r>
      <w:r w:rsidR="006910A4" w:rsidRPr="003331EF">
        <w:rPr>
          <w:iCs/>
          <w:spacing w:val="-5"/>
          <w:lang w:eastAsia="en-US"/>
        </w:rPr>
        <w:t>tegevusluba, kolmandas riigis tegutsemise luba ja ühinemisluba)</w:t>
      </w:r>
      <w:r w:rsidRPr="003331EF">
        <w:rPr>
          <w:iCs/>
          <w:spacing w:val="-5"/>
          <w:lang w:eastAsia="en-US"/>
        </w:rPr>
        <w:t>;</w:t>
      </w:r>
    </w:p>
    <w:p w14:paraId="2F381C6C" w14:textId="332DFA21" w:rsidR="001A4507" w:rsidRPr="003331EF" w:rsidRDefault="001A4507" w:rsidP="003331EF">
      <w:pPr>
        <w:numPr>
          <w:ilvl w:val="0"/>
          <w:numId w:val="10"/>
        </w:numPr>
        <w:spacing w:before="0"/>
        <w:ind w:right="-64"/>
        <w:rPr>
          <w:iCs/>
          <w:spacing w:val="-5"/>
          <w:lang w:eastAsia="en-US"/>
        </w:rPr>
      </w:pPr>
      <w:r w:rsidRPr="003331EF">
        <w:rPr>
          <w:iCs/>
          <w:spacing w:val="-5"/>
          <w:lang w:eastAsia="en-US"/>
        </w:rPr>
        <w:t xml:space="preserve">kontrollib osaluste omandamise, suurendamise ja vähendamisega </w:t>
      </w:r>
      <w:r w:rsidR="00351BBE" w:rsidRPr="003331EF">
        <w:rPr>
          <w:iCs/>
          <w:spacing w:val="-5"/>
          <w:lang w:eastAsia="en-US"/>
        </w:rPr>
        <w:t>(</w:t>
      </w:r>
      <w:proofErr w:type="spellStart"/>
      <w:r w:rsidR="00351BBE" w:rsidRPr="003331EF">
        <w:rPr>
          <w:iCs/>
          <w:spacing w:val="-5"/>
          <w:lang w:eastAsia="en-US"/>
        </w:rPr>
        <w:t>MiCA</w:t>
      </w:r>
      <w:proofErr w:type="spellEnd"/>
      <w:r w:rsidR="00351BBE" w:rsidRPr="003331EF">
        <w:rPr>
          <w:iCs/>
          <w:spacing w:val="-5"/>
          <w:lang w:eastAsia="en-US"/>
        </w:rPr>
        <w:t xml:space="preserve"> </w:t>
      </w:r>
      <w:r w:rsidR="00E21536" w:rsidRPr="003331EF">
        <w:rPr>
          <w:iCs/>
          <w:spacing w:val="-5"/>
          <w:lang w:eastAsia="en-US"/>
        </w:rPr>
        <w:t xml:space="preserve">määruse </w:t>
      </w:r>
      <w:r w:rsidR="00351BBE" w:rsidRPr="003331EF">
        <w:rPr>
          <w:iCs/>
          <w:spacing w:val="-5"/>
          <w:lang w:eastAsia="en-US"/>
        </w:rPr>
        <w:t>eestikeelne versioon kasutab terminit võõrandam</w:t>
      </w:r>
      <w:r w:rsidR="00E21536" w:rsidRPr="003331EF">
        <w:rPr>
          <w:iCs/>
          <w:spacing w:val="-5"/>
          <w:lang w:eastAsia="en-US"/>
        </w:rPr>
        <w:t>a</w:t>
      </w:r>
      <w:r w:rsidR="00351BBE" w:rsidRPr="003331EF">
        <w:rPr>
          <w:iCs/>
          <w:spacing w:val="-5"/>
          <w:lang w:eastAsia="en-US"/>
        </w:rPr>
        <w:t xml:space="preserve">) </w:t>
      </w:r>
      <w:r w:rsidRPr="003331EF">
        <w:rPr>
          <w:iCs/>
          <w:spacing w:val="-5"/>
          <w:lang w:eastAsia="en-US"/>
        </w:rPr>
        <w:t>seonduvat</w:t>
      </w:r>
      <w:r w:rsidR="00C431D2" w:rsidRPr="003331EF">
        <w:rPr>
          <w:iCs/>
          <w:spacing w:val="-5"/>
          <w:lang w:eastAsia="en-US"/>
        </w:rPr>
        <w:t xml:space="preserve">, mis on reguleeritud </w:t>
      </w:r>
      <w:proofErr w:type="spellStart"/>
      <w:r w:rsidR="00C431D2" w:rsidRPr="003331EF">
        <w:rPr>
          <w:iCs/>
          <w:spacing w:val="-5"/>
          <w:lang w:eastAsia="en-US"/>
        </w:rPr>
        <w:t>MiCA</w:t>
      </w:r>
      <w:proofErr w:type="spellEnd"/>
      <w:r w:rsidR="00C431D2" w:rsidRPr="003331EF">
        <w:rPr>
          <w:iCs/>
          <w:spacing w:val="-5"/>
          <w:lang w:eastAsia="en-US"/>
        </w:rPr>
        <w:t xml:space="preserve"> määruse artiklites 41, 42, 83 ja 84;</w:t>
      </w:r>
    </w:p>
    <w:p w14:paraId="16A71BAD" w14:textId="77777777" w:rsidR="001A4507" w:rsidRPr="003331EF" w:rsidRDefault="001A4507" w:rsidP="003331EF">
      <w:pPr>
        <w:numPr>
          <w:ilvl w:val="0"/>
          <w:numId w:val="10"/>
        </w:numPr>
        <w:spacing w:before="0"/>
        <w:ind w:right="-64"/>
        <w:rPr>
          <w:iCs/>
          <w:spacing w:val="-5"/>
          <w:lang w:eastAsia="en-US"/>
        </w:rPr>
      </w:pPr>
      <w:r w:rsidRPr="003331EF">
        <w:rPr>
          <w:iCs/>
          <w:spacing w:val="-5"/>
          <w:lang w:eastAsia="en-US"/>
        </w:rPr>
        <w:t>annab lubasid, nõusolekuid või teostab registreerimisi ja kooskõlastamisi;</w:t>
      </w:r>
    </w:p>
    <w:p w14:paraId="23DD776B" w14:textId="77777777" w:rsidR="001A4507" w:rsidRPr="003331EF" w:rsidRDefault="001A4507" w:rsidP="003331EF">
      <w:pPr>
        <w:numPr>
          <w:ilvl w:val="0"/>
          <w:numId w:val="10"/>
        </w:numPr>
        <w:spacing w:before="0"/>
        <w:ind w:right="-64"/>
        <w:rPr>
          <w:iCs/>
          <w:spacing w:val="-5"/>
          <w:lang w:eastAsia="en-US"/>
        </w:rPr>
      </w:pPr>
      <w:r w:rsidRPr="003331EF">
        <w:rPr>
          <w:iCs/>
          <w:spacing w:val="-5"/>
          <w:lang w:eastAsia="en-US"/>
        </w:rPr>
        <w:t>jälgib aruandeid ja muid dokumente kontrollides ning kohapealset kontrolli teostades teenuseosutaja tegevuse vastavust seadusele;</w:t>
      </w:r>
    </w:p>
    <w:p w14:paraId="023B06DC" w14:textId="77777777" w:rsidR="001A4507" w:rsidRPr="003331EF" w:rsidRDefault="001A4507" w:rsidP="003331EF">
      <w:pPr>
        <w:numPr>
          <w:ilvl w:val="0"/>
          <w:numId w:val="10"/>
        </w:numPr>
        <w:spacing w:before="0"/>
        <w:ind w:right="-64"/>
        <w:rPr>
          <w:iCs/>
          <w:spacing w:val="-5"/>
          <w:lang w:eastAsia="en-US"/>
        </w:rPr>
      </w:pPr>
      <w:r w:rsidRPr="003331EF">
        <w:rPr>
          <w:iCs/>
          <w:spacing w:val="-5"/>
          <w:lang w:eastAsia="en-US"/>
        </w:rPr>
        <w:t>teeb kohustuslikke ettekirjutusi ja annab korraldusi (korraldust käesoleva seaduse tähenduses mõistetakse kui korraldust FIS § 22</w:t>
      </w:r>
      <w:r w:rsidRPr="003331EF">
        <w:rPr>
          <w:iCs/>
          <w:spacing w:val="-5"/>
          <w:vertAlign w:val="superscript"/>
          <w:lang w:eastAsia="en-US"/>
        </w:rPr>
        <w:t>1</w:t>
      </w:r>
      <w:r w:rsidRPr="003331EF">
        <w:rPr>
          <w:iCs/>
          <w:spacing w:val="-5"/>
          <w:lang w:eastAsia="en-US"/>
        </w:rPr>
        <w:t xml:space="preserve"> tähenduses);</w:t>
      </w:r>
    </w:p>
    <w:p w14:paraId="2D82E83C" w14:textId="32E656B4" w:rsidR="001A4507" w:rsidRPr="003331EF" w:rsidRDefault="001A4507" w:rsidP="003331EF">
      <w:pPr>
        <w:numPr>
          <w:ilvl w:val="0"/>
          <w:numId w:val="10"/>
        </w:numPr>
        <w:spacing w:before="0"/>
        <w:ind w:right="-64"/>
        <w:rPr>
          <w:iCs/>
          <w:spacing w:val="-5"/>
          <w:lang w:eastAsia="en-US"/>
        </w:rPr>
      </w:pPr>
      <w:r w:rsidRPr="003331EF">
        <w:rPr>
          <w:iCs/>
          <w:spacing w:val="-5"/>
          <w:lang w:eastAsia="en-US"/>
        </w:rPr>
        <w:lastRenderedPageBreak/>
        <w:t xml:space="preserve">täidab muid õigusaktidest tulenevaid ülesandeid, sh DORA määrusest tulenevaid. </w:t>
      </w:r>
      <w:r w:rsidR="00EC78A1" w:rsidRPr="003331EF">
        <w:rPr>
          <w:iCs/>
          <w:spacing w:val="-5"/>
          <w:lang w:eastAsia="en-US"/>
        </w:rPr>
        <w:t xml:space="preserve">Näiteks kiidab heaks </w:t>
      </w:r>
      <w:proofErr w:type="spellStart"/>
      <w:r w:rsidR="00EC78A1" w:rsidRPr="003331EF">
        <w:rPr>
          <w:iCs/>
          <w:spacing w:val="-5"/>
          <w:lang w:eastAsia="en-US"/>
        </w:rPr>
        <w:t>krüptovara</w:t>
      </w:r>
      <w:proofErr w:type="spellEnd"/>
      <w:r w:rsidR="00EC78A1" w:rsidRPr="003331EF">
        <w:rPr>
          <w:iCs/>
          <w:spacing w:val="-5"/>
          <w:lang w:eastAsia="en-US"/>
        </w:rPr>
        <w:t xml:space="preserve"> valge raamatu, hindab reklaamteadete vastavust </w:t>
      </w:r>
      <w:proofErr w:type="spellStart"/>
      <w:r w:rsidR="00EC78A1" w:rsidRPr="003331EF">
        <w:rPr>
          <w:iCs/>
          <w:spacing w:val="-5"/>
          <w:lang w:eastAsia="en-US"/>
        </w:rPr>
        <w:t>krüptovara</w:t>
      </w:r>
      <w:proofErr w:type="spellEnd"/>
      <w:r w:rsidR="00EC78A1" w:rsidRPr="003331EF">
        <w:rPr>
          <w:iCs/>
          <w:spacing w:val="-5"/>
          <w:lang w:eastAsia="en-US"/>
        </w:rPr>
        <w:t xml:space="preserve"> valges raamatus sisalduvale teabele, teavitab </w:t>
      </w:r>
      <w:r w:rsidR="00A15818" w:rsidRPr="003331EF">
        <w:rPr>
          <w:iCs/>
          <w:spacing w:val="-5"/>
          <w:lang w:eastAsia="en-US"/>
        </w:rPr>
        <w:t xml:space="preserve">ühtset kontaktpunkti kavandatud avalikust pakkumisest või kauplemisele võtmisest ning edastab ühtsele kontaktpunktile vastava </w:t>
      </w:r>
      <w:proofErr w:type="spellStart"/>
      <w:r w:rsidR="00A15818" w:rsidRPr="003331EF">
        <w:rPr>
          <w:iCs/>
          <w:spacing w:val="-5"/>
          <w:lang w:eastAsia="en-US"/>
        </w:rPr>
        <w:t>krüptovara</w:t>
      </w:r>
      <w:proofErr w:type="spellEnd"/>
      <w:r w:rsidR="00A15818" w:rsidRPr="003331EF">
        <w:rPr>
          <w:iCs/>
          <w:spacing w:val="-5"/>
          <w:lang w:eastAsia="en-US"/>
        </w:rPr>
        <w:t xml:space="preserve"> valge raamatu, hindab, kas </w:t>
      </w:r>
      <w:proofErr w:type="spellStart"/>
      <w:r w:rsidR="00A15818" w:rsidRPr="003331EF">
        <w:rPr>
          <w:iCs/>
          <w:spacing w:val="-5"/>
          <w:lang w:eastAsia="en-US"/>
        </w:rPr>
        <w:t>krüptovaraturu</w:t>
      </w:r>
      <w:proofErr w:type="spellEnd"/>
      <w:r w:rsidR="00A15818" w:rsidRPr="003331EF">
        <w:rPr>
          <w:iCs/>
          <w:spacing w:val="-5"/>
          <w:lang w:eastAsia="en-US"/>
        </w:rPr>
        <w:t xml:space="preserve"> osalisel on õigus </w:t>
      </w:r>
      <w:proofErr w:type="spellStart"/>
      <w:r w:rsidR="00A15818" w:rsidRPr="003331EF">
        <w:rPr>
          <w:iCs/>
          <w:spacing w:val="-5"/>
          <w:lang w:eastAsia="en-US"/>
        </w:rPr>
        <w:t>krüptovaraturul</w:t>
      </w:r>
      <w:proofErr w:type="spellEnd"/>
      <w:r w:rsidR="00A15818" w:rsidRPr="003331EF">
        <w:rPr>
          <w:iCs/>
          <w:spacing w:val="-5"/>
          <w:lang w:eastAsia="en-US"/>
        </w:rPr>
        <w:t xml:space="preserve"> tegutseda jne.</w:t>
      </w:r>
    </w:p>
    <w:p w14:paraId="12141620" w14:textId="77777777" w:rsidR="001A4507" w:rsidRPr="003331EF" w:rsidRDefault="001A4507" w:rsidP="003331EF">
      <w:pPr>
        <w:spacing w:before="0"/>
        <w:rPr>
          <w:i/>
          <w:iCs/>
        </w:rPr>
      </w:pPr>
    </w:p>
    <w:p w14:paraId="27A18951" w14:textId="3C6D341D" w:rsidR="001A4507" w:rsidRPr="003331EF" w:rsidRDefault="001A4507" w:rsidP="003331EF">
      <w:pPr>
        <w:spacing w:before="0"/>
        <w:rPr>
          <w:iCs/>
          <w:spacing w:val="-5"/>
          <w:lang w:eastAsia="en-US"/>
        </w:rPr>
      </w:pPr>
      <w:r w:rsidRPr="003331EF">
        <w:rPr>
          <w:b/>
        </w:rPr>
        <w:t xml:space="preserve">Lõikes </w:t>
      </w:r>
      <w:r w:rsidR="00B7722F" w:rsidRPr="003331EF">
        <w:rPr>
          <w:b/>
        </w:rPr>
        <w:t>5</w:t>
      </w:r>
      <w:r w:rsidRPr="003331EF">
        <w:t xml:space="preserve"> </w:t>
      </w:r>
      <w:r w:rsidRPr="003331EF">
        <w:rPr>
          <w:iCs/>
          <w:spacing w:val="-5"/>
          <w:lang w:eastAsia="en-US"/>
        </w:rPr>
        <w:t>antakse Finantsinspektsioonile õigus kohaldada eelnõus sätestatud riikliku järelevalve teostamiseks korrakaitseseaduse §-s 31 sätestatud riikliku järelevalve erimeetmeid. Näiteks võib korrakaitseseaduse § 31 lõike 4 kohaselt isiku suhtes kohaldada sundtoomist, kui on alust arvata, et isikul on olulist teavet, mis on vajalik kõrgendatud ohu tõrjumiseks. Nimetatud seaduse § 5 lõikes 4 on defineeritud „kõrgendatud oht“. Kõrgendatud oht on oht isiku elule, kehalisele puutumatusele, füüsilisele vabadusele, suure väärtusega varalisele hüvele, suure keskkonnakahju tekkimise oht või karistusseadustiku 15. peatükis sätestatud I astme kuriteo või 22. peatükis sätestatud kuriteo toimepanemise oht. Seega, kui menetlusosaline jätab haldusmenetluses Finantsinspektsiooni kutsel seadusliku takistuseta ilmumata ning Finantsinspektsioonil on alust arvata, et menetlusosalisel on olulist teavet, mis aitaks ära hoida ohtu suure väärtusega varalisele hüvele, võib menetlusosalise suhtes rakendada sundtoomist. Samuti võib korrakaitseseaduse § 31 lõike 3 kohaselt kohaldada sunniraha, kui kutse kätte saanud kutsutud isik ei ilmu ilma mõjuva põhjuseta kutses märgitud ajal kutses märgitud kohta.</w:t>
      </w:r>
    </w:p>
    <w:p w14:paraId="7D015A20" w14:textId="77777777" w:rsidR="00357E7F" w:rsidRPr="003331EF" w:rsidRDefault="00357E7F" w:rsidP="003331EF">
      <w:pPr>
        <w:spacing w:before="0"/>
        <w:rPr>
          <w:iCs/>
          <w:spacing w:val="-5"/>
          <w:lang w:eastAsia="en-US"/>
        </w:rPr>
      </w:pPr>
    </w:p>
    <w:p w14:paraId="65968405" w14:textId="2446F85B" w:rsidR="001229AA" w:rsidRPr="003331EF" w:rsidRDefault="00357E7F" w:rsidP="003331EF">
      <w:pPr>
        <w:pStyle w:val="Pealkiri1"/>
        <w:numPr>
          <w:ilvl w:val="0"/>
          <w:numId w:val="0"/>
        </w:numPr>
        <w:shd w:val="clear" w:color="auto" w:fill="FFFFFF"/>
        <w:rPr>
          <w:b w:val="0"/>
          <w:bCs w:val="0"/>
          <w:iCs/>
          <w:color w:val="auto"/>
          <w:spacing w:val="-5"/>
          <w:sz w:val="24"/>
          <w:lang w:val="et-EE"/>
        </w:rPr>
      </w:pPr>
      <w:r w:rsidRPr="003331EF">
        <w:rPr>
          <w:b w:val="0"/>
          <w:bCs w:val="0"/>
          <w:iCs/>
          <w:color w:val="auto"/>
          <w:spacing w:val="-5"/>
          <w:sz w:val="24"/>
          <w:lang w:val="et-EE"/>
        </w:rPr>
        <w:t>FIS § 6 lõige 4 reguleerib, et Finantsinspektsiooni tegevusele kohaldatakse korrakaitseseadust käesolevas seaduses</w:t>
      </w:r>
      <w:r w:rsidR="00E20C55" w:rsidRPr="003331EF">
        <w:rPr>
          <w:b w:val="0"/>
          <w:bCs w:val="0"/>
          <w:iCs/>
          <w:color w:val="auto"/>
          <w:spacing w:val="-5"/>
          <w:sz w:val="24"/>
          <w:lang w:val="et-EE"/>
        </w:rPr>
        <w:t xml:space="preserve"> (ehk FIS-is)</w:t>
      </w:r>
      <w:r w:rsidRPr="003331EF">
        <w:rPr>
          <w:b w:val="0"/>
          <w:bCs w:val="0"/>
          <w:iCs/>
          <w:color w:val="auto"/>
          <w:spacing w:val="-5"/>
          <w:sz w:val="24"/>
          <w:lang w:val="et-EE"/>
        </w:rPr>
        <w:t xml:space="preserve">, käesolevas seaduses nimetatud seadustes </w:t>
      </w:r>
      <w:r w:rsidR="00E20C55" w:rsidRPr="003331EF">
        <w:rPr>
          <w:b w:val="0"/>
          <w:bCs w:val="0"/>
          <w:iCs/>
          <w:color w:val="auto"/>
          <w:spacing w:val="-5"/>
          <w:sz w:val="24"/>
          <w:lang w:val="et-EE"/>
        </w:rPr>
        <w:t xml:space="preserve">(sh </w:t>
      </w:r>
      <w:proofErr w:type="spellStart"/>
      <w:r w:rsidR="00E20C55" w:rsidRPr="003331EF">
        <w:rPr>
          <w:b w:val="0"/>
          <w:bCs w:val="0"/>
          <w:iCs/>
          <w:color w:val="auto"/>
          <w:spacing w:val="-5"/>
          <w:sz w:val="24"/>
          <w:lang w:val="et-EE"/>
        </w:rPr>
        <w:t>KrÜTSis</w:t>
      </w:r>
      <w:proofErr w:type="spellEnd"/>
      <w:r w:rsidR="00E20C55" w:rsidRPr="003331EF">
        <w:rPr>
          <w:b w:val="0"/>
          <w:bCs w:val="0"/>
          <w:iCs/>
          <w:color w:val="auto"/>
          <w:spacing w:val="-5"/>
          <w:sz w:val="24"/>
          <w:lang w:val="et-EE"/>
        </w:rPr>
        <w:t xml:space="preserve">) </w:t>
      </w:r>
      <w:r w:rsidRPr="003331EF">
        <w:rPr>
          <w:b w:val="0"/>
          <w:bCs w:val="0"/>
          <w:iCs/>
          <w:color w:val="auto"/>
          <w:spacing w:val="-5"/>
          <w:sz w:val="24"/>
          <w:lang w:val="et-EE"/>
        </w:rPr>
        <w:t xml:space="preserve">ja nende seaduste alusel antud õigusaktides ning Euroopa Liidu õigusaktides sätestatud erisustega. </w:t>
      </w:r>
      <w:r w:rsidR="00E21536" w:rsidRPr="003331EF">
        <w:rPr>
          <w:b w:val="0"/>
          <w:bCs w:val="0"/>
          <w:iCs/>
          <w:color w:val="auto"/>
          <w:spacing w:val="-5"/>
          <w:sz w:val="24"/>
          <w:lang w:val="et-EE"/>
        </w:rPr>
        <w:t>Võlaõigusseaduse muutmise ja sellega seonduvalt teiste seaduste muutmise seadus</w:t>
      </w:r>
      <w:r w:rsidR="001229AA" w:rsidRPr="003331EF">
        <w:rPr>
          <w:b w:val="0"/>
          <w:bCs w:val="0"/>
          <w:iCs/>
          <w:color w:val="auto"/>
          <w:spacing w:val="-5"/>
          <w:sz w:val="24"/>
          <w:lang w:val="et-EE"/>
        </w:rPr>
        <w:t>e</w:t>
      </w:r>
      <w:r w:rsidR="00E21536" w:rsidRPr="003331EF">
        <w:rPr>
          <w:b w:val="0"/>
          <w:bCs w:val="0"/>
          <w:iCs/>
          <w:color w:val="auto"/>
          <w:spacing w:val="-5"/>
          <w:sz w:val="24"/>
          <w:lang w:val="et-EE"/>
        </w:rPr>
        <w:t xml:space="preserve"> </w:t>
      </w:r>
      <w:r w:rsidRPr="003331EF">
        <w:rPr>
          <w:b w:val="0"/>
          <w:bCs w:val="0"/>
          <w:iCs/>
          <w:color w:val="auto"/>
          <w:spacing w:val="-5"/>
          <w:sz w:val="24"/>
          <w:lang w:val="et-EE"/>
        </w:rPr>
        <w:t>seletuskirjas</w:t>
      </w:r>
      <w:r w:rsidR="00E21536" w:rsidRPr="003331EF">
        <w:rPr>
          <w:b w:val="0"/>
          <w:bCs w:val="0"/>
          <w:iCs/>
          <w:color w:val="auto"/>
          <w:spacing w:val="-5"/>
          <w:sz w:val="24"/>
          <w:vertAlign w:val="superscript"/>
          <w:lang w:val="et-EE"/>
        </w:rPr>
        <w:footnoteReference w:id="24"/>
      </w:r>
      <w:r w:rsidR="001229AA" w:rsidRPr="003331EF">
        <w:rPr>
          <w:b w:val="0"/>
          <w:bCs w:val="0"/>
          <w:iCs/>
          <w:color w:val="auto"/>
          <w:spacing w:val="-5"/>
          <w:sz w:val="24"/>
          <w:lang w:val="et-EE"/>
        </w:rPr>
        <w:t xml:space="preserve"> </w:t>
      </w:r>
      <w:r w:rsidRPr="003331EF">
        <w:rPr>
          <w:b w:val="0"/>
          <w:bCs w:val="0"/>
          <w:iCs/>
          <w:color w:val="auto"/>
          <w:spacing w:val="-5"/>
          <w:sz w:val="24"/>
          <w:lang w:val="et-EE"/>
        </w:rPr>
        <w:t>on</w:t>
      </w:r>
      <w:r w:rsidR="001229AA" w:rsidRPr="003331EF">
        <w:rPr>
          <w:b w:val="0"/>
          <w:bCs w:val="0"/>
          <w:iCs/>
          <w:color w:val="auto"/>
          <w:spacing w:val="-5"/>
          <w:sz w:val="24"/>
          <w:lang w:val="et-EE"/>
        </w:rPr>
        <w:t xml:space="preserve"> selgitatud</w:t>
      </w:r>
      <w:r w:rsidRPr="003331EF">
        <w:rPr>
          <w:b w:val="0"/>
          <w:bCs w:val="0"/>
          <w:iCs/>
          <w:color w:val="auto"/>
          <w:spacing w:val="-5"/>
          <w:sz w:val="24"/>
          <w:lang w:val="et-EE"/>
        </w:rPr>
        <w:t xml:space="preserve">, et korrakaitseseaduse kohaldamine Finantsinspektsiooni riiklikule järelevalvetegevusele ei too kaasa sisulisi muudatusi inspektsiooni senises igapäevases töökorralduses, sest inspektsioon lähtub ka edaspidi riikliku järelevalve teostamisel eriseadustes sätestatust. </w:t>
      </w:r>
    </w:p>
    <w:p w14:paraId="48A9F9BF" w14:textId="77777777" w:rsidR="001229AA" w:rsidRPr="003331EF" w:rsidRDefault="001229AA" w:rsidP="003331EF">
      <w:pPr>
        <w:pStyle w:val="Pealkiri1"/>
        <w:numPr>
          <w:ilvl w:val="0"/>
          <w:numId w:val="0"/>
        </w:numPr>
        <w:shd w:val="clear" w:color="auto" w:fill="FFFFFF"/>
        <w:rPr>
          <w:b w:val="0"/>
          <w:bCs w:val="0"/>
          <w:iCs/>
          <w:color w:val="auto"/>
          <w:spacing w:val="-5"/>
          <w:sz w:val="24"/>
          <w:lang w:val="et-EE"/>
        </w:rPr>
      </w:pPr>
    </w:p>
    <w:p w14:paraId="479F07D8" w14:textId="537E12D0" w:rsidR="00357E7F" w:rsidRPr="00A4579B" w:rsidRDefault="00357E7F" w:rsidP="003331EF">
      <w:pPr>
        <w:pStyle w:val="Pealkiri1"/>
        <w:numPr>
          <w:ilvl w:val="0"/>
          <w:numId w:val="0"/>
        </w:numPr>
        <w:shd w:val="clear" w:color="auto" w:fill="FFFFFF"/>
        <w:rPr>
          <w:b w:val="0"/>
          <w:bCs w:val="0"/>
          <w:iCs/>
          <w:color w:val="auto"/>
          <w:spacing w:val="-5"/>
          <w:sz w:val="24"/>
          <w:lang w:val="et-EE"/>
        </w:rPr>
      </w:pPr>
      <w:r w:rsidRPr="003331EF">
        <w:rPr>
          <w:b w:val="0"/>
          <w:bCs w:val="0"/>
          <w:iCs/>
          <w:color w:val="auto"/>
          <w:spacing w:val="-5"/>
          <w:sz w:val="24"/>
          <w:lang w:val="et-EE"/>
        </w:rPr>
        <w:t>Korrakaitseseaduse erimeetmete regulatsioon (korrakaitseseaduse § 30 jj) kohaldub erikorrakaitseorgani (Finantsinspektsiooni) suhtes üksnes siis, kui sellele erikorrakaitseorganile on eriseadusega antud õigus vastava erimeetme kohaldamiseks. Kui eriseaduses sellist õigust ei ole, siis vastav erimeede (korrakaitseseaduse § 30 jj) erikorrakaitseorganile ei kohaldu. Sellest tulenevalt antakse eelnõu § 2</w:t>
      </w:r>
      <w:r w:rsidR="002E26C6" w:rsidRPr="003331EF">
        <w:rPr>
          <w:b w:val="0"/>
          <w:bCs w:val="0"/>
          <w:iCs/>
          <w:color w:val="auto"/>
          <w:spacing w:val="-5"/>
          <w:sz w:val="24"/>
          <w:lang w:val="et-EE"/>
        </w:rPr>
        <w:t>6</w:t>
      </w:r>
      <w:r w:rsidRPr="003331EF">
        <w:rPr>
          <w:b w:val="0"/>
          <w:bCs w:val="0"/>
          <w:iCs/>
          <w:color w:val="auto"/>
          <w:spacing w:val="-5"/>
          <w:sz w:val="24"/>
          <w:lang w:val="et-EE"/>
        </w:rPr>
        <w:t xml:space="preserve"> lõikega </w:t>
      </w:r>
      <w:r w:rsidR="002E26C6" w:rsidRPr="003331EF">
        <w:rPr>
          <w:b w:val="0"/>
          <w:bCs w:val="0"/>
          <w:iCs/>
          <w:color w:val="auto"/>
          <w:spacing w:val="-5"/>
          <w:sz w:val="24"/>
          <w:lang w:val="et-EE"/>
        </w:rPr>
        <w:t>5</w:t>
      </w:r>
      <w:r w:rsidRPr="003331EF">
        <w:rPr>
          <w:b w:val="0"/>
          <w:bCs w:val="0"/>
          <w:iCs/>
          <w:color w:val="auto"/>
          <w:spacing w:val="-5"/>
          <w:sz w:val="24"/>
          <w:lang w:val="et-EE"/>
        </w:rPr>
        <w:t xml:space="preserve"> Finantsinspektsioonile õigus rakendada korrakaitseseaduse §-s 31 sätestatud järelevalve erimeetmeid.</w:t>
      </w:r>
      <w:r w:rsidRPr="00A4579B">
        <w:rPr>
          <w:b w:val="0"/>
          <w:bCs w:val="0"/>
          <w:iCs/>
          <w:color w:val="auto"/>
          <w:spacing w:val="-5"/>
          <w:sz w:val="24"/>
          <w:lang w:val="et-EE"/>
        </w:rPr>
        <w:t xml:space="preserve"> </w:t>
      </w:r>
    </w:p>
    <w:p w14:paraId="3AFCD13F" w14:textId="77777777" w:rsidR="00357E7F" w:rsidRPr="003331EF" w:rsidRDefault="00357E7F" w:rsidP="003331EF">
      <w:pPr>
        <w:spacing w:before="0"/>
        <w:rPr>
          <w:iCs/>
          <w:spacing w:val="-5"/>
          <w:lang w:eastAsia="en-US"/>
        </w:rPr>
      </w:pPr>
    </w:p>
    <w:p w14:paraId="0FF42752" w14:textId="5E7BBE26" w:rsidR="00357E7F" w:rsidRPr="003331EF" w:rsidRDefault="00357E7F" w:rsidP="003331EF">
      <w:pPr>
        <w:spacing w:before="0"/>
        <w:rPr>
          <w:iCs/>
          <w:spacing w:val="-5"/>
          <w:lang w:eastAsia="en-US"/>
        </w:rPr>
      </w:pPr>
      <w:r w:rsidRPr="003331EF">
        <w:rPr>
          <w:iCs/>
          <w:spacing w:val="-5"/>
          <w:lang w:eastAsia="en-US"/>
        </w:rPr>
        <w:t xml:space="preserve">Viidatud seletuskiri selgitab lisaks, et muus osas tuleb lähtuda tavapärasest </w:t>
      </w:r>
      <w:proofErr w:type="spellStart"/>
      <w:r w:rsidRPr="003331EF">
        <w:rPr>
          <w:iCs/>
          <w:spacing w:val="-5"/>
          <w:lang w:eastAsia="en-US"/>
        </w:rPr>
        <w:t>üld</w:t>
      </w:r>
      <w:proofErr w:type="spellEnd"/>
      <w:r w:rsidRPr="003331EF">
        <w:rPr>
          <w:iCs/>
          <w:spacing w:val="-5"/>
          <w:lang w:eastAsia="en-US"/>
        </w:rPr>
        <w:t xml:space="preserve">- ja erinormi vahekorrast: juhul kui eriseadus annab ammendava regulatsiooni korrakaitseorgani sekkumise aluste ja ulatuse kohta (korrakaitseseaduse suhtes on eriseadusteks Finantsinspektsiooni seadus ja Finantsinspektsiooni seaduse § 2 lõigetes 1 ja 3 nimetatud seadused), siis </w:t>
      </w:r>
      <w:proofErr w:type="spellStart"/>
      <w:r w:rsidRPr="003331EF">
        <w:rPr>
          <w:iCs/>
          <w:spacing w:val="-5"/>
          <w:lang w:eastAsia="en-US"/>
        </w:rPr>
        <w:t>üldseadus</w:t>
      </w:r>
      <w:proofErr w:type="spellEnd"/>
      <w:r w:rsidRPr="003331EF">
        <w:rPr>
          <w:iCs/>
          <w:spacing w:val="-5"/>
          <w:lang w:eastAsia="en-US"/>
        </w:rPr>
        <w:t xml:space="preserve"> ei kohaldu. Olukorras, kus eriseadus ei peegelda korrakaitseseaduse ohumõiste erinevaid astmeid ja tasemeid, st kui eriseadus ei ole mõistekasutuselt ega struktuurilt viidud korrakaitseseadusega kooskõlla, kuid annab regulatsiooni erikorrakaitseorgani tegevuse alustest ja ulatusest, jäävad need korrakaitseseaduse sätted, mis oma kohaldamise eeldusena räägivad ühest või teisest ohuastmest või –tasemest, eriseaduse regulatsiooni olemasolu tõttu kõrvale ning sõelale jääb eriseaduse regulatsioon.</w:t>
      </w:r>
    </w:p>
    <w:p w14:paraId="02F369A2" w14:textId="77777777" w:rsidR="00E20C55" w:rsidRPr="003331EF" w:rsidRDefault="00E20C55" w:rsidP="003331EF">
      <w:pPr>
        <w:spacing w:before="0"/>
        <w:rPr>
          <w:iCs/>
          <w:spacing w:val="-5"/>
          <w:lang w:eastAsia="en-US"/>
        </w:rPr>
      </w:pPr>
    </w:p>
    <w:p w14:paraId="12DF9C1C" w14:textId="6342563E" w:rsidR="00357E7F" w:rsidRPr="003331EF" w:rsidRDefault="001229AA" w:rsidP="003331EF">
      <w:pPr>
        <w:spacing w:before="0"/>
        <w:rPr>
          <w:iCs/>
          <w:spacing w:val="-5"/>
          <w:lang w:eastAsia="en-US"/>
        </w:rPr>
      </w:pPr>
      <w:r w:rsidRPr="003331EF">
        <w:rPr>
          <w:iCs/>
          <w:spacing w:val="-5"/>
          <w:lang w:eastAsia="en-US"/>
        </w:rPr>
        <w:lastRenderedPageBreak/>
        <w:t xml:space="preserve">Samuti on seletuskirjas täpsustatud, et </w:t>
      </w:r>
      <w:r w:rsidR="00357E7F" w:rsidRPr="003331EF">
        <w:rPr>
          <w:iCs/>
          <w:spacing w:val="-5"/>
          <w:lang w:eastAsia="en-US"/>
        </w:rPr>
        <w:t xml:space="preserve">Justiitsministeerium on märkinud Finantsinspektsiooni järelevalvetegevuse suhtes korrakaitseseaduse põhimõtete ja </w:t>
      </w:r>
      <w:proofErr w:type="spellStart"/>
      <w:r w:rsidR="00357E7F" w:rsidRPr="003331EF">
        <w:rPr>
          <w:iCs/>
          <w:spacing w:val="-5"/>
          <w:lang w:eastAsia="en-US"/>
        </w:rPr>
        <w:t>üldmeetmete</w:t>
      </w:r>
      <w:proofErr w:type="spellEnd"/>
      <w:r w:rsidR="00357E7F" w:rsidRPr="003331EF">
        <w:rPr>
          <w:iCs/>
          <w:spacing w:val="-5"/>
          <w:lang w:eastAsia="en-US"/>
        </w:rPr>
        <w:t xml:space="preserve"> kohaldamise kohta järgmist: </w:t>
      </w:r>
    </w:p>
    <w:p w14:paraId="27748C1B" w14:textId="77777777" w:rsidR="00357E7F" w:rsidRPr="003331EF" w:rsidRDefault="00357E7F" w:rsidP="003331EF">
      <w:pPr>
        <w:spacing w:before="0"/>
        <w:rPr>
          <w:iCs/>
          <w:spacing w:val="-5"/>
          <w:lang w:eastAsia="en-US"/>
        </w:rPr>
      </w:pPr>
      <w:r w:rsidRPr="003331EF">
        <w:rPr>
          <w:iCs/>
          <w:spacing w:val="-5"/>
          <w:lang w:eastAsia="en-US"/>
        </w:rPr>
        <w:t xml:space="preserve">1) korrakaitseseaduse §-des 7, 8, 9, 13 sätestatud põhimõtted (proportsionaalsuse, otstarbekuse, </w:t>
      </w:r>
      <w:proofErr w:type="spellStart"/>
      <w:r w:rsidRPr="003331EF">
        <w:rPr>
          <w:iCs/>
          <w:spacing w:val="-5"/>
          <w:lang w:eastAsia="en-US"/>
        </w:rPr>
        <w:t>inimväärikuse</w:t>
      </w:r>
      <w:proofErr w:type="spellEnd"/>
      <w:r w:rsidRPr="003331EF">
        <w:rPr>
          <w:iCs/>
          <w:spacing w:val="-5"/>
          <w:lang w:eastAsia="en-US"/>
        </w:rPr>
        <w:t xml:space="preserve"> tagamise ja isikuandmete töötlemise põhimõtted) kohalduvad Finantsinspektsiooni tegevuse suhtes kui põhimõtted, kuid põhimõtete sisu on täpsustatud eriseadustes; </w:t>
      </w:r>
    </w:p>
    <w:p w14:paraId="3D2FA88C" w14:textId="77777777" w:rsidR="00357E7F" w:rsidRPr="003331EF" w:rsidRDefault="00357E7F" w:rsidP="003331EF">
      <w:pPr>
        <w:spacing w:before="0"/>
        <w:rPr>
          <w:iCs/>
          <w:spacing w:val="-5"/>
          <w:lang w:eastAsia="en-US"/>
        </w:rPr>
      </w:pPr>
      <w:r w:rsidRPr="003331EF">
        <w:rPr>
          <w:iCs/>
          <w:spacing w:val="-5"/>
          <w:lang w:eastAsia="en-US"/>
        </w:rPr>
        <w:t xml:space="preserve">2) korrakaitseseaduse § 23 (riikliku järelevalve meetme kohaldamise põhimõtted) ei kohaldu sisust tulenevalt, sealhulgas ei kohaldu § 23 lõige 4 (järelevalve meetme talumise kohustuse tagamiseks tehtav ettekirjutus ja selle alusel rakendatav sunniraha ülemmäär) seetõttu, et ettekirjutuste ja sunniraha määramise eeldused ja alused on eriseadustes ammendavalt reguleeritud; </w:t>
      </w:r>
    </w:p>
    <w:p w14:paraId="6861DA4C" w14:textId="5F1FE1BE" w:rsidR="00357E7F" w:rsidRPr="003331EF" w:rsidRDefault="00357E7F" w:rsidP="003331EF">
      <w:pPr>
        <w:spacing w:before="0"/>
        <w:rPr>
          <w:iCs/>
          <w:spacing w:val="-5"/>
          <w:lang w:eastAsia="en-US"/>
        </w:rPr>
      </w:pPr>
      <w:r w:rsidRPr="003331EF">
        <w:rPr>
          <w:iCs/>
          <w:spacing w:val="-5"/>
          <w:lang w:eastAsia="en-US"/>
        </w:rPr>
        <w:t>3)</w:t>
      </w:r>
      <w:r w:rsidR="007825E8">
        <w:rPr>
          <w:iCs/>
          <w:spacing w:val="-5"/>
          <w:lang w:eastAsia="en-US"/>
        </w:rPr>
        <w:t> </w:t>
      </w:r>
      <w:r w:rsidRPr="003331EF">
        <w:rPr>
          <w:iCs/>
          <w:spacing w:val="-5"/>
          <w:lang w:eastAsia="en-US"/>
        </w:rPr>
        <w:t>korrakaitseseaduse § 10 (korrakaitseorganite koostöö), §</w:t>
      </w:r>
      <w:r w:rsidR="007825E8">
        <w:rPr>
          <w:iCs/>
          <w:spacing w:val="-5"/>
          <w:lang w:eastAsia="en-US"/>
        </w:rPr>
        <w:t> </w:t>
      </w:r>
      <w:r w:rsidRPr="003331EF">
        <w:rPr>
          <w:iCs/>
          <w:spacing w:val="-5"/>
          <w:lang w:eastAsia="en-US"/>
        </w:rPr>
        <w:t xml:space="preserve">11 (korrakaitseorgani selgitamiskohustus) ja § 12 (meetme dokumenteerimine ja aruandlus) ei kohaldu, kuivõrd selleks on olemas eriseadustes ammendav regulatsioon; </w:t>
      </w:r>
    </w:p>
    <w:p w14:paraId="080A8161" w14:textId="0658D2F5" w:rsidR="00E20C55" w:rsidRPr="003331EF" w:rsidRDefault="00357E7F" w:rsidP="003331EF">
      <w:pPr>
        <w:spacing w:before="0"/>
        <w:rPr>
          <w:iCs/>
          <w:spacing w:val="-5"/>
          <w:lang w:eastAsia="en-US"/>
        </w:rPr>
      </w:pPr>
      <w:r w:rsidRPr="003331EF">
        <w:rPr>
          <w:iCs/>
          <w:spacing w:val="-5"/>
          <w:lang w:eastAsia="en-US"/>
        </w:rPr>
        <w:t>4)</w:t>
      </w:r>
      <w:r w:rsidR="003E0BFB">
        <w:rPr>
          <w:iCs/>
          <w:spacing w:val="-5"/>
          <w:lang w:eastAsia="en-US"/>
        </w:rPr>
        <w:t> </w:t>
      </w:r>
      <w:r w:rsidRPr="003331EF">
        <w:rPr>
          <w:iCs/>
          <w:spacing w:val="-5"/>
          <w:lang w:eastAsia="en-US"/>
        </w:rPr>
        <w:t>korrakaitseseaduse § 14 (isiku õigus saada abi korrakaitseorganilt ja osaleda korrakaitses) punktid</w:t>
      </w:r>
      <w:r w:rsidR="007825E8">
        <w:rPr>
          <w:iCs/>
          <w:spacing w:val="-5"/>
          <w:lang w:eastAsia="en-US"/>
        </w:rPr>
        <w:t> </w:t>
      </w:r>
      <w:r w:rsidRPr="003331EF">
        <w:rPr>
          <w:iCs/>
          <w:spacing w:val="-5"/>
          <w:lang w:eastAsia="en-US"/>
        </w:rPr>
        <w:t>2 ja 3 ei kohaldu sisust tulenevalt. Abi osutamisel tuleks lähtuda sellest, et abi saab korrakaitseorgan anda vaid oma pädevuse piires, s.o Finantsinspektsioonil peab olema seaduses sätestatud alus konkreetse abistava toimingu tegemiseks. Sätet ei saaks Finantsinspektsioon kohalda ka seetõttu, et see eeldab tegutsemist vastavalt ohu astmetele</w:t>
      </w:r>
      <w:r w:rsidR="00E20C55" w:rsidRPr="003331EF">
        <w:rPr>
          <w:iCs/>
          <w:spacing w:val="-5"/>
          <w:lang w:eastAsia="en-US"/>
        </w:rPr>
        <w:t>;</w:t>
      </w:r>
      <w:r w:rsidRPr="003331EF">
        <w:rPr>
          <w:iCs/>
          <w:spacing w:val="-5"/>
          <w:lang w:eastAsia="en-US"/>
        </w:rPr>
        <w:t xml:space="preserve"> </w:t>
      </w:r>
    </w:p>
    <w:p w14:paraId="0D0094D7" w14:textId="47224053" w:rsidR="00357E7F" w:rsidRPr="003331EF" w:rsidRDefault="00357E7F" w:rsidP="003331EF">
      <w:pPr>
        <w:spacing w:before="0"/>
        <w:rPr>
          <w:iCs/>
          <w:spacing w:val="-5"/>
          <w:lang w:eastAsia="en-US"/>
        </w:rPr>
      </w:pPr>
      <w:r w:rsidRPr="003331EF">
        <w:rPr>
          <w:iCs/>
          <w:spacing w:val="-5"/>
          <w:lang w:eastAsia="en-US"/>
        </w:rPr>
        <w:t>5) korrakaitseseaduse § 15 (avaliku korra eest vastutav isik). Juhul kui korrakaitseseadus sisuliselt ei kohaldu, siis ei oma ka avaliku korra eest vastutava isiku definitsioon Finantsinspektsiooni tegevuses tähendust.</w:t>
      </w:r>
    </w:p>
    <w:p w14:paraId="7B1DAB09" w14:textId="77777777" w:rsidR="001A4507" w:rsidRPr="003331EF" w:rsidRDefault="001A4507" w:rsidP="003331EF">
      <w:pPr>
        <w:spacing w:before="0"/>
        <w:rPr>
          <w:i/>
          <w:iCs/>
        </w:rPr>
      </w:pPr>
    </w:p>
    <w:p w14:paraId="6014F0C4" w14:textId="77777777" w:rsidR="00FF5F03" w:rsidRDefault="001A4507" w:rsidP="003331EF">
      <w:pPr>
        <w:spacing w:before="0"/>
        <w:rPr>
          <w:iCs/>
          <w:spacing w:val="-5"/>
          <w:lang w:eastAsia="en-US"/>
        </w:rPr>
      </w:pPr>
      <w:r w:rsidRPr="003331EF">
        <w:rPr>
          <w:b/>
        </w:rPr>
        <w:t xml:space="preserve">Lõike </w:t>
      </w:r>
      <w:r w:rsidR="00B7722F" w:rsidRPr="003331EF">
        <w:rPr>
          <w:b/>
        </w:rPr>
        <w:t>6</w:t>
      </w:r>
      <w:r w:rsidRPr="003331EF">
        <w:rPr>
          <w:b/>
        </w:rPr>
        <w:t xml:space="preserve"> </w:t>
      </w:r>
      <w:r w:rsidRPr="003331EF">
        <w:rPr>
          <w:iCs/>
          <w:spacing w:val="-5"/>
          <w:lang w:eastAsia="en-US"/>
        </w:rPr>
        <w:t xml:space="preserve">järgi võib Finantsinspektsioon </w:t>
      </w:r>
      <w:proofErr w:type="spellStart"/>
      <w:r w:rsidRPr="003331EF">
        <w:rPr>
          <w:iCs/>
          <w:spacing w:val="-5"/>
          <w:lang w:eastAsia="en-US"/>
        </w:rPr>
        <w:t>M</w:t>
      </w:r>
      <w:r w:rsidR="00A35898">
        <w:rPr>
          <w:iCs/>
          <w:spacing w:val="-5"/>
          <w:lang w:eastAsia="en-US"/>
        </w:rPr>
        <w:t>i</w:t>
      </w:r>
      <w:r w:rsidRPr="003331EF">
        <w:rPr>
          <w:iCs/>
          <w:spacing w:val="-5"/>
          <w:lang w:eastAsia="en-US"/>
        </w:rPr>
        <w:t>CA</w:t>
      </w:r>
      <w:proofErr w:type="spellEnd"/>
      <w:r w:rsidRPr="003331EF">
        <w:rPr>
          <w:iCs/>
          <w:spacing w:val="-5"/>
          <w:lang w:eastAsia="en-US"/>
        </w:rPr>
        <w:t xml:space="preserve"> määruse 6. </w:t>
      </w:r>
      <w:r w:rsidR="000D7E55" w:rsidRPr="003331EF">
        <w:rPr>
          <w:iCs/>
          <w:spacing w:val="-5"/>
          <w:lang w:eastAsia="en-US"/>
        </w:rPr>
        <w:t>jaotises</w:t>
      </w:r>
      <w:r w:rsidRPr="003331EF">
        <w:rPr>
          <w:iCs/>
          <w:spacing w:val="-5"/>
          <w:lang w:eastAsia="en-US"/>
        </w:rPr>
        <w:t xml:space="preserve"> sätestatud nõuete rikkumise ärahoidmiseks, avastamiseks ja vähendamiseks seirata </w:t>
      </w:r>
      <w:proofErr w:type="spellStart"/>
      <w:r w:rsidRPr="003331EF">
        <w:rPr>
          <w:iCs/>
          <w:spacing w:val="-5"/>
          <w:lang w:eastAsia="en-US"/>
        </w:rPr>
        <w:t>krüptovara</w:t>
      </w:r>
      <w:proofErr w:type="spellEnd"/>
      <w:r w:rsidRPr="003331EF">
        <w:rPr>
          <w:iCs/>
          <w:spacing w:val="-5"/>
          <w:lang w:eastAsia="en-US"/>
        </w:rPr>
        <w:t xml:space="preserve"> pakkumise või teenuse osutamise raames tehtud või tehtavate tehingute tegemist, samuti muude toimingute tegemist seoses võimalike nõuete rikkumistega. „Seirama“ sisuliselt tähendab subjekti üle teostatavat spetsiifilist järelevalve liiki, pidevat vaatlust või jälgimist. Sama lõike teise lause järgi võib seiramine toimuda varjatult. </w:t>
      </w:r>
      <w:r w:rsidR="000D7E55" w:rsidRPr="003331EF">
        <w:rPr>
          <w:iCs/>
          <w:spacing w:val="-5"/>
          <w:lang w:eastAsia="en-US"/>
        </w:rPr>
        <w:t xml:space="preserve">Sealjuures on oluline märkida, et </w:t>
      </w:r>
      <w:proofErr w:type="spellStart"/>
      <w:r w:rsidR="000D7E55" w:rsidRPr="003331EF">
        <w:rPr>
          <w:iCs/>
          <w:spacing w:val="-5"/>
          <w:lang w:eastAsia="en-US"/>
        </w:rPr>
        <w:t>krüptovara</w:t>
      </w:r>
      <w:proofErr w:type="spellEnd"/>
      <w:r w:rsidR="000D7E55" w:rsidRPr="003331EF">
        <w:rPr>
          <w:iCs/>
          <w:spacing w:val="-5"/>
          <w:lang w:eastAsia="en-US"/>
        </w:rPr>
        <w:t xml:space="preserve"> pakkumise või teenuse osutamise raames tehtud või tehtavate tehingute ja toimingute seiramine on vältimatult vajalik, et Finantsinspektsioonil oleks võimalik teostada </w:t>
      </w:r>
      <w:proofErr w:type="spellStart"/>
      <w:r w:rsidR="000D7E55" w:rsidRPr="003331EF">
        <w:rPr>
          <w:iCs/>
          <w:spacing w:val="-5"/>
          <w:lang w:eastAsia="en-US"/>
        </w:rPr>
        <w:t>M</w:t>
      </w:r>
      <w:r w:rsidR="00A35898">
        <w:rPr>
          <w:iCs/>
          <w:spacing w:val="-5"/>
          <w:lang w:eastAsia="en-US"/>
        </w:rPr>
        <w:t>i</w:t>
      </w:r>
      <w:r w:rsidR="000D7E55" w:rsidRPr="003331EF">
        <w:rPr>
          <w:iCs/>
          <w:spacing w:val="-5"/>
          <w:lang w:eastAsia="en-US"/>
        </w:rPr>
        <w:t>CA</w:t>
      </w:r>
      <w:proofErr w:type="spellEnd"/>
      <w:r w:rsidR="000D7E55" w:rsidRPr="003331EF">
        <w:rPr>
          <w:iCs/>
          <w:spacing w:val="-5"/>
          <w:lang w:eastAsia="en-US"/>
        </w:rPr>
        <w:t xml:space="preserve"> määruse artikli 94 lõikest 1 tulenevaid järelevalvefunktsiooni täitvaid ülesandeid, sh keelata </w:t>
      </w:r>
      <w:proofErr w:type="spellStart"/>
      <w:r w:rsidR="000D7E55" w:rsidRPr="003331EF">
        <w:rPr>
          <w:iCs/>
          <w:spacing w:val="-5"/>
          <w:lang w:eastAsia="en-US"/>
        </w:rPr>
        <w:t>krüptovara</w:t>
      </w:r>
      <w:proofErr w:type="spellEnd"/>
      <w:r w:rsidR="000D7E55" w:rsidRPr="003331EF">
        <w:rPr>
          <w:iCs/>
          <w:spacing w:val="-5"/>
          <w:lang w:eastAsia="en-US"/>
        </w:rPr>
        <w:t xml:space="preserve"> pakkumine või </w:t>
      </w:r>
      <w:proofErr w:type="spellStart"/>
      <w:r w:rsidR="000D7E55" w:rsidRPr="003331EF">
        <w:rPr>
          <w:iCs/>
          <w:spacing w:val="-5"/>
          <w:lang w:eastAsia="en-US"/>
        </w:rPr>
        <w:t>krüptovarateenuse</w:t>
      </w:r>
      <w:proofErr w:type="spellEnd"/>
      <w:r w:rsidR="000D7E55" w:rsidRPr="003331EF">
        <w:rPr>
          <w:iCs/>
          <w:spacing w:val="-5"/>
          <w:lang w:eastAsia="en-US"/>
        </w:rPr>
        <w:t xml:space="preserve"> osutamine, kui Finantsinspektsioonil on mõjuv põhjus kahtlustada, et </w:t>
      </w:r>
      <w:proofErr w:type="spellStart"/>
      <w:r w:rsidR="000D7E55" w:rsidRPr="003331EF">
        <w:rPr>
          <w:iCs/>
          <w:spacing w:val="-5"/>
          <w:lang w:eastAsia="en-US"/>
        </w:rPr>
        <w:t>M</w:t>
      </w:r>
      <w:r w:rsidR="00A35898">
        <w:rPr>
          <w:iCs/>
          <w:spacing w:val="-5"/>
          <w:lang w:eastAsia="en-US"/>
        </w:rPr>
        <w:t>i</w:t>
      </w:r>
      <w:r w:rsidR="000D7E55" w:rsidRPr="003331EF">
        <w:rPr>
          <w:iCs/>
          <w:spacing w:val="-5"/>
          <w:lang w:eastAsia="en-US"/>
        </w:rPr>
        <w:t>CA</w:t>
      </w:r>
      <w:proofErr w:type="spellEnd"/>
      <w:r w:rsidR="000D7E55" w:rsidRPr="003331EF">
        <w:rPr>
          <w:iCs/>
          <w:spacing w:val="-5"/>
          <w:lang w:eastAsia="en-US"/>
        </w:rPr>
        <w:t xml:space="preserve"> määrust on rikutud või seda rikutakse (vt ka MICA art 94 lg 1 punktid b, c, e ja </w:t>
      </w:r>
      <w:proofErr w:type="spellStart"/>
      <w:r w:rsidR="000D7E55" w:rsidRPr="003331EF">
        <w:rPr>
          <w:iCs/>
          <w:spacing w:val="-5"/>
          <w:lang w:eastAsia="en-US"/>
        </w:rPr>
        <w:t>l</w:t>
      </w:r>
      <w:r w:rsidR="001766B9" w:rsidRPr="003331EF">
        <w:rPr>
          <w:iCs/>
          <w:spacing w:val="-5"/>
          <w:lang w:eastAsia="en-US"/>
        </w:rPr>
        <w:t>-o</w:t>
      </w:r>
      <w:proofErr w:type="spellEnd"/>
      <w:r w:rsidR="000D7E55" w:rsidRPr="003331EF">
        <w:rPr>
          <w:iCs/>
          <w:spacing w:val="-5"/>
          <w:lang w:eastAsia="en-US"/>
        </w:rPr>
        <w:t xml:space="preserve">. </w:t>
      </w:r>
    </w:p>
    <w:p w14:paraId="1461C497" w14:textId="333AF70A" w:rsidR="00BE7838" w:rsidRDefault="00FF5F03" w:rsidP="00BE7838">
      <w:pPr>
        <w:spacing w:before="0"/>
        <w:rPr>
          <w:iCs/>
          <w:spacing w:val="-5"/>
          <w:lang w:eastAsia="en-US"/>
        </w:rPr>
      </w:pPr>
      <w:r>
        <w:rPr>
          <w:iCs/>
          <w:spacing w:val="-5"/>
          <w:lang w:eastAsia="en-US"/>
        </w:rPr>
        <w:t>Sarnane lähenemine on juba täna ette nähtud väärtpaberi</w:t>
      </w:r>
      <w:r w:rsidR="0094460C">
        <w:rPr>
          <w:iCs/>
          <w:spacing w:val="-5"/>
          <w:lang w:eastAsia="en-US"/>
        </w:rPr>
        <w:t xml:space="preserve">turul ja seal läbiviidatavate </w:t>
      </w:r>
      <w:r>
        <w:rPr>
          <w:iCs/>
          <w:spacing w:val="-5"/>
          <w:lang w:eastAsia="en-US"/>
        </w:rPr>
        <w:t xml:space="preserve">tehingute puhul. Nimelt </w:t>
      </w:r>
      <w:r w:rsidR="0094460C">
        <w:rPr>
          <w:iCs/>
          <w:spacing w:val="-5"/>
          <w:lang w:eastAsia="en-US"/>
        </w:rPr>
        <w:t>on</w:t>
      </w:r>
      <w:r>
        <w:rPr>
          <w:iCs/>
          <w:spacing w:val="-5"/>
          <w:lang w:eastAsia="en-US"/>
        </w:rPr>
        <w:t xml:space="preserve"> Finantsi</w:t>
      </w:r>
      <w:r w:rsidR="00BE7838">
        <w:rPr>
          <w:iCs/>
          <w:spacing w:val="-5"/>
          <w:lang w:eastAsia="en-US"/>
        </w:rPr>
        <w:t>nspektsioon</w:t>
      </w:r>
      <w:r w:rsidR="0094460C">
        <w:rPr>
          <w:iCs/>
          <w:spacing w:val="-5"/>
          <w:lang w:eastAsia="en-US"/>
        </w:rPr>
        <w:t xml:space="preserve"> otsesõnu kohustatud</w:t>
      </w:r>
      <w:r w:rsidR="00BE7838">
        <w:rPr>
          <w:iCs/>
          <w:spacing w:val="-5"/>
          <w:lang w:eastAsia="en-US"/>
        </w:rPr>
        <w:t xml:space="preserve"> </w:t>
      </w:r>
      <w:proofErr w:type="spellStart"/>
      <w:r w:rsidR="001A4507" w:rsidRPr="003331EF">
        <w:rPr>
          <w:iCs/>
          <w:spacing w:val="-5"/>
          <w:lang w:eastAsia="en-US"/>
        </w:rPr>
        <w:t>V</w:t>
      </w:r>
      <w:r w:rsidR="002940CC" w:rsidRPr="003331EF">
        <w:rPr>
          <w:iCs/>
          <w:spacing w:val="-5"/>
          <w:lang w:eastAsia="en-US"/>
        </w:rPr>
        <w:t>p</w:t>
      </w:r>
      <w:r w:rsidR="001A4507" w:rsidRPr="003331EF">
        <w:rPr>
          <w:iCs/>
          <w:spacing w:val="-5"/>
          <w:lang w:eastAsia="en-US"/>
        </w:rPr>
        <w:t>TS</w:t>
      </w:r>
      <w:proofErr w:type="spellEnd"/>
      <w:r w:rsidR="001A4507" w:rsidRPr="003331EF">
        <w:rPr>
          <w:iCs/>
          <w:spacing w:val="-5"/>
          <w:lang w:eastAsia="en-US"/>
        </w:rPr>
        <w:t xml:space="preserve"> § 230 lõike 3</w:t>
      </w:r>
      <w:r w:rsidR="00BE7838">
        <w:rPr>
          <w:iCs/>
          <w:spacing w:val="-5"/>
          <w:lang w:eastAsia="en-US"/>
        </w:rPr>
        <w:t xml:space="preserve"> alusel eelkõige väärtpaberituru t</w:t>
      </w:r>
      <w:r w:rsidR="00BE7838" w:rsidRPr="00BE7838">
        <w:rPr>
          <w:iCs/>
          <w:spacing w:val="-5"/>
          <w:lang w:eastAsia="en-US"/>
        </w:rPr>
        <w:t>urukuritarvitus</w:t>
      </w:r>
      <w:r w:rsidR="0094460C">
        <w:rPr>
          <w:iCs/>
          <w:spacing w:val="-5"/>
          <w:lang w:eastAsia="en-US"/>
        </w:rPr>
        <w:t>t</w:t>
      </w:r>
      <w:r w:rsidR="00BE7838" w:rsidRPr="00BE7838">
        <w:rPr>
          <w:iCs/>
          <w:spacing w:val="-5"/>
          <w:lang w:eastAsia="en-US"/>
        </w:rPr>
        <w:t xml:space="preserve">e </w:t>
      </w:r>
      <w:r w:rsidR="00BE7838">
        <w:rPr>
          <w:iCs/>
          <w:spacing w:val="-5"/>
          <w:lang w:eastAsia="en-US"/>
        </w:rPr>
        <w:t>kui ka seoses</w:t>
      </w:r>
      <w:r w:rsidR="00BE7838" w:rsidRPr="00BE7838">
        <w:rPr>
          <w:iCs/>
          <w:spacing w:val="-5"/>
          <w:lang w:eastAsia="en-US"/>
        </w:rPr>
        <w:t xml:space="preserve"> oluliste osaluste omandamis</w:t>
      </w:r>
      <w:r w:rsidR="00BE7838">
        <w:rPr>
          <w:iCs/>
          <w:spacing w:val="-5"/>
          <w:lang w:eastAsia="en-US"/>
        </w:rPr>
        <w:t>t</w:t>
      </w:r>
      <w:r w:rsidR="00BE7838" w:rsidRPr="00BE7838">
        <w:rPr>
          <w:iCs/>
          <w:spacing w:val="-5"/>
          <w:lang w:eastAsia="en-US"/>
        </w:rPr>
        <w:t>e või võõrandamis</w:t>
      </w:r>
      <w:r w:rsidR="00BE7838">
        <w:rPr>
          <w:iCs/>
          <w:spacing w:val="-5"/>
          <w:lang w:eastAsia="en-US"/>
        </w:rPr>
        <w:t>t</w:t>
      </w:r>
      <w:r w:rsidR="00BE7838" w:rsidRPr="00BE7838">
        <w:rPr>
          <w:iCs/>
          <w:spacing w:val="-5"/>
          <w:lang w:eastAsia="en-US"/>
        </w:rPr>
        <w:t>e</w:t>
      </w:r>
      <w:r w:rsidR="00BE7838">
        <w:rPr>
          <w:iCs/>
          <w:spacing w:val="-5"/>
          <w:lang w:eastAsia="en-US"/>
        </w:rPr>
        <w:t xml:space="preserve">ga seesugust seiret läbi viia, sh võib ka </w:t>
      </w:r>
      <w:r w:rsidR="00BE7838" w:rsidRPr="00BE7838">
        <w:rPr>
          <w:iCs/>
          <w:spacing w:val="-5"/>
          <w:lang w:eastAsia="en-US"/>
        </w:rPr>
        <w:t xml:space="preserve"> </w:t>
      </w:r>
      <w:r w:rsidR="00BE7838">
        <w:rPr>
          <w:iCs/>
          <w:spacing w:val="-5"/>
          <w:lang w:eastAsia="en-US"/>
        </w:rPr>
        <w:t>väärtpaberitehingute puhul vastav s</w:t>
      </w:r>
      <w:r w:rsidR="00BE7838" w:rsidRPr="00BE7838">
        <w:rPr>
          <w:iCs/>
          <w:spacing w:val="-5"/>
          <w:lang w:eastAsia="en-US"/>
        </w:rPr>
        <w:t>eiramine toimuda varjatult.</w:t>
      </w:r>
      <w:r w:rsidR="0094460C">
        <w:rPr>
          <w:iCs/>
          <w:spacing w:val="-5"/>
          <w:lang w:eastAsia="en-US"/>
        </w:rPr>
        <w:t xml:space="preserve"> Seesugune „tööriist“ on äärmisel oluline, et tagada vastava turu korrapärane toimimine ja tehingute tegemine nö ausal ja läbipaistval viisil. </w:t>
      </w:r>
    </w:p>
    <w:p w14:paraId="63948354" w14:textId="77777777" w:rsidR="00BE7838" w:rsidRPr="003331EF" w:rsidRDefault="00BE7838" w:rsidP="00BE7838">
      <w:pPr>
        <w:spacing w:before="0"/>
        <w:rPr>
          <w:i/>
          <w:iCs/>
        </w:rPr>
      </w:pPr>
    </w:p>
    <w:p w14:paraId="4D2A0812" w14:textId="4EDB516A" w:rsidR="001A4507" w:rsidRPr="003331EF" w:rsidRDefault="001A4507" w:rsidP="003331EF">
      <w:pPr>
        <w:spacing w:before="0"/>
        <w:rPr>
          <w:bCs/>
        </w:rPr>
      </w:pPr>
      <w:r w:rsidRPr="003331EF">
        <w:rPr>
          <w:b/>
        </w:rPr>
        <w:t xml:space="preserve">Lõiked </w:t>
      </w:r>
      <w:r w:rsidR="00B7722F" w:rsidRPr="003331EF">
        <w:rPr>
          <w:b/>
        </w:rPr>
        <w:t>7</w:t>
      </w:r>
      <w:r w:rsidRPr="003331EF">
        <w:rPr>
          <w:b/>
        </w:rPr>
        <w:t xml:space="preserve"> ja </w:t>
      </w:r>
      <w:r w:rsidR="00B7722F" w:rsidRPr="003331EF">
        <w:rPr>
          <w:b/>
        </w:rPr>
        <w:t>8</w:t>
      </w:r>
      <w:r w:rsidRPr="003331EF">
        <w:rPr>
          <w:b/>
        </w:rPr>
        <w:t xml:space="preserve">. </w:t>
      </w:r>
      <w:proofErr w:type="spellStart"/>
      <w:r w:rsidRPr="003331EF">
        <w:rPr>
          <w:iCs/>
          <w:spacing w:val="-5"/>
          <w:lang w:eastAsia="en-US"/>
        </w:rPr>
        <w:t>M</w:t>
      </w:r>
      <w:r w:rsidR="00A35898">
        <w:rPr>
          <w:iCs/>
          <w:spacing w:val="-5"/>
          <w:lang w:eastAsia="en-US"/>
        </w:rPr>
        <w:t>i</w:t>
      </w:r>
      <w:r w:rsidRPr="003331EF">
        <w:rPr>
          <w:iCs/>
          <w:spacing w:val="-5"/>
          <w:lang w:eastAsia="en-US"/>
        </w:rPr>
        <w:t>CA</w:t>
      </w:r>
      <w:proofErr w:type="spellEnd"/>
      <w:r w:rsidRPr="003331EF">
        <w:rPr>
          <w:iCs/>
          <w:spacing w:val="-5"/>
          <w:lang w:eastAsia="en-US"/>
        </w:rPr>
        <w:t xml:space="preserve"> ja DORA määrustest tulenevalt </w:t>
      </w:r>
      <w:r w:rsidR="003D6883" w:rsidRPr="003331EF">
        <w:rPr>
          <w:iCs/>
          <w:spacing w:val="-5"/>
          <w:lang w:eastAsia="en-US"/>
        </w:rPr>
        <w:t>peab liikmesriik tagama, et</w:t>
      </w:r>
      <w:r w:rsidRPr="003331EF">
        <w:rPr>
          <w:iCs/>
          <w:spacing w:val="-5"/>
          <w:lang w:eastAsia="en-US"/>
        </w:rPr>
        <w:t xml:space="preserve"> Finantsinspektsioonil </w:t>
      </w:r>
      <w:r w:rsidR="003D6883" w:rsidRPr="003331EF">
        <w:rPr>
          <w:iCs/>
          <w:spacing w:val="-5"/>
          <w:lang w:eastAsia="en-US"/>
        </w:rPr>
        <w:t xml:space="preserve">on </w:t>
      </w:r>
      <w:r w:rsidRPr="003331EF">
        <w:rPr>
          <w:iCs/>
          <w:spacing w:val="-5"/>
          <w:lang w:eastAsia="en-US"/>
        </w:rPr>
        <w:t xml:space="preserve">kõik </w:t>
      </w:r>
      <w:r w:rsidR="003D6883" w:rsidRPr="003331EF">
        <w:rPr>
          <w:iCs/>
          <w:spacing w:val="-5"/>
          <w:lang w:eastAsia="en-US"/>
        </w:rPr>
        <w:t>määrustes sätestatud</w:t>
      </w:r>
      <w:r w:rsidRPr="003331EF">
        <w:rPr>
          <w:iCs/>
          <w:spacing w:val="-5"/>
          <w:lang w:eastAsia="en-US"/>
        </w:rPr>
        <w:t xml:space="preserve"> õigused</w:t>
      </w:r>
      <w:r w:rsidR="003D6883" w:rsidRPr="003331EF">
        <w:rPr>
          <w:iCs/>
          <w:spacing w:val="-5"/>
          <w:lang w:eastAsia="en-US"/>
        </w:rPr>
        <w:t xml:space="preserve"> (vastavalt artiklites 111 ja 50)</w:t>
      </w:r>
      <w:r w:rsidRPr="003331EF">
        <w:rPr>
          <w:iCs/>
          <w:spacing w:val="-5"/>
          <w:lang w:eastAsia="en-US"/>
        </w:rPr>
        <w:t xml:space="preserve">, </w:t>
      </w:r>
      <w:r w:rsidR="003D6883" w:rsidRPr="003331EF">
        <w:rPr>
          <w:iCs/>
          <w:spacing w:val="-5"/>
          <w:lang w:eastAsia="en-US"/>
        </w:rPr>
        <w:t xml:space="preserve">mistõttu </w:t>
      </w:r>
      <w:r w:rsidRPr="003331EF">
        <w:rPr>
          <w:iCs/>
          <w:spacing w:val="-5"/>
          <w:lang w:eastAsia="en-US"/>
        </w:rPr>
        <w:t>on selguse huvides välja toodud viited meetmetele ja karistustele ning nende alusel tehtud otsuste avalikustamisele.</w:t>
      </w:r>
      <w:r w:rsidR="00515879" w:rsidRPr="003331EF">
        <w:rPr>
          <w:iCs/>
          <w:spacing w:val="-5"/>
          <w:lang w:eastAsia="en-US"/>
        </w:rPr>
        <w:t xml:space="preserve"> Kuna FIS § 54 lõike 5 kohaselt on Finantsinspektsioonil õigus täielikult või osaliselt avalikustada väärteoasjas tehtud lahend või haldusakt või -leping, kui see on ette nähtud FIS § 2 lõikes 1 nimetatud seaduses, siis antakse lõigetega 6 ja 7 ka seaduslik alus avalikustamiseks.</w:t>
      </w:r>
      <w:r w:rsidR="00515879" w:rsidRPr="003331EF">
        <w:rPr>
          <w:bCs/>
        </w:rPr>
        <w:t xml:space="preserve">  </w:t>
      </w:r>
    </w:p>
    <w:p w14:paraId="608477D3" w14:textId="0A07FC5E" w:rsidR="001A4507" w:rsidRPr="003331EF" w:rsidRDefault="001A4507" w:rsidP="003331EF">
      <w:pPr>
        <w:spacing w:before="0"/>
        <w:rPr>
          <w:bCs/>
        </w:rPr>
      </w:pPr>
    </w:p>
    <w:p w14:paraId="54F5B8F6" w14:textId="31C2570D" w:rsidR="001A4507" w:rsidRPr="003331EF" w:rsidRDefault="001A4507" w:rsidP="003331EF">
      <w:pPr>
        <w:spacing w:before="0"/>
        <w:rPr>
          <w:iCs/>
          <w:spacing w:val="-5"/>
          <w:lang w:eastAsia="en-US"/>
        </w:rPr>
      </w:pPr>
      <w:r w:rsidRPr="003331EF">
        <w:rPr>
          <w:iCs/>
          <w:spacing w:val="-5"/>
          <w:lang w:eastAsia="en-US"/>
        </w:rPr>
        <w:t xml:space="preserve">Näiteks on Finantsinspektsioonil MICA määruse kohaselt õigus teha nõuete rikkumise korral avalik teadaanne, milles on märgitud rikkumise eest vastutav füüsiline või juriidiline isik ja rikkumise laad. Samuti on õigus teha ettekirjutus, millega nõutakse rikkumise lõpetamist või rikkumise mitte kordamisest. Finantsinspektsiooni võib kohaldada rikkuja suhtes ka rahalisi karistusi. Juhul kui rikutakse </w:t>
      </w:r>
      <w:proofErr w:type="spellStart"/>
      <w:r w:rsidRPr="003331EF">
        <w:rPr>
          <w:iCs/>
          <w:spacing w:val="-5"/>
          <w:lang w:eastAsia="en-US"/>
        </w:rPr>
        <w:t>siseteabe</w:t>
      </w:r>
      <w:proofErr w:type="spellEnd"/>
      <w:r w:rsidRPr="003331EF">
        <w:rPr>
          <w:iCs/>
          <w:spacing w:val="-5"/>
          <w:lang w:eastAsia="en-US"/>
        </w:rPr>
        <w:t xml:space="preserve"> avalikustamise nõudeid või turukuritarvituse ennetamise ja avastamise nõudeid, </w:t>
      </w:r>
      <w:r w:rsidRPr="003331EF">
        <w:rPr>
          <w:iCs/>
          <w:spacing w:val="-5"/>
          <w:lang w:eastAsia="en-US"/>
        </w:rPr>
        <w:lastRenderedPageBreak/>
        <w:t xml:space="preserve">on Finantsinspektsioonil õigus lisaks eelnimetatule nõuda rikkumisega saadud kasu või ära hoitud kahju loovutamist, tunnistada </w:t>
      </w:r>
      <w:proofErr w:type="spellStart"/>
      <w:r w:rsidRPr="003331EF">
        <w:rPr>
          <w:iCs/>
          <w:spacing w:val="-5"/>
          <w:lang w:eastAsia="en-US"/>
        </w:rPr>
        <w:t>krüptovarateenuse</w:t>
      </w:r>
      <w:proofErr w:type="spellEnd"/>
      <w:r w:rsidRPr="003331EF">
        <w:rPr>
          <w:iCs/>
          <w:spacing w:val="-5"/>
          <w:lang w:eastAsia="en-US"/>
        </w:rPr>
        <w:t xml:space="preserve"> osutaja tegevusluba kehtetuks või peatada teenuseosutaja tegevus. Samuti on õigus kehtestada </w:t>
      </w:r>
      <w:proofErr w:type="spellStart"/>
      <w:r w:rsidRPr="003331EF">
        <w:rPr>
          <w:iCs/>
          <w:spacing w:val="-5"/>
          <w:lang w:eastAsia="en-US"/>
        </w:rPr>
        <w:t>krüptovarateenuse</w:t>
      </w:r>
      <w:proofErr w:type="spellEnd"/>
      <w:r w:rsidRPr="003331EF">
        <w:rPr>
          <w:iCs/>
          <w:spacing w:val="-5"/>
          <w:lang w:eastAsia="en-US"/>
        </w:rPr>
        <w:t xml:space="preserve"> osutajale juhile või muule isikule juhtimise keeld, mis võib korduva rikkumise korral olla isegi vähemalt 10 aastat. Samuti võib kehtestada juhile oma arvel kauplemise ajutise keelu. </w:t>
      </w:r>
    </w:p>
    <w:p w14:paraId="71C59100" w14:textId="77777777" w:rsidR="001A4507" w:rsidRPr="003331EF" w:rsidRDefault="001A4507" w:rsidP="003331EF">
      <w:pPr>
        <w:spacing w:before="0"/>
        <w:rPr>
          <w:bCs/>
        </w:rPr>
      </w:pPr>
    </w:p>
    <w:p w14:paraId="16D8CBEB" w14:textId="38D1D253" w:rsidR="008316A1" w:rsidRPr="003331EF" w:rsidRDefault="00646CEE" w:rsidP="003331EF">
      <w:pPr>
        <w:spacing w:before="0"/>
        <w:rPr>
          <w:rFonts w:eastAsiaTheme="majorEastAsia"/>
          <w:b/>
        </w:rPr>
      </w:pPr>
      <w:r w:rsidRPr="003331EF">
        <w:rPr>
          <w:rFonts w:eastAsiaTheme="majorEastAsia"/>
          <w:b/>
        </w:rPr>
        <w:t>Paragrahv 2</w:t>
      </w:r>
      <w:r w:rsidR="002E26C6" w:rsidRPr="003331EF">
        <w:rPr>
          <w:rFonts w:eastAsiaTheme="majorEastAsia"/>
          <w:b/>
        </w:rPr>
        <w:t>7</w:t>
      </w:r>
      <w:r w:rsidRPr="003331EF">
        <w:rPr>
          <w:rFonts w:eastAsiaTheme="majorEastAsia"/>
          <w:b/>
        </w:rPr>
        <w:t xml:space="preserve">. </w:t>
      </w:r>
      <w:r w:rsidRPr="003331EF">
        <w:rPr>
          <w:b/>
          <w:bCs/>
        </w:rPr>
        <w:t>Finantsinspektsiooni õigused teabe saamisel</w:t>
      </w:r>
    </w:p>
    <w:p w14:paraId="05A7B90A" w14:textId="77777777" w:rsidR="00646CEE" w:rsidRPr="003331EF" w:rsidRDefault="00646CEE" w:rsidP="003331EF">
      <w:pPr>
        <w:spacing w:before="0"/>
        <w:rPr>
          <w:rFonts w:eastAsiaTheme="majorEastAsia"/>
          <w:b/>
        </w:rPr>
      </w:pPr>
    </w:p>
    <w:p w14:paraId="4358B2D2" w14:textId="647E7C16" w:rsidR="001A4507" w:rsidRPr="003331EF" w:rsidRDefault="001A4507" w:rsidP="003331EF">
      <w:pPr>
        <w:spacing w:before="0"/>
        <w:rPr>
          <w:b/>
          <w:bCs/>
        </w:rPr>
      </w:pPr>
      <w:r w:rsidRPr="003331EF">
        <w:rPr>
          <w:rFonts w:eastAsiaTheme="majorEastAsia"/>
          <w:b/>
        </w:rPr>
        <w:t>Paragrahvis</w:t>
      </w:r>
      <w:r w:rsidRPr="003331EF">
        <w:rPr>
          <w:b/>
          <w:bCs/>
        </w:rPr>
        <w:t xml:space="preserve"> 2</w:t>
      </w:r>
      <w:r w:rsidR="002E26C6" w:rsidRPr="003331EF">
        <w:rPr>
          <w:b/>
          <w:bCs/>
        </w:rPr>
        <w:t>7</w:t>
      </w:r>
      <w:r w:rsidRPr="003331EF">
        <w:rPr>
          <w:b/>
          <w:bCs/>
        </w:rPr>
        <w:t xml:space="preserve"> </w:t>
      </w:r>
      <w:r w:rsidRPr="003331EF">
        <w:rPr>
          <w:iCs/>
          <w:spacing w:val="-5"/>
          <w:lang w:eastAsia="en-US"/>
        </w:rPr>
        <w:t xml:space="preserve">reguleeritakse Finantsinspektsiooni õigusi </w:t>
      </w:r>
      <w:r w:rsidR="00646CEE" w:rsidRPr="003331EF">
        <w:rPr>
          <w:iCs/>
          <w:spacing w:val="-5"/>
          <w:lang w:eastAsia="en-US"/>
        </w:rPr>
        <w:t>teabe</w:t>
      </w:r>
      <w:r w:rsidRPr="003331EF">
        <w:rPr>
          <w:iCs/>
          <w:spacing w:val="-5"/>
          <w:lang w:eastAsia="en-US"/>
        </w:rPr>
        <w:t xml:space="preserve"> saamisel.</w:t>
      </w:r>
    </w:p>
    <w:p w14:paraId="3CD10C03" w14:textId="77777777" w:rsidR="001A4507" w:rsidRPr="003331EF" w:rsidRDefault="001A4507" w:rsidP="003331EF">
      <w:pPr>
        <w:spacing w:before="0"/>
      </w:pPr>
    </w:p>
    <w:p w14:paraId="43E657B8" w14:textId="13CE02FD" w:rsidR="003514D7" w:rsidRPr="003331EF" w:rsidRDefault="003514D7" w:rsidP="003331EF">
      <w:pPr>
        <w:spacing w:before="0"/>
        <w:rPr>
          <w:iCs/>
          <w:spacing w:val="-5"/>
          <w:lang w:eastAsia="en-US"/>
        </w:rPr>
      </w:pPr>
      <w:r w:rsidRPr="003331EF">
        <w:rPr>
          <w:iCs/>
          <w:spacing w:val="-5"/>
          <w:lang w:eastAsia="en-US"/>
        </w:rPr>
        <w:t xml:space="preserve">Finantsinspektsioonil on järelevalve teostamiseks õigus nõuda aruandeid, tasuta teavet, dokumente ning suulisi või kirjalikke selgitusi järelevalve teostamisel tähtsust omavate asjaolude kohta. Erinevates  majandussektorites omavad andmed erinevat tähtsust. Finantsteenuste spetsiifikast (eelkõige finantsteenuste immateriaalsest olemusest) tulenevalt on finantsvaldkonnas andmete esitamisel ja avalikustamisel teistsugune tähendus ja kaal (andmeid ei koguta üksnes statistilisel eesmärgil ja järelevalve põhineb subjekti kohta kogutavatel andmetel). Finantssektori järelevalve eripärast (eelkõige infotõrgete problemaatikast) tulenevalt on aruandlus ja järelevalvesubjekti tegevuse kohta muu seaduses sätestatud teabe kogumine kesksel kohal. </w:t>
      </w:r>
      <w:proofErr w:type="spellStart"/>
      <w:r w:rsidRPr="003331EF">
        <w:rPr>
          <w:iCs/>
          <w:spacing w:val="-5"/>
          <w:lang w:eastAsia="en-US"/>
        </w:rPr>
        <w:t>Järelevalvelise</w:t>
      </w:r>
      <w:proofErr w:type="spellEnd"/>
      <w:r w:rsidRPr="003331EF">
        <w:rPr>
          <w:iCs/>
          <w:spacing w:val="-5"/>
          <w:lang w:eastAsia="en-US"/>
        </w:rPr>
        <w:t xml:space="preserve"> aruandluse ja muude dokumentide, kirjalike ja suuliste selgituste jmt põhjal toimub järjepidev kontroll järelevalvesubjekti tegevuse üle, s.h. igal ajahetkel tegevusloa nõuetele vastavuse üle. On oluline, et nii turule sisenemisel kui ka hilisemal tegutsemisel oleks tagatud ettevõtjate õiguskuulekus. Eksitav või vale teave võib kaasa tuua olulise kahju turu usaldusväärsusele ja  takistada turu sujuvat ja kindlat toimimist.</w:t>
      </w:r>
      <w:r w:rsidR="002E26C6" w:rsidRPr="003331EF">
        <w:rPr>
          <w:iCs/>
          <w:spacing w:val="-5"/>
          <w:lang w:eastAsia="en-US"/>
        </w:rPr>
        <w:t xml:space="preserve"> </w:t>
      </w:r>
      <w:r w:rsidRPr="003331EF">
        <w:rPr>
          <w:iCs/>
          <w:spacing w:val="-5"/>
          <w:lang w:eastAsia="en-US"/>
        </w:rPr>
        <w:t xml:space="preserve">Vale, puuduliku või eksitava teabe põhjal läbi viidud järelevalve annab moonutatud pildi järelevalvesubjekti tegevusest, sh tema finantsilisest seisundist.  </w:t>
      </w:r>
    </w:p>
    <w:p w14:paraId="4B003A03" w14:textId="77777777" w:rsidR="002E26C6" w:rsidRPr="003331EF" w:rsidRDefault="002E26C6" w:rsidP="003331EF">
      <w:pPr>
        <w:spacing w:before="0"/>
        <w:rPr>
          <w:rFonts w:asciiTheme="majorBidi" w:hAnsiTheme="majorBidi" w:cstheme="majorBidi"/>
        </w:rPr>
      </w:pPr>
    </w:p>
    <w:p w14:paraId="0B48825B" w14:textId="7B249C01" w:rsidR="00336C52" w:rsidRPr="003331EF" w:rsidRDefault="001A4507" w:rsidP="003331EF">
      <w:pPr>
        <w:spacing w:before="0"/>
        <w:rPr>
          <w:rFonts w:asciiTheme="majorBidi" w:hAnsiTheme="majorBidi" w:cstheme="majorBidi"/>
        </w:rPr>
      </w:pPr>
      <w:r w:rsidRPr="003331EF">
        <w:rPr>
          <w:b/>
          <w:lang w:eastAsia="en-US"/>
        </w:rPr>
        <w:t>Lõikes 1</w:t>
      </w:r>
      <w:r w:rsidRPr="003331EF">
        <w:rPr>
          <w:lang w:eastAsia="en-US"/>
        </w:rPr>
        <w:t xml:space="preserve"> </w:t>
      </w:r>
      <w:r w:rsidRPr="003331EF">
        <w:rPr>
          <w:iCs/>
          <w:spacing w:val="-5"/>
          <w:lang w:eastAsia="en-US"/>
        </w:rPr>
        <w:t xml:space="preserve">loetletakse isikud, kellelt Finantsinspektsioon võib nõuda järelevalve teostamiseks teavet, dokumente ja suulisi selgitusi. Näiteks ütleb </w:t>
      </w:r>
      <w:proofErr w:type="spellStart"/>
      <w:r w:rsidRPr="003331EF">
        <w:rPr>
          <w:iCs/>
          <w:spacing w:val="-5"/>
          <w:lang w:eastAsia="en-US"/>
        </w:rPr>
        <w:t>M</w:t>
      </w:r>
      <w:r w:rsidR="00A35898">
        <w:rPr>
          <w:iCs/>
          <w:spacing w:val="-5"/>
          <w:lang w:eastAsia="en-US"/>
        </w:rPr>
        <w:t>i</w:t>
      </w:r>
      <w:r w:rsidRPr="003331EF">
        <w:rPr>
          <w:iCs/>
          <w:spacing w:val="-5"/>
          <w:lang w:eastAsia="en-US"/>
        </w:rPr>
        <w:t>CA</w:t>
      </w:r>
      <w:proofErr w:type="spellEnd"/>
      <w:r w:rsidRPr="003331EF">
        <w:rPr>
          <w:iCs/>
          <w:spacing w:val="-5"/>
          <w:lang w:eastAsia="en-US"/>
        </w:rPr>
        <w:t xml:space="preserve"> määruse artikli 94 lõike 1 punkt a, et pädeval asutusel on õigus nõuda, et kõik isikud esitaksid teabe ja dokumendid, mida pädevad asutused peavad oma ülesannete täitmiseks vajalikuks. Seega sätestatakse, et Finantsinspektsioon võib küsida teavet </w:t>
      </w:r>
      <w:proofErr w:type="spellStart"/>
      <w:r w:rsidRPr="003331EF">
        <w:rPr>
          <w:iCs/>
          <w:spacing w:val="-5"/>
          <w:lang w:eastAsia="en-US"/>
        </w:rPr>
        <w:t>krüptovaraturu</w:t>
      </w:r>
      <w:proofErr w:type="spellEnd"/>
      <w:r w:rsidRPr="003331EF">
        <w:rPr>
          <w:iCs/>
          <w:spacing w:val="-5"/>
          <w:lang w:eastAsia="en-US"/>
        </w:rPr>
        <w:t xml:space="preserve"> osalise juhilt, töötajalt, aktsionärilt või osanikult, </w:t>
      </w:r>
      <w:r w:rsidR="009045D0" w:rsidRPr="003331EF">
        <w:rPr>
          <w:iCs/>
          <w:spacing w:val="-5"/>
          <w:lang w:eastAsia="en-US"/>
        </w:rPr>
        <w:t xml:space="preserve">audiitorettevõtjalt, </w:t>
      </w:r>
      <w:r w:rsidRPr="003331EF">
        <w:rPr>
          <w:iCs/>
          <w:spacing w:val="-5"/>
          <w:lang w:eastAsia="en-US"/>
        </w:rPr>
        <w:t xml:space="preserve">likvideerijalt või pankrotihaldurilt, riigiasutuselt, kohaliku omavalitsusüksuse asutuselt, </w:t>
      </w:r>
      <w:r w:rsidR="00686294" w:rsidRPr="003331EF">
        <w:rPr>
          <w:iCs/>
          <w:spacing w:val="-5"/>
          <w:lang w:eastAsia="en-US"/>
        </w:rPr>
        <w:t xml:space="preserve">riigi </w:t>
      </w:r>
      <w:r w:rsidRPr="003331EF">
        <w:rPr>
          <w:iCs/>
          <w:spacing w:val="-5"/>
          <w:lang w:eastAsia="en-US"/>
        </w:rPr>
        <w:t>põhiregistri</w:t>
      </w:r>
      <w:r w:rsidR="00686294" w:rsidRPr="003331EF">
        <w:rPr>
          <w:iCs/>
          <w:spacing w:val="-5"/>
          <w:lang w:eastAsia="en-US"/>
        </w:rPr>
        <w:t xml:space="preserve"> ja</w:t>
      </w:r>
      <w:r w:rsidRPr="003331EF">
        <w:rPr>
          <w:iCs/>
          <w:spacing w:val="-5"/>
          <w:lang w:eastAsia="en-US"/>
        </w:rPr>
        <w:t xml:space="preserve"> riikliku</w:t>
      </w:r>
      <w:r w:rsidR="00EC6E7A" w:rsidRPr="003331EF">
        <w:rPr>
          <w:iCs/>
          <w:spacing w:val="-5"/>
          <w:lang w:eastAsia="en-US"/>
        </w:rPr>
        <w:t xml:space="preserve"> </w:t>
      </w:r>
      <w:r w:rsidRPr="003331EF">
        <w:rPr>
          <w:iCs/>
          <w:spacing w:val="-5"/>
          <w:lang w:eastAsia="en-US"/>
        </w:rPr>
        <w:t>registri</w:t>
      </w:r>
      <w:r w:rsidR="00686294" w:rsidRPr="003331EF">
        <w:rPr>
          <w:iCs/>
          <w:spacing w:val="-5"/>
          <w:lang w:eastAsia="en-US"/>
        </w:rPr>
        <w:t xml:space="preserve"> pidajalt ning</w:t>
      </w:r>
      <w:r w:rsidRPr="003331EF">
        <w:rPr>
          <w:iCs/>
          <w:spacing w:val="-5"/>
          <w:lang w:eastAsia="en-US"/>
        </w:rPr>
        <w:t xml:space="preserve"> riigi andmekogu vastutavalt ja volitatult töötajatelt. Põhjendatud vajaduse korral võib Finantsinspektsioon küsida teavet ka muult kolmandalt isikult</w:t>
      </w:r>
      <w:r w:rsidR="00336C52" w:rsidRPr="003331EF">
        <w:rPr>
          <w:iCs/>
          <w:spacing w:val="-5"/>
          <w:lang w:eastAsia="en-US"/>
        </w:rPr>
        <w:t>,</w:t>
      </w:r>
      <w:r w:rsidR="00336C52" w:rsidRPr="003331EF">
        <w:rPr>
          <w:rFonts w:asciiTheme="majorBidi" w:hAnsiTheme="majorBidi" w:cstheme="majorBidi"/>
        </w:rPr>
        <w:t xml:space="preserve"> </w:t>
      </w:r>
      <w:r w:rsidR="00336C52" w:rsidRPr="003331EF">
        <w:rPr>
          <w:iCs/>
          <w:spacing w:val="-5"/>
          <w:lang w:eastAsia="en-US"/>
        </w:rPr>
        <w:t>mh  läbi viia uurimist istungina, kuhu on kutsutud kolmas isik. Selline teabe kogumine võib osutuda küll isikute põhiõigust andmete kaitsele riivavaks, kuid finantsjärelevalve lähtub avaliku huvi ja turu stabiilsuse tagamise eesmärgist, mistõttu võib vastav teabe kogumine osutuda vajalikuks. Seda näiteks olukorras, kus muid kanaleid arvestades ei ole võimalik piisavalt andmeid koguda, kuid samas kliendid ja avalikkus eeldab finantsjärelevalve poolset tegutsemist. Kui see ei kahjusta järelevalve teostamist, võib Finantsinspektsioon selgitada eelpool nimetatud isikutele teabe nõudmise eesmärke.</w:t>
      </w:r>
      <w:r w:rsidR="00336C52" w:rsidRPr="003331EF">
        <w:rPr>
          <w:rFonts w:asciiTheme="majorBidi" w:hAnsiTheme="majorBidi" w:cstheme="majorBidi"/>
        </w:rPr>
        <w:t xml:space="preserve"> </w:t>
      </w:r>
    </w:p>
    <w:p w14:paraId="73FD909A" w14:textId="77777777" w:rsidR="001A4507" w:rsidRPr="003331EF" w:rsidRDefault="001A4507" w:rsidP="003331EF">
      <w:pPr>
        <w:tabs>
          <w:tab w:val="left" w:pos="-180"/>
        </w:tabs>
        <w:spacing w:before="0"/>
        <w:rPr>
          <w:lang w:eastAsia="en-US"/>
        </w:rPr>
      </w:pPr>
    </w:p>
    <w:p w14:paraId="171F7A2F" w14:textId="4B34FBC6" w:rsidR="00E07DCA" w:rsidRPr="003331EF" w:rsidRDefault="009045D0" w:rsidP="003331EF">
      <w:pPr>
        <w:spacing w:before="0"/>
      </w:pPr>
      <w:r w:rsidRPr="003331EF">
        <w:rPr>
          <w:b/>
          <w:lang w:eastAsia="en-US"/>
        </w:rPr>
        <w:t xml:space="preserve">Lõige </w:t>
      </w:r>
      <w:r w:rsidR="001A4507" w:rsidRPr="003331EF">
        <w:rPr>
          <w:b/>
          <w:lang w:eastAsia="en-US"/>
        </w:rPr>
        <w:t>2</w:t>
      </w:r>
      <w:r w:rsidR="00EC6E7A" w:rsidRPr="003331EF">
        <w:rPr>
          <w:b/>
          <w:lang w:eastAsia="en-US"/>
        </w:rPr>
        <w:t>.</w:t>
      </w:r>
      <w:r w:rsidR="001A4507" w:rsidRPr="003331EF">
        <w:rPr>
          <w:lang w:eastAsia="en-US"/>
        </w:rPr>
        <w:t xml:space="preserve"> </w:t>
      </w:r>
      <w:r w:rsidR="000B4130" w:rsidRPr="003331EF">
        <w:t xml:space="preserve">Finantsinspektsioonil on õigus saada </w:t>
      </w:r>
      <w:r w:rsidR="003514D7" w:rsidRPr="003331EF">
        <w:t xml:space="preserve">põhjendatud juhul otse ja viivitamata </w:t>
      </w:r>
      <w:proofErr w:type="spellStart"/>
      <w:r w:rsidR="003514D7" w:rsidRPr="003331EF">
        <w:t>krüptovarateenuse</w:t>
      </w:r>
      <w:proofErr w:type="spellEnd"/>
      <w:r w:rsidR="003514D7" w:rsidRPr="003331EF">
        <w:t xml:space="preserve"> osutajalt, krediidiasutuselt, e-raha asutuselt või makseasutuselt teavet kliendi või </w:t>
      </w:r>
      <w:proofErr w:type="spellStart"/>
      <w:r w:rsidR="003514D7" w:rsidRPr="003331EF">
        <w:t>siseteavet</w:t>
      </w:r>
      <w:proofErr w:type="spellEnd"/>
      <w:r w:rsidR="003514D7" w:rsidRPr="003331EF">
        <w:t xml:space="preserve"> valdava isiku konto või </w:t>
      </w:r>
      <w:proofErr w:type="spellStart"/>
      <w:r w:rsidR="003514D7" w:rsidRPr="003331EF">
        <w:t>krüptovara</w:t>
      </w:r>
      <w:proofErr w:type="spellEnd"/>
      <w:r w:rsidR="003514D7" w:rsidRPr="003331EF">
        <w:t xml:space="preserve"> rahakoti ning nimetatud konto ja </w:t>
      </w:r>
      <w:proofErr w:type="spellStart"/>
      <w:r w:rsidR="003514D7" w:rsidRPr="003331EF">
        <w:t>krüptovara</w:t>
      </w:r>
      <w:proofErr w:type="spellEnd"/>
      <w:r w:rsidR="003514D7" w:rsidRPr="003331EF">
        <w:t xml:space="preserve"> rahakotiga seotud käibe ja saldo kohta</w:t>
      </w:r>
      <w:r w:rsidR="000B4130" w:rsidRPr="003331EF">
        <w:t xml:space="preserve">. Lisaks on õigus saada </w:t>
      </w:r>
      <w:r w:rsidR="003514D7" w:rsidRPr="003331EF">
        <w:t xml:space="preserve">põhjendatud juhul krediidiasutuselt pangasaladust sisaldavaid andmeid </w:t>
      </w:r>
      <w:proofErr w:type="spellStart"/>
      <w:r w:rsidR="003514D7" w:rsidRPr="003331EF">
        <w:t>krüptovarateenuse</w:t>
      </w:r>
      <w:proofErr w:type="spellEnd"/>
      <w:r w:rsidR="003514D7" w:rsidRPr="003331EF">
        <w:t xml:space="preserve"> osutaja ja tema klientide kohta, samuti kolmanda isiku kohta, kellele on edasi antud </w:t>
      </w:r>
      <w:proofErr w:type="spellStart"/>
      <w:r w:rsidR="003514D7" w:rsidRPr="003331EF">
        <w:t>krüptovarateenuse</w:t>
      </w:r>
      <w:proofErr w:type="spellEnd"/>
      <w:r w:rsidR="003514D7" w:rsidRPr="003331EF">
        <w:t xml:space="preserve"> osutaja ülesanded.</w:t>
      </w:r>
      <w:r w:rsidR="00E07DCA" w:rsidRPr="003331EF">
        <w:t xml:space="preserve"> Pangasaladust sisaldavate andmete küsimine on ühest küljest paratamatult riivav, kuid teisalt ka vältimatult vajalik järelevalvetegevuse osa. Nimetatud andmete korje on üks olulisemaid Finantsinspektsiooni järelevalve teostamise aspekte. Finantsinspektsioon peaks põhjendama pangasaladust sisaldavate andmete küsimise vajalikkust andmete kogujale. </w:t>
      </w:r>
      <w:r w:rsidR="00E07DCA" w:rsidRPr="003331EF">
        <w:lastRenderedPageBreak/>
        <w:t>Seetõttu on lisatud sättesse kriteeriumina, et Finantsinspektsioonil on pangasaladust sisaldavaid andmeid õigus saada põhjendatud juhul.</w:t>
      </w:r>
    </w:p>
    <w:p w14:paraId="5BBED84C" w14:textId="77777777" w:rsidR="003514D7" w:rsidRPr="003331EF" w:rsidRDefault="003514D7" w:rsidP="003331EF">
      <w:pPr>
        <w:spacing w:before="0"/>
        <w:rPr>
          <w:iCs/>
          <w:spacing w:val="-5"/>
          <w:lang w:eastAsia="en-US"/>
        </w:rPr>
      </w:pPr>
    </w:p>
    <w:p w14:paraId="575E3ECF" w14:textId="44B6B6B2" w:rsidR="001A4507" w:rsidRPr="003331EF" w:rsidRDefault="001A4507" w:rsidP="003331EF">
      <w:pPr>
        <w:spacing w:before="0"/>
      </w:pPr>
      <w:r w:rsidRPr="003331EF">
        <w:t xml:space="preserve">Finantsinspektsioonil on õigus saada teavet järelevalve subjekti või tema tegevuse kohta nii, et subjekti sellest ei teavitata. Samas on sätestatud keeld </w:t>
      </w:r>
      <w:proofErr w:type="spellStart"/>
      <w:r w:rsidRPr="003331EF">
        <w:t>krüptovaraturu</w:t>
      </w:r>
      <w:proofErr w:type="spellEnd"/>
      <w:r w:rsidRPr="003331EF">
        <w:t xml:space="preserve"> osalise teavitamisele teabe edastamisest (</w:t>
      </w:r>
      <w:r w:rsidRPr="003331EF">
        <w:rPr>
          <w:b/>
        </w:rPr>
        <w:t xml:space="preserve">lõige </w:t>
      </w:r>
      <w:r w:rsidR="009045D0" w:rsidRPr="003331EF">
        <w:rPr>
          <w:b/>
        </w:rPr>
        <w:t>3</w:t>
      </w:r>
      <w:r w:rsidRPr="003331EF">
        <w:t>).</w:t>
      </w:r>
    </w:p>
    <w:p w14:paraId="3FBCB1E2" w14:textId="77777777" w:rsidR="004A6104" w:rsidRPr="003331EF" w:rsidRDefault="004A6104" w:rsidP="003331EF">
      <w:pPr>
        <w:spacing w:before="0"/>
        <w:rPr>
          <w:b/>
          <w:lang w:eastAsia="en-US"/>
        </w:rPr>
      </w:pPr>
    </w:p>
    <w:p w14:paraId="6F0D5D93" w14:textId="5BC4BB9A" w:rsidR="001A4507" w:rsidRPr="003331EF" w:rsidRDefault="001A4507" w:rsidP="003331EF">
      <w:pPr>
        <w:spacing w:before="0"/>
      </w:pPr>
      <w:r w:rsidRPr="003331EF">
        <w:rPr>
          <w:b/>
        </w:rPr>
        <w:t xml:space="preserve">Lõikega </w:t>
      </w:r>
      <w:r w:rsidR="009045D0" w:rsidRPr="003331EF">
        <w:rPr>
          <w:b/>
        </w:rPr>
        <w:t>4</w:t>
      </w:r>
      <w:r w:rsidRPr="003331EF">
        <w:t xml:space="preserve"> </w:t>
      </w:r>
      <w:r w:rsidRPr="003331EF">
        <w:rPr>
          <w:iCs/>
          <w:spacing w:val="-5"/>
          <w:lang w:eastAsia="en-US"/>
        </w:rPr>
        <w:t>sätestatakse, et kui see ei kahjusta järelevalve teostamist, selgitab Finantsinspektsioon lõikes 1 nimetatud isikutele teabe nõudmise eesmärke.</w:t>
      </w:r>
      <w:r w:rsidR="00F06E82" w:rsidRPr="003331EF">
        <w:rPr>
          <w:iCs/>
          <w:spacing w:val="-5"/>
          <w:lang w:eastAsia="en-US"/>
        </w:rPr>
        <w:t xml:space="preserve"> Näiteks võib teabe nõudmise eesmärgi selgitamine takistada järelevalve teostamist, kui teabe subjektil võib tekkida soov midagi varjata.</w:t>
      </w:r>
    </w:p>
    <w:p w14:paraId="6ECBBCAC" w14:textId="77777777" w:rsidR="001A4507" w:rsidRPr="003331EF" w:rsidRDefault="001A4507" w:rsidP="003331EF">
      <w:pPr>
        <w:spacing w:before="0"/>
      </w:pPr>
    </w:p>
    <w:p w14:paraId="779DFC23" w14:textId="7644E9D1" w:rsidR="00646CEE" w:rsidRPr="003331EF" w:rsidRDefault="00646CEE" w:rsidP="003331EF">
      <w:pPr>
        <w:spacing w:before="0"/>
        <w:rPr>
          <w:b/>
          <w:bCs/>
        </w:rPr>
      </w:pPr>
      <w:r w:rsidRPr="003331EF">
        <w:rPr>
          <w:b/>
          <w:bCs/>
        </w:rPr>
        <w:t>Paragrahv 2</w:t>
      </w:r>
      <w:r w:rsidR="00394CD9" w:rsidRPr="003331EF">
        <w:rPr>
          <w:b/>
          <w:bCs/>
        </w:rPr>
        <w:t>8</w:t>
      </w:r>
      <w:r w:rsidRPr="003331EF">
        <w:rPr>
          <w:b/>
          <w:bCs/>
        </w:rPr>
        <w:t xml:space="preserve">. Järelevalve kolmandas riigis </w:t>
      </w:r>
      <w:proofErr w:type="spellStart"/>
      <w:r w:rsidRPr="003331EF">
        <w:rPr>
          <w:b/>
          <w:bCs/>
        </w:rPr>
        <w:t>krüptovarateenuse</w:t>
      </w:r>
      <w:proofErr w:type="spellEnd"/>
      <w:r w:rsidRPr="003331EF">
        <w:rPr>
          <w:b/>
          <w:bCs/>
        </w:rPr>
        <w:t xml:space="preserve"> osutamise ja </w:t>
      </w:r>
      <w:proofErr w:type="spellStart"/>
      <w:r w:rsidRPr="003331EF">
        <w:rPr>
          <w:b/>
          <w:bCs/>
        </w:rPr>
        <w:t>krüptovara</w:t>
      </w:r>
      <w:proofErr w:type="spellEnd"/>
      <w:r w:rsidRPr="003331EF">
        <w:rPr>
          <w:b/>
          <w:bCs/>
        </w:rPr>
        <w:t xml:space="preserve"> pakkumise või kauplemisele võtmise taotlemise üle</w:t>
      </w:r>
    </w:p>
    <w:p w14:paraId="2598F09E" w14:textId="77777777" w:rsidR="00646CEE" w:rsidRPr="003331EF" w:rsidRDefault="00646CEE" w:rsidP="003331EF">
      <w:pPr>
        <w:spacing w:before="0"/>
        <w:ind w:right="-64"/>
        <w:rPr>
          <w:b/>
        </w:rPr>
      </w:pPr>
    </w:p>
    <w:p w14:paraId="6FE05A73" w14:textId="4CCAF016" w:rsidR="001A4507" w:rsidRPr="003331EF" w:rsidRDefault="001A4507" w:rsidP="003331EF">
      <w:pPr>
        <w:spacing w:before="0"/>
        <w:ind w:right="-64"/>
        <w:rPr>
          <w:iCs/>
          <w:spacing w:val="-5"/>
          <w:lang w:eastAsia="en-US"/>
        </w:rPr>
      </w:pPr>
      <w:r w:rsidRPr="003331EF">
        <w:rPr>
          <w:b/>
        </w:rPr>
        <w:t xml:space="preserve">Paragrahvis </w:t>
      </w:r>
      <w:r w:rsidR="00646CEE" w:rsidRPr="003331EF">
        <w:rPr>
          <w:b/>
        </w:rPr>
        <w:t>2</w:t>
      </w:r>
      <w:r w:rsidR="00394CD9" w:rsidRPr="003331EF">
        <w:rPr>
          <w:b/>
        </w:rPr>
        <w:t>8</w:t>
      </w:r>
      <w:r w:rsidR="00646CEE" w:rsidRPr="003331EF">
        <w:rPr>
          <w:b/>
        </w:rPr>
        <w:t xml:space="preserve"> </w:t>
      </w:r>
      <w:r w:rsidRPr="003331EF">
        <w:rPr>
          <w:iCs/>
          <w:spacing w:val="-5"/>
          <w:lang w:eastAsia="en-US"/>
        </w:rPr>
        <w:t xml:space="preserve">sätestatakse regulatsioon järelevalve teostamiseks kolmandas riigis filiaali asutanud ja piiriüleselt teenuseid osutava või </w:t>
      </w:r>
      <w:proofErr w:type="spellStart"/>
      <w:r w:rsidRPr="003331EF">
        <w:rPr>
          <w:iCs/>
          <w:spacing w:val="-5"/>
          <w:lang w:eastAsia="en-US"/>
        </w:rPr>
        <w:t>krüptovara</w:t>
      </w:r>
      <w:proofErr w:type="spellEnd"/>
      <w:r w:rsidRPr="003331EF">
        <w:rPr>
          <w:iCs/>
          <w:spacing w:val="-5"/>
          <w:lang w:eastAsia="en-US"/>
        </w:rPr>
        <w:t xml:space="preserve"> pakkuva või </w:t>
      </w:r>
      <w:proofErr w:type="spellStart"/>
      <w:r w:rsidRPr="003331EF">
        <w:rPr>
          <w:iCs/>
          <w:spacing w:val="-5"/>
          <w:lang w:eastAsia="en-US"/>
        </w:rPr>
        <w:t>krüptovara</w:t>
      </w:r>
      <w:proofErr w:type="spellEnd"/>
      <w:r w:rsidRPr="003331EF">
        <w:rPr>
          <w:iCs/>
          <w:spacing w:val="-5"/>
          <w:lang w:eastAsia="en-US"/>
        </w:rPr>
        <w:t xml:space="preserve"> kauplemisele võtmist taotleva </w:t>
      </w:r>
      <w:proofErr w:type="spellStart"/>
      <w:r w:rsidRPr="003331EF">
        <w:rPr>
          <w:iCs/>
          <w:spacing w:val="-5"/>
          <w:lang w:eastAsia="en-US"/>
        </w:rPr>
        <w:t>krüptovaraturu</w:t>
      </w:r>
      <w:proofErr w:type="spellEnd"/>
      <w:r w:rsidRPr="003331EF">
        <w:rPr>
          <w:iCs/>
          <w:spacing w:val="-5"/>
          <w:lang w:eastAsia="en-US"/>
        </w:rPr>
        <w:t xml:space="preserve"> osalise üle.</w:t>
      </w:r>
    </w:p>
    <w:p w14:paraId="0CFAEC2F" w14:textId="77777777" w:rsidR="001A4507" w:rsidRPr="003331EF" w:rsidRDefault="001A4507" w:rsidP="003331EF">
      <w:pPr>
        <w:spacing w:before="0"/>
        <w:ind w:right="-64"/>
        <w:rPr>
          <w:i/>
          <w:iCs/>
        </w:rPr>
      </w:pPr>
    </w:p>
    <w:p w14:paraId="210F9C2F" w14:textId="77777777" w:rsidR="004A6104" w:rsidRPr="003331EF" w:rsidRDefault="001A4507" w:rsidP="003331EF">
      <w:pPr>
        <w:spacing w:before="0"/>
        <w:ind w:right="-64"/>
      </w:pPr>
      <w:r w:rsidRPr="003331EF">
        <w:rPr>
          <w:b/>
        </w:rPr>
        <w:t xml:space="preserve">Lõike 1 </w:t>
      </w:r>
      <w:r w:rsidRPr="003331EF">
        <w:rPr>
          <w:iCs/>
          <w:spacing w:val="-5"/>
          <w:lang w:eastAsia="en-US"/>
        </w:rPr>
        <w:t>kohaselt on Finantsinspektsioonil kohustus rakendada kolmandas riigis filiaali asutanud või kolmandas riigis piiriüleselt tegutseva turuosalise suhtes viivitamata meetmeid rikkumise lõpetamiseks, kui rikkumine seisneb  kolmanda riigi kehtestatud õigusaktis seisneva nõude rikkumises, sealhulgas ka juhul, kui vastava ettepaneku on teinud kolmanda riigi järelevalveasutus.</w:t>
      </w:r>
      <w:r w:rsidRPr="003331EF">
        <w:t xml:space="preserve"> </w:t>
      </w:r>
    </w:p>
    <w:p w14:paraId="7F014DE0" w14:textId="77777777" w:rsidR="004A6104" w:rsidRPr="003331EF" w:rsidRDefault="004A6104" w:rsidP="003331EF">
      <w:pPr>
        <w:spacing w:before="0"/>
        <w:ind w:right="-64"/>
      </w:pPr>
    </w:p>
    <w:p w14:paraId="11438B0A" w14:textId="5EFBDAAF" w:rsidR="001A4507" w:rsidRPr="003331EF" w:rsidRDefault="001A4507" w:rsidP="003331EF">
      <w:pPr>
        <w:spacing w:before="0"/>
        <w:ind w:right="-64"/>
        <w:rPr>
          <w:iCs/>
          <w:spacing w:val="-5"/>
          <w:lang w:eastAsia="en-US"/>
        </w:rPr>
      </w:pPr>
      <w:r w:rsidRPr="003331EF">
        <w:rPr>
          <w:b/>
        </w:rPr>
        <w:t xml:space="preserve">Lõike 2 </w:t>
      </w:r>
      <w:r w:rsidRPr="003331EF">
        <w:rPr>
          <w:iCs/>
          <w:spacing w:val="-5"/>
          <w:lang w:eastAsia="en-US"/>
        </w:rPr>
        <w:t xml:space="preserve">alusel teeb Finantsinspektsioon võimaluse korral rakendatud meetmed teatavaks selle riigi järelevalveasutusele. </w:t>
      </w:r>
    </w:p>
    <w:p w14:paraId="6739A871" w14:textId="77777777" w:rsidR="001A4507" w:rsidRPr="003331EF" w:rsidRDefault="001A4507" w:rsidP="003331EF">
      <w:pPr>
        <w:spacing w:before="0"/>
        <w:ind w:right="-64"/>
        <w:rPr>
          <w:i/>
          <w:iCs/>
        </w:rPr>
      </w:pPr>
    </w:p>
    <w:p w14:paraId="29FFDE87" w14:textId="77777777" w:rsidR="001A4507" w:rsidRPr="003331EF" w:rsidRDefault="001A4507" w:rsidP="003331EF">
      <w:pPr>
        <w:spacing w:before="0"/>
        <w:ind w:right="-64"/>
      </w:pPr>
      <w:r w:rsidRPr="003331EF">
        <w:rPr>
          <w:b/>
        </w:rPr>
        <w:t xml:space="preserve">Lõike 3 </w:t>
      </w:r>
      <w:r w:rsidRPr="003331EF">
        <w:rPr>
          <w:iCs/>
          <w:spacing w:val="-5"/>
          <w:lang w:eastAsia="en-US"/>
        </w:rPr>
        <w:t xml:space="preserve">järgi peab filiaal või piiriüleselt tegutsev </w:t>
      </w:r>
      <w:proofErr w:type="spellStart"/>
      <w:r w:rsidRPr="003331EF">
        <w:rPr>
          <w:iCs/>
          <w:spacing w:val="-5"/>
          <w:lang w:eastAsia="en-US"/>
        </w:rPr>
        <w:t>krüptovaraturu</w:t>
      </w:r>
      <w:proofErr w:type="spellEnd"/>
      <w:r w:rsidRPr="003331EF">
        <w:rPr>
          <w:iCs/>
          <w:spacing w:val="-5"/>
          <w:lang w:eastAsia="en-US"/>
        </w:rPr>
        <w:t xml:space="preserve"> osaline esitama kolmanda riigi järelevalveasutuse nõudmisel teavet, mis on vajalik järelevalve teostamiseks filiaali või selle </w:t>
      </w:r>
      <w:proofErr w:type="spellStart"/>
      <w:r w:rsidRPr="003331EF">
        <w:rPr>
          <w:iCs/>
          <w:spacing w:val="-5"/>
          <w:lang w:eastAsia="en-US"/>
        </w:rPr>
        <w:t>krüptovaraturu</w:t>
      </w:r>
      <w:proofErr w:type="spellEnd"/>
      <w:r w:rsidRPr="003331EF">
        <w:rPr>
          <w:iCs/>
          <w:spacing w:val="-5"/>
          <w:lang w:eastAsia="en-US"/>
        </w:rPr>
        <w:t xml:space="preserve"> osalise tegevuse üle selles riigis. Säte on vajalik selle jaoks, et kolmanda riigi järelevalveasutus saaks efektiivselt toimetada järelevalvet tema riigis tegutseva isiku üle.</w:t>
      </w:r>
    </w:p>
    <w:p w14:paraId="5808B4F6" w14:textId="77777777" w:rsidR="001A4507" w:rsidRPr="003331EF" w:rsidRDefault="001A4507" w:rsidP="003331EF">
      <w:pPr>
        <w:spacing w:before="0"/>
        <w:ind w:right="-64"/>
        <w:rPr>
          <w:b/>
          <w:i/>
          <w:iCs/>
        </w:rPr>
      </w:pPr>
    </w:p>
    <w:p w14:paraId="6A2664F7" w14:textId="20694AE5" w:rsidR="00646CEE" w:rsidRPr="003331EF" w:rsidRDefault="00646CEE" w:rsidP="003331EF">
      <w:pPr>
        <w:spacing w:before="0"/>
        <w:rPr>
          <w:rFonts w:eastAsiaTheme="majorEastAsia"/>
          <w:b/>
        </w:rPr>
      </w:pPr>
      <w:r w:rsidRPr="003331EF">
        <w:rPr>
          <w:rFonts w:eastAsiaTheme="majorEastAsia"/>
          <w:b/>
        </w:rPr>
        <w:t>Paragrahv 2</w:t>
      </w:r>
      <w:r w:rsidR="00394CD9" w:rsidRPr="003331EF">
        <w:rPr>
          <w:rFonts w:eastAsiaTheme="majorEastAsia"/>
          <w:b/>
        </w:rPr>
        <w:t>9</w:t>
      </w:r>
      <w:r w:rsidRPr="003331EF">
        <w:rPr>
          <w:rFonts w:eastAsiaTheme="majorEastAsia"/>
          <w:b/>
        </w:rPr>
        <w:t xml:space="preserve">. </w:t>
      </w:r>
      <w:r w:rsidRPr="003331EF">
        <w:rPr>
          <w:b/>
          <w:bCs/>
        </w:rPr>
        <w:t>Menetlusosalise õigused ja kohustused järelevalvemenetluses</w:t>
      </w:r>
    </w:p>
    <w:p w14:paraId="6C031251" w14:textId="77777777" w:rsidR="00646CEE" w:rsidRPr="003331EF" w:rsidRDefault="00646CEE" w:rsidP="003331EF">
      <w:pPr>
        <w:spacing w:before="0"/>
        <w:rPr>
          <w:rFonts w:eastAsiaTheme="majorEastAsia"/>
          <w:b/>
        </w:rPr>
      </w:pPr>
    </w:p>
    <w:p w14:paraId="61132BFD" w14:textId="026AF0F0" w:rsidR="001A4507" w:rsidRPr="003331EF" w:rsidRDefault="001A4507" w:rsidP="003331EF">
      <w:pPr>
        <w:spacing w:before="0"/>
      </w:pPr>
      <w:r w:rsidRPr="003331EF">
        <w:rPr>
          <w:rFonts w:eastAsiaTheme="majorEastAsia"/>
          <w:b/>
        </w:rPr>
        <w:t>Paragrahvis</w:t>
      </w:r>
      <w:r w:rsidRPr="003331EF">
        <w:rPr>
          <w:b/>
          <w:bCs/>
        </w:rPr>
        <w:t xml:space="preserve"> 2</w:t>
      </w:r>
      <w:r w:rsidR="00394CD9" w:rsidRPr="003331EF">
        <w:rPr>
          <w:b/>
          <w:bCs/>
        </w:rPr>
        <w:t>9</w:t>
      </w:r>
      <w:r w:rsidRPr="003331EF">
        <w:t xml:space="preserve"> </w:t>
      </w:r>
      <w:r w:rsidRPr="003331EF">
        <w:rPr>
          <w:iCs/>
          <w:spacing w:val="-5"/>
          <w:lang w:eastAsia="en-US"/>
        </w:rPr>
        <w:t xml:space="preserve">reguleeritakse menetlusosaliste õigusi ja kohustusi </w:t>
      </w:r>
      <w:proofErr w:type="spellStart"/>
      <w:r w:rsidRPr="003331EF">
        <w:rPr>
          <w:iCs/>
          <w:spacing w:val="-5"/>
          <w:lang w:eastAsia="en-US"/>
        </w:rPr>
        <w:t>krüptovaraturu</w:t>
      </w:r>
      <w:proofErr w:type="spellEnd"/>
      <w:r w:rsidRPr="003331EF">
        <w:rPr>
          <w:iCs/>
          <w:spacing w:val="-5"/>
          <w:lang w:eastAsia="en-US"/>
        </w:rPr>
        <w:t xml:space="preserve"> osalise järelevalvemenetluses. Haldusmenetluse seaduse § 11 lõike 1 kohaselt on menetlusosalisteks haldusakti andmist või toimingu sooritamist taotlev või halduslepingu sõlmimiseks ettepaneku teinud isikuteks (taotleja)  isik, kellele haldusakt või toiming on suunatud või kellele haldusorgan on teinud ettepaneku halduslepingu sõlmimiseks (adressaat), isikud, kelle õigusi või kohustusi haldusakt või toiming puudutab või kellele see on suunatud, ning haldusorgan.</w:t>
      </w:r>
    </w:p>
    <w:p w14:paraId="378B74F5" w14:textId="77777777" w:rsidR="001A4507" w:rsidRPr="003331EF" w:rsidRDefault="001A4507" w:rsidP="003331EF">
      <w:pPr>
        <w:spacing w:before="0"/>
        <w:ind w:right="-64"/>
        <w:rPr>
          <w:i/>
          <w:iCs/>
        </w:rPr>
      </w:pPr>
    </w:p>
    <w:p w14:paraId="7C12B1FE" w14:textId="16EA9551" w:rsidR="001A4507" w:rsidRPr="003331EF" w:rsidRDefault="001A4507" w:rsidP="003331EF">
      <w:pPr>
        <w:spacing w:before="0"/>
        <w:ind w:right="-64"/>
        <w:rPr>
          <w:i/>
          <w:iCs/>
        </w:rPr>
      </w:pPr>
      <w:r w:rsidRPr="003331EF">
        <w:rPr>
          <w:b/>
        </w:rPr>
        <w:t>Lõiked 1–3</w:t>
      </w:r>
      <w:r w:rsidRPr="003331EF">
        <w:t xml:space="preserve">. </w:t>
      </w:r>
      <w:r w:rsidRPr="003331EF">
        <w:rPr>
          <w:iCs/>
          <w:spacing w:val="-5"/>
          <w:lang w:eastAsia="en-US"/>
        </w:rPr>
        <w:t xml:space="preserve">Finantsinspektsiooni ülesandeks on vajadusel </w:t>
      </w:r>
      <w:r w:rsidR="00666F04" w:rsidRPr="003331EF">
        <w:rPr>
          <w:iCs/>
          <w:spacing w:val="-5"/>
          <w:lang w:eastAsia="en-US"/>
        </w:rPr>
        <w:t xml:space="preserve">(menetlusosalise soovi korral) </w:t>
      </w:r>
      <w:r w:rsidRPr="003331EF">
        <w:rPr>
          <w:iCs/>
          <w:spacing w:val="-5"/>
          <w:lang w:eastAsia="en-US"/>
        </w:rPr>
        <w:t xml:space="preserve">selgitada menetlusosalisele tema õigusi ja kohustusi järelevalvemenetluses. </w:t>
      </w:r>
      <w:bookmarkStart w:id="71" w:name="_Hlk149046835"/>
      <w:r w:rsidRPr="003331EF">
        <w:rPr>
          <w:iCs/>
          <w:spacing w:val="-5"/>
          <w:lang w:eastAsia="en-US"/>
        </w:rPr>
        <w:t xml:space="preserve">Menetlusosalisel on õigus tutvuda andmetega, mis Finantsinspektsioon on tema kohta kogunud, ning teha nendest koopiaid ja väljavõtteid, kuid Finantsinspektsioonil on õigus ka andmete esitamisest keelduda. Keelduda on õigus juhul, kui see kahjustab või võib kahjustada kolmanda isiku õigustatud huve või andmetega tutvumine takistab järelevalve eesmärkide saavutamist või ohustab tõe väljaselgitamist kriminaalmenetluses. </w:t>
      </w:r>
      <w:bookmarkEnd w:id="71"/>
      <w:r w:rsidRPr="003331EF">
        <w:rPr>
          <w:iCs/>
          <w:spacing w:val="-5"/>
          <w:lang w:eastAsia="en-US"/>
        </w:rPr>
        <w:t>Lisaks on menetlusosalisel õigus esitada tunnistajale küsimusi kirjalikult Finantsinspektsiooni kaudu. Finantsinspektsioonil on õigus põhjendatult keelduda küsimuste tunnistajale edastamisest</w:t>
      </w:r>
      <w:r w:rsidR="00394CD9" w:rsidRPr="003331EF">
        <w:rPr>
          <w:iCs/>
          <w:spacing w:val="-5"/>
          <w:lang w:eastAsia="en-US"/>
        </w:rPr>
        <w:t xml:space="preserve"> küsimuste </w:t>
      </w:r>
      <w:proofErr w:type="spellStart"/>
      <w:r w:rsidR="00394CD9" w:rsidRPr="003331EF">
        <w:rPr>
          <w:iCs/>
          <w:spacing w:val="-5"/>
          <w:lang w:eastAsia="en-US"/>
        </w:rPr>
        <w:t>asjassepuutumatuse</w:t>
      </w:r>
      <w:proofErr w:type="spellEnd"/>
      <w:r w:rsidR="00394CD9" w:rsidRPr="003331EF">
        <w:rPr>
          <w:iCs/>
          <w:spacing w:val="-5"/>
          <w:lang w:eastAsia="en-US"/>
        </w:rPr>
        <w:t xml:space="preserve"> korral või tunnistaja õiguste või huvide rikkumise vältimiseks (näiteks kui tegemist on töötajaga ja Finantsinspektsioon näeb, et menetlus võib selle töötaja olukorda halvendada).</w:t>
      </w:r>
    </w:p>
    <w:p w14:paraId="7443590D" w14:textId="77777777" w:rsidR="001A4507" w:rsidRPr="003331EF" w:rsidRDefault="001A4507" w:rsidP="003331EF">
      <w:pPr>
        <w:spacing w:before="0"/>
        <w:ind w:right="-64"/>
        <w:rPr>
          <w:i/>
          <w:iCs/>
        </w:rPr>
      </w:pPr>
    </w:p>
    <w:p w14:paraId="26CC32CE" w14:textId="406EF175" w:rsidR="00646CEE" w:rsidRPr="003331EF" w:rsidRDefault="00646CEE" w:rsidP="003331EF">
      <w:pPr>
        <w:spacing w:before="0"/>
        <w:rPr>
          <w:b/>
          <w:bCs/>
        </w:rPr>
      </w:pPr>
      <w:r w:rsidRPr="003331EF">
        <w:rPr>
          <w:b/>
        </w:rPr>
        <w:lastRenderedPageBreak/>
        <w:t xml:space="preserve">Paragrahv </w:t>
      </w:r>
      <w:r w:rsidR="00825983" w:rsidRPr="003331EF">
        <w:rPr>
          <w:b/>
        </w:rPr>
        <w:t>30</w:t>
      </w:r>
      <w:r w:rsidRPr="003331EF">
        <w:rPr>
          <w:b/>
        </w:rPr>
        <w:t xml:space="preserve">. </w:t>
      </w:r>
      <w:r w:rsidRPr="003331EF">
        <w:rPr>
          <w:b/>
          <w:bCs/>
        </w:rPr>
        <w:t>Selgituste andmisest keeldumise alused</w:t>
      </w:r>
    </w:p>
    <w:p w14:paraId="10AE90B2" w14:textId="77777777" w:rsidR="00646CEE" w:rsidRPr="003331EF" w:rsidRDefault="00646CEE" w:rsidP="003331EF">
      <w:pPr>
        <w:spacing w:before="0"/>
        <w:rPr>
          <w:b/>
        </w:rPr>
      </w:pPr>
    </w:p>
    <w:p w14:paraId="56BC4A9F" w14:textId="46AC29A6" w:rsidR="001A4507" w:rsidRPr="003331EF" w:rsidRDefault="001A4507" w:rsidP="003331EF">
      <w:pPr>
        <w:spacing w:before="0"/>
      </w:pPr>
      <w:r w:rsidRPr="003331EF">
        <w:rPr>
          <w:b/>
        </w:rPr>
        <w:t xml:space="preserve">Paragrahv </w:t>
      </w:r>
      <w:r w:rsidR="00825983" w:rsidRPr="003331EF">
        <w:rPr>
          <w:b/>
        </w:rPr>
        <w:t>30</w:t>
      </w:r>
      <w:r w:rsidRPr="003331EF">
        <w:t xml:space="preserve"> </w:t>
      </w:r>
      <w:r w:rsidRPr="003331EF">
        <w:rPr>
          <w:iCs/>
          <w:spacing w:val="-5"/>
          <w:lang w:eastAsia="en-US"/>
        </w:rPr>
        <w:t>kohaselt võib selgituste andmiseks kohustatud isik keelduda Finantsinspektsioonile selgituste andmisest vastavalt kriminaalmenetluse seadustiku §-s 73 sätestatud alustel. Viidatud § 73 lõike kohaselt on tunnistajal õigus keelduda ütluste andmisest nende asjaolude kohta, mille suhtes kohaldatakse riigisaladuse ja salastatud välisteabe seadust.</w:t>
      </w:r>
      <w:r w:rsidRPr="003331EF">
        <w:t xml:space="preserve"> </w:t>
      </w:r>
    </w:p>
    <w:p w14:paraId="10879C31" w14:textId="77777777" w:rsidR="001A4507" w:rsidRPr="003331EF" w:rsidRDefault="001A4507" w:rsidP="003331EF">
      <w:pPr>
        <w:spacing w:before="0"/>
        <w:rPr>
          <w:i/>
          <w:iCs/>
        </w:rPr>
      </w:pPr>
    </w:p>
    <w:p w14:paraId="2F6890F4" w14:textId="55C699BF" w:rsidR="00646CEE" w:rsidRPr="003331EF" w:rsidRDefault="00646CEE" w:rsidP="003331EF">
      <w:pPr>
        <w:spacing w:before="0"/>
        <w:rPr>
          <w:b/>
        </w:rPr>
      </w:pPr>
      <w:r w:rsidRPr="003331EF">
        <w:rPr>
          <w:b/>
          <w:bCs/>
        </w:rPr>
        <w:t xml:space="preserve">Paragrahv </w:t>
      </w:r>
      <w:r w:rsidR="006F2476" w:rsidRPr="003331EF">
        <w:rPr>
          <w:b/>
          <w:bCs/>
        </w:rPr>
        <w:t>31</w:t>
      </w:r>
      <w:r w:rsidRPr="003331EF">
        <w:rPr>
          <w:b/>
          <w:bCs/>
        </w:rPr>
        <w:t xml:space="preserve">. </w:t>
      </w:r>
      <w:r w:rsidRPr="003331EF">
        <w:rPr>
          <w:b/>
        </w:rPr>
        <w:t>Kohapealse kontrolli tegemine</w:t>
      </w:r>
    </w:p>
    <w:p w14:paraId="244E2919" w14:textId="77777777" w:rsidR="004A6104" w:rsidRPr="003331EF" w:rsidRDefault="004A6104" w:rsidP="003331EF">
      <w:pPr>
        <w:spacing w:before="0"/>
        <w:rPr>
          <w:b/>
          <w:bCs/>
        </w:rPr>
      </w:pPr>
    </w:p>
    <w:p w14:paraId="69242D31" w14:textId="7A4D3AE4" w:rsidR="004A6104" w:rsidRPr="003331EF" w:rsidRDefault="001A4507" w:rsidP="003331EF">
      <w:pPr>
        <w:pStyle w:val="oj-normal"/>
        <w:spacing w:before="0" w:beforeAutospacing="0" w:after="0" w:afterAutospacing="0"/>
        <w:jc w:val="both"/>
        <w:rPr>
          <w:sz w:val="27"/>
          <w:szCs w:val="27"/>
          <w:lang w:val="et-EE" w:eastAsia="et-EE"/>
        </w:rPr>
      </w:pPr>
      <w:r w:rsidRPr="003331EF">
        <w:rPr>
          <w:b/>
          <w:bCs/>
          <w:iCs/>
          <w:spacing w:val="-5"/>
          <w:lang w:val="et-EE" w:eastAsia="en-US"/>
        </w:rPr>
        <w:t>Paragrahv</w:t>
      </w:r>
      <w:r w:rsidRPr="00A4579B">
        <w:rPr>
          <w:b/>
          <w:bCs/>
          <w:lang w:val="et-EE"/>
        </w:rPr>
        <w:t xml:space="preserve"> </w:t>
      </w:r>
      <w:r w:rsidR="006F2476" w:rsidRPr="00A4579B">
        <w:rPr>
          <w:b/>
          <w:lang w:val="et-EE"/>
        </w:rPr>
        <w:t>31</w:t>
      </w:r>
      <w:r w:rsidRPr="00A4579B">
        <w:rPr>
          <w:b/>
          <w:lang w:val="et-EE"/>
        </w:rPr>
        <w:t xml:space="preserve"> </w:t>
      </w:r>
      <w:r w:rsidRPr="003331EF">
        <w:rPr>
          <w:iCs/>
          <w:spacing w:val="-5"/>
          <w:lang w:val="et-EE" w:eastAsia="en-US"/>
        </w:rPr>
        <w:t>sätestab nõuded kohapealsete kontrollide läbiviimiseks.</w:t>
      </w:r>
      <w:r w:rsidR="004A6104" w:rsidRPr="003331EF">
        <w:rPr>
          <w:iCs/>
          <w:spacing w:val="-5"/>
          <w:lang w:val="et-EE" w:eastAsia="en-US"/>
        </w:rPr>
        <w:t xml:space="preserve"> Vastava õiguse aluseks on </w:t>
      </w:r>
      <w:proofErr w:type="spellStart"/>
      <w:r w:rsidR="004A6104" w:rsidRPr="003331EF">
        <w:rPr>
          <w:iCs/>
          <w:spacing w:val="-5"/>
          <w:lang w:val="et-EE" w:eastAsia="en-US"/>
        </w:rPr>
        <w:t>M</w:t>
      </w:r>
      <w:r w:rsidR="00A35898">
        <w:rPr>
          <w:iCs/>
          <w:spacing w:val="-5"/>
          <w:lang w:val="et-EE" w:eastAsia="en-US"/>
        </w:rPr>
        <w:t>i</w:t>
      </w:r>
      <w:r w:rsidR="004A6104" w:rsidRPr="003331EF">
        <w:rPr>
          <w:iCs/>
          <w:spacing w:val="-5"/>
          <w:lang w:val="et-EE" w:eastAsia="en-US"/>
        </w:rPr>
        <w:t>CA</w:t>
      </w:r>
      <w:proofErr w:type="spellEnd"/>
      <w:r w:rsidR="004A6104" w:rsidRPr="003331EF">
        <w:rPr>
          <w:iCs/>
          <w:spacing w:val="-5"/>
          <w:lang w:val="et-EE" w:eastAsia="en-US"/>
        </w:rPr>
        <w:t xml:space="preserve"> määruse artikli 94 lõike 1 punkt w, mille kohaselt on pädeval asutusel õigus </w:t>
      </w:r>
      <w:r w:rsidR="004A6104" w:rsidRPr="003331EF">
        <w:rPr>
          <w:iCs/>
          <w:spacing w:val="-5"/>
          <w:lang w:val="et-EE" w:eastAsia="en-US"/>
        </w:rPr>
        <w:br/>
        <w:t>teha kohapealset kontrolli või uurimist muudes kohtades kui füüsilise isiku eluruumid ja siseneda sel eesmärgil ruumidesse, et saada juurdepääs dokumentidele ja muudele mis tahes kujul andmetele.</w:t>
      </w:r>
    </w:p>
    <w:p w14:paraId="69647C6B" w14:textId="77777777" w:rsidR="001A4507" w:rsidRPr="003331EF" w:rsidRDefault="001A4507" w:rsidP="003331EF">
      <w:pPr>
        <w:tabs>
          <w:tab w:val="left" w:pos="0"/>
        </w:tabs>
        <w:spacing w:before="0"/>
        <w:rPr>
          <w:bCs/>
          <w:i/>
          <w:iCs/>
          <w:highlight w:val="yellow"/>
          <w:u w:val="single"/>
        </w:rPr>
      </w:pPr>
    </w:p>
    <w:p w14:paraId="4F05FBAC" w14:textId="77777777" w:rsidR="001A4507" w:rsidRPr="003331EF" w:rsidRDefault="001A4507" w:rsidP="003331EF">
      <w:pPr>
        <w:tabs>
          <w:tab w:val="left" w:pos="-180"/>
        </w:tabs>
        <w:spacing w:before="0"/>
        <w:rPr>
          <w:iCs/>
          <w:spacing w:val="-5"/>
          <w:lang w:eastAsia="en-US"/>
        </w:rPr>
      </w:pPr>
      <w:r w:rsidRPr="003331EF">
        <w:rPr>
          <w:b/>
        </w:rPr>
        <w:t xml:space="preserve">Lõike 1 </w:t>
      </w:r>
      <w:r w:rsidRPr="003331EF">
        <w:rPr>
          <w:iCs/>
          <w:spacing w:val="-5"/>
          <w:lang w:eastAsia="en-US"/>
        </w:rPr>
        <w:t>kohaselt on Finantsinspektsioonil õigus läbi viia järgmiste isikute kohapealset kontrolli:</w:t>
      </w:r>
    </w:p>
    <w:p w14:paraId="70D92DDE" w14:textId="77777777" w:rsidR="004A6104" w:rsidRPr="003331EF" w:rsidRDefault="001A4507" w:rsidP="003331EF">
      <w:pPr>
        <w:numPr>
          <w:ilvl w:val="0"/>
          <w:numId w:val="11"/>
        </w:numPr>
        <w:tabs>
          <w:tab w:val="left" w:pos="-180"/>
        </w:tabs>
        <w:spacing w:before="0"/>
      </w:pPr>
      <w:proofErr w:type="spellStart"/>
      <w:r w:rsidRPr="003331EF">
        <w:rPr>
          <w:iCs/>
          <w:spacing w:val="-5"/>
          <w:lang w:eastAsia="en-US"/>
        </w:rPr>
        <w:t>krüptovaraturu</w:t>
      </w:r>
      <w:proofErr w:type="spellEnd"/>
      <w:r w:rsidRPr="003331EF">
        <w:t xml:space="preserve"> osaline;</w:t>
      </w:r>
    </w:p>
    <w:p w14:paraId="41091B0E" w14:textId="20CDE49B" w:rsidR="006F2476" w:rsidRPr="003331EF" w:rsidRDefault="006F2476" w:rsidP="003331EF">
      <w:pPr>
        <w:numPr>
          <w:ilvl w:val="0"/>
          <w:numId w:val="11"/>
        </w:numPr>
        <w:tabs>
          <w:tab w:val="left" w:pos="-180"/>
        </w:tabs>
        <w:spacing w:before="0"/>
      </w:pPr>
      <w:r w:rsidRPr="003331EF">
        <w:t>temaga samasse konsolideerimisgruppi kuuluvat äriühing;</w:t>
      </w:r>
    </w:p>
    <w:p w14:paraId="7018E6DB" w14:textId="2DE2CCD7" w:rsidR="001A4507" w:rsidRPr="003331EF" w:rsidRDefault="001A4507" w:rsidP="003331EF">
      <w:pPr>
        <w:numPr>
          <w:ilvl w:val="0"/>
          <w:numId w:val="11"/>
        </w:numPr>
        <w:tabs>
          <w:tab w:val="left" w:pos="-180"/>
        </w:tabs>
        <w:spacing w:before="0"/>
      </w:pPr>
      <w:r w:rsidRPr="003331EF">
        <w:rPr>
          <w:iCs/>
          <w:spacing w:val="-5"/>
          <w:lang w:eastAsia="en-US"/>
        </w:rPr>
        <w:t xml:space="preserve">isik, kellele </w:t>
      </w:r>
      <w:r w:rsidR="0021345F" w:rsidRPr="003331EF">
        <w:rPr>
          <w:iCs/>
          <w:spacing w:val="-5"/>
          <w:lang w:eastAsia="en-US"/>
        </w:rPr>
        <w:t>ta on</w:t>
      </w:r>
      <w:r w:rsidRPr="003331EF">
        <w:rPr>
          <w:iCs/>
          <w:spacing w:val="-5"/>
          <w:lang w:eastAsia="en-US"/>
        </w:rPr>
        <w:t xml:space="preserve"> ülesanded edasi antud.</w:t>
      </w:r>
    </w:p>
    <w:p w14:paraId="065D483D" w14:textId="77777777" w:rsidR="001A4507" w:rsidRPr="003331EF" w:rsidRDefault="001A4507" w:rsidP="003331EF">
      <w:pPr>
        <w:tabs>
          <w:tab w:val="left" w:pos="-180"/>
        </w:tabs>
        <w:spacing w:before="0"/>
        <w:ind w:left="1065"/>
        <w:rPr>
          <w:i/>
          <w:iCs/>
        </w:rPr>
      </w:pPr>
    </w:p>
    <w:p w14:paraId="734EF9D3" w14:textId="48F0B124" w:rsidR="00316A24" w:rsidRPr="003331EF" w:rsidRDefault="001A4507" w:rsidP="003331EF">
      <w:pPr>
        <w:spacing w:before="0"/>
        <w:rPr>
          <w:iCs/>
          <w:spacing w:val="-5"/>
          <w:lang w:eastAsia="en-US"/>
        </w:rPr>
      </w:pPr>
      <w:r w:rsidRPr="003331EF">
        <w:rPr>
          <w:b/>
        </w:rPr>
        <w:t>Lõikes 2</w:t>
      </w:r>
      <w:r w:rsidRPr="003331EF">
        <w:t xml:space="preserve"> </w:t>
      </w:r>
      <w:r w:rsidRPr="003331EF">
        <w:rPr>
          <w:iCs/>
          <w:spacing w:val="-5"/>
          <w:lang w:eastAsia="en-US"/>
        </w:rPr>
        <w:t xml:space="preserve">reguleeritakse, millal on Finantsinspektsioonil õigus kohapealset kontrolli läbi viia. Esiteks on tal see õigus, kui on vaja kontrollida esitatud andmete vastavust tegelikkusele. Teiseks, kui tal on kahtlus, et on rikutud õigusaktides sätestatut või see on vajalik muude järelevalveülesannete täitmiseks. Lisaks on Finantsinspektsioonil see õigus, kui </w:t>
      </w:r>
      <w:r w:rsidR="00CB112E" w:rsidRPr="003331EF">
        <w:rPr>
          <w:iCs/>
          <w:spacing w:val="-5"/>
          <w:lang w:eastAsia="en-US"/>
        </w:rPr>
        <w:t>lepinguriigi</w:t>
      </w:r>
      <w:r w:rsidRPr="003331EF">
        <w:rPr>
          <w:iCs/>
          <w:spacing w:val="-5"/>
          <w:lang w:eastAsia="en-US"/>
        </w:rPr>
        <w:t xml:space="preserve"> finantsjärelevalve asutus on seda taotlenud, et kontrollida välisriigi </w:t>
      </w:r>
      <w:proofErr w:type="spellStart"/>
      <w:r w:rsidR="00316A24" w:rsidRPr="003331EF">
        <w:rPr>
          <w:iCs/>
          <w:spacing w:val="-5"/>
          <w:lang w:eastAsia="en-US"/>
        </w:rPr>
        <w:t>krüptovaraturu</w:t>
      </w:r>
      <w:proofErr w:type="spellEnd"/>
      <w:r w:rsidR="00316A24" w:rsidRPr="003331EF">
        <w:rPr>
          <w:iCs/>
          <w:spacing w:val="-5"/>
          <w:lang w:eastAsia="en-US"/>
        </w:rPr>
        <w:t xml:space="preserve"> osalise</w:t>
      </w:r>
      <w:r w:rsidRPr="003331EF">
        <w:rPr>
          <w:iCs/>
          <w:spacing w:val="-5"/>
          <w:lang w:eastAsia="en-US"/>
        </w:rPr>
        <w:t xml:space="preserve"> saadud teavet või kui see on vajalik järelevalveülesannete täitmiseks.</w:t>
      </w:r>
      <w:r w:rsidR="00316A24" w:rsidRPr="003331EF">
        <w:rPr>
          <w:iCs/>
          <w:spacing w:val="-5"/>
          <w:lang w:eastAsia="en-US"/>
        </w:rPr>
        <w:t xml:space="preserve"> </w:t>
      </w:r>
      <w:proofErr w:type="spellStart"/>
      <w:r w:rsidR="00316A24" w:rsidRPr="003331EF">
        <w:rPr>
          <w:iCs/>
          <w:spacing w:val="-5"/>
          <w:lang w:eastAsia="en-US"/>
        </w:rPr>
        <w:t>M</w:t>
      </w:r>
      <w:r w:rsidR="00A35898">
        <w:rPr>
          <w:iCs/>
          <w:spacing w:val="-5"/>
          <w:lang w:eastAsia="en-US"/>
        </w:rPr>
        <w:t>i</w:t>
      </w:r>
      <w:r w:rsidR="00316A24" w:rsidRPr="003331EF">
        <w:rPr>
          <w:iCs/>
          <w:spacing w:val="-5"/>
          <w:lang w:eastAsia="en-US"/>
        </w:rPr>
        <w:t>CA</w:t>
      </w:r>
      <w:proofErr w:type="spellEnd"/>
      <w:r w:rsidR="00316A24" w:rsidRPr="003331EF">
        <w:rPr>
          <w:iCs/>
          <w:spacing w:val="-5"/>
          <w:lang w:eastAsia="en-US"/>
        </w:rPr>
        <w:t xml:space="preserve"> määruse artikli 94 lõikes 4 on sätestatud, et </w:t>
      </w:r>
      <w:r w:rsidR="00BB11CA" w:rsidRPr="003331EF">
        <w:rPr>
          <w:iCs/>
          <w:spacing w:val="-5"/>
          <w:lang w:eastAsia="en-US"/>
        </w:rPr>
        <w:t>p</w:t>
      </w:r>
      <w:r w:rsidR="00316A24" w:rsidRPr="003331EF">
        <w:rPr>
          <w:iCs/>
          <w:spacing w:val="-5"/>
          <w:lang w:eastAsia="en-US"/>
        </w:rPr>
        <w:t>ädev asutus võib kohapealse kontrolli või uurimisega seoses taotleda abi teise liikmesriigi pädevalt asutuselt. Kui pädev asutus saab teise liikmesriigi pädevalt asutuselt taotluse teha kohapealne kontroll või uurimine, võib ta</w:t>
      </w:r>
      <w:r w:rsidR="00BB11CA" w:rsidRPr="003331EF">
        <w:rPr>
          <w:iCs/>
          <w:spacing w:val="-5"/>
          <w:lang w:eastAsia="en-US"/>
        </w:rPr>
        <w:t xml:space="preserve"> kohapealse kontrolli või uurimise ise läbi viia, lubada taotluse esitanud pädeval asutusel kohapealses kontrollis või uurimises osaleda, lubada taotluse esitanud pädeval asutusel endal teha kohapealse kontrolli või uurimise või jagada teatavaid järelevalveülesandeid teiste pädevate asutustega.</w:t>
      </w:r>
    </w:p>
    <w:p w14:paraId="43F9B22F" w14:textId="77777777" w:rsidR="001A4507" w:rsidRPr="003331EF" w:rsidRDefault="001A4507" w:rsidP="003331EF">
      <w:pPr>
        <w:spacing w:before="0"/>
      </w:pPr>
    </w:p>
    <w:p w14:paraId="5D357CA1" w14:textId="77777777" w:rsidR="001A4507" w:rsidRPr="003331EF" w:rsidRDefault="001A4507" w:rsidP="003331EF">
      <w:pPr>
        <w:tabs>
          <w:tab w:val="left" w:pos="-180"/>
        </w:tabs>
        <w:spacing w:before="0"/>
      </w:pPr>
      <w:r w:rsidRPr="003331EF">
        <w:rPr>
          <w:iCs/>
          <w:spacing w:val="-5"/>
          <w:lang w:eastAsia="en-US"/>
        </w:rPr>
        <w:t>Selleks, et Finantsinspektsioon saaks kohapealset kontrolli läbi viia, peab ta andma vastava korralduse. Korraldusele tuleb märkida kohapealse kontrolli eesmärk, ulatus, perioodi pikkus ja aeg. See tuleb toimetada kontrollitava kätte hiljemalt kolm päeva enne kontrolli algust, välja arvatud juhul, kui korraldusest etteteatamine ohustaks kontrolli eesmärgi saavutamist. Kontrolli teostab selleks volitatud isik</w:t>
      </w:r>
      <w:r w:rsidRPr="003331EF">
        <w:t xml:space="preserve"> (</w:t>
      </w:r>
      <w:r w:rsidRPr="003331EF">
        <w:rPr>
          <w:b/>
        </w:rPr>
        <w:t>lõige 3</w:t>
      </w:r>
      <w:r w:rsidRPr="003331EF">
        <w:t xml:space="preserve">). </w:t>
      </w:r>
      <w:r w:rsidRPr="003331EF">
        <w:rPr>
          <w:iCs/>
          <w:spacing w:val="-5"/>
          <w:lang w:eastAsia="en-US"/>
        </w:rPr>
        <w:t>Korraldust käesoleva seaduse tähenduses mõistetakse korraldust</w:t>
      </w:r>
      <w:r w:rsidRPr="003331EF">
        <w:t xml:space="preserve"> FIS § 22</w:t>
      </w:r>
      <w:r w:rsidRPr="003331EF">
        <w:rPr>
          <w:vertAlign w:val="superscript"/>
        </w:rPr>
        <w:t>1</w:t>
      </w:r>
      <w:r w:rsidRPr="003331EF">
        <w:t xml:space="preserve"> tähenduses.</w:t>
      </w:r>
    </w:p>
    <w:p w14:paraId="67FB183C" w14:textId="77777777" w:rsidR="001A4507" w:rsidRPr="003331EF" w:rsidRDefault="001A4507" w:rsidP="003331EF">
      <w:pPr>
        <w:tabs>
          <w:tab w:val="left" w:pos="-180"/>
        </w:tabs>
        <w:spacing w:before="0"/>
        <w:rPr>
          <w:i/>
          <w:iCs/>
          <w:u w:val="single"/>
        </w:rPr>
      </w:pPr>
    </w:p>
    <w:p w14:paraId="26DD9748" w14:textId="77777777" w:rsidR="001A4507" w:rsidRPr="003331EF" w:rsidRDefault="001A4507" w:rsidP="003331EF">
      <w:pPr>
        <w:tabs>
          <w:tab w:val="left" w:pos="-180"/>
        </w:tabs>
        <w:spacing w:before="0"/>
      </w:pPr>
      <w:r w:rsidRPr="003331EF">
        <w:rPr>
          <w:b/>
        </w:rPr>
        <w:t xml:space="preserve">Lõikes </w:t>
      </w:r>
      <w:r w:rsidRPr="003331EF">
        <w:rPr>
          <w:b/>
          <w:bCs/>
          <w:iCs/>
          <w:spacing w:val="-5"/>
          <w:lang w:eastAsia="en-US"/>
        </w:rPr>
        <w:t>4</w:t>
      </w:r>
      <w:r w:rsidRPr="003331EF">
        <w:rPr>
          <w:iCs/>
          <w:spacing w:val="-5"/>
          <w:lang w:eastAsia="en-US"/>
        </w:rPr>
        <w:t xml:space="preserve"> on sätestatud kontrollija õigused. Eelkõige on tal õigus siseneda kõikidesse ruumidesse, järgides sealjuures võimalusel kõiki kehtestatud turvaeeskirju, nõuda tööks vajalike tingimuste tagamist ja kasutada eraldi ruumi, piiranguteta uurida järelevalve teostamisel vajalikke dokumente ja andmekandjaid ning teha nendest koopiaid, väljavõtteid ja ärakirju ning jälgida tööprotsesse. Lisaks on tal õigus nõuda suulisi ja kirjalikke selgitusi kontrollitava juhtidelt ja töötajatelt.</w:t>
      </w:r>
      <w:r w:rsidRPr="003331EF">
        <w:t xml:space="preserve"> </w:t>
      </w:r>
    </w:p>
    <w:p w14:paraId="1E0164B3" w14:textId="77777777" w:rsidR="001A4507" w:rsidRPr="003331EF" w:rsidRDefault="001A4507" w:rsidP="003331EF">
      <w:pPr>
        <w:tabs>
          <w:tab w:val="left" w:pos="-180"/>
        </w:tabs>
        <w:spacing w:before="0"/>
        <w:rPr>
          <w:b/>
          <w:bCs/>
          <w:iCs/>
          <w:spacing w:val="-5"/>
          <w:lang w:eastAsia="en-US"/>
        </w:rPr>
      </w:pPr>
    </w:p>
    <w:p w14:paraId="3680DBB4" w14:textId="77777777" w:rsidR="001A4507" w:rsidRPr="003331EF" w:rsidRDefault="001A4507" w:rsidP="003331EF">
      <w:pPr>
        <w:tabs>
          <w:tab w:val="left" w:pos="-180"/>
        </w:tabs>
        <w:spacing w:before="0"/>
        <w:rPr>
          <w:iCs/>
          <w:spacing w:val="-5"/>
          <w:lang w:eastAsia="en-US"/>
        </w:rPr>
      </w:pPr>
      <w:r w:rsidRPr="003331EF">
        <w:rPr>
          <w:b/>
          <w:bCs/>
          <w:iCs/>
          <w:spacing w:val="-5"/>
          <w:lang w:eastAsia="en-US"/>
        </w:rPr>
        <w:t>Lõige 5.</w:t>
      </w:r>
      <w:r w:rsidRPr="003331EF">
        <w:rPr>
          <w:iCs/>
          <w:spacing w:val="-5"/>
          <w:lang w:eastAsia="en-US"/>
        </w:rPr>
        <w:t xml:space="preserve"> Selleks, et kontrollija saaks nõuetekohaselt oma ülesandeid täita, on lõikes 5 sätestatud, et kontrollitava juhatus peab määrama kompetentse esindaja, kes esitab kontrollijale vajalikke dokumente ja muud teavet ning annab nende kohta ka vajalikke selgitusi. </w:t>
      </w:r>
    </w:p>
    <w:p w14:paraId="08795678" w14:textId="77777777" w:rsidR="001A4507" w:rsidRPr="003331EF" w:rsidRDefault="001A4507" w:rsidP="003331EF">
      <w:pPr>
        <w:tabs>
          <w:tab w:val="left" w:pos="-180"/>
        </w:tabs>
        <w:spacing w:before="0"/>
        <w:rPr>
          <w:i/>
          <w:iCs/>
        </w:rPr>
      </w:pPr>
    </w:p>
    <w:p w14:paraId="31F6F769" w14:textId="77777777" w:rsidR="001A4507" w:rsidRPr="003331EF" w:rsidRDefault="001A4507" w:rsidP="003331EF">
      <w:pPr>
        <w:tabs>
          <w:tab w:val="left" w:pos="-180"/>
        </w:tabs>
        <w:spacing w:before="0"/>
      </w:pPr>
      <w:r w:rsidRPr="003331EF">
        <w:rPr>
          <w:b/>
        </w:rPr>
        <w:t xml:space="preserve">Lõike 6 </w:t>
      </w:r>
      <w:r w:rsidRPr="003331EF">
        <w:rPr>
          <w:iCs/>
          <w:spacing w:val="-5"/>
          <w:lang w:eastAsia="en-US"/>
        </w:rPr>
        <w:t xml:space="preserve">kohaselt võib Finantsinspektsioon välisriigi </w:t>
      </w:r>
      <w:proofErr w:type="spellStart"/>
      <w:r w:rsidRPr="003331EF">
        <w:rPr>
          <w:iCs/>
          <w:spacing w:val="-5"/>
          <w:lang w:eastAsia="en-US"/>
        </w:rPr>
        <w:t>krüptovaraturu</w:t>
      </w:r>
      <w:proofErr w:type="spellEnd"/>
      <w:r w:rsidRPr="003331EF">
        <w:rPr>
          <w:iCs/>
          <w:spacing w:val="-5"/>
          <w:lang w:eastAsia="en-US"/>
        </w:rPr>
        <w:t xml:space="preserve"> osalise saadud teabe kontrollimisel volitada kohapealset kontrolli teostama välisriigi finantsjärelevalve asutuse või tema nimetatud audiitorettevõtja või eksperdi.</w:t>
      </w:r>
    </w:p>
    <w:p w14:paraId="6A7E4B5D" w14:textId="77777777" w:rsidR="001A4507" w:rsidRPr="003331EF" w:rsidRDefault="001A4507" w:rsidP="003331EF">
      <w:pPr>
        <w:tabs>
          <w:tab w:val="left" w:pos="-180"/>
        </w:tabs>
        <w:spacing w:before="0"/>
        <w:rPr>
          <w:i/>
          <w:iCs/>
          <w:u w:val="single"/>
        </w:rPr>
      </w:pPr>
    </w:p>
    <w:p w14:paraId="005C5A18" w14:textId="72E529F9" w:rsidR="00121CB3" w:rsidRPr="003331EF" w:rsidRDefault="001A4507" w:rsidP="003331EF">
      <w:pPr>
        <w:spacing w:before="0"/>
        <w:rPr>
          <w:rFonts w:asciiTheme="majorBidi" w:hAnsiTheme="majorBidi" w:cstheme="majorBidi"/>
        </w:rPr>
      </w:pPr>
      <w:r w:rsidRPr="003331EF">
        <w:rPr>
          <w:b/>
        </w:rPr>
        <w:t>Lõiked 7</w:t>
      </w:r>
      <w:r w:rsidR="00121CB3" w:rsidRPr="003331EF">
        <w:rPr>
          <w:b/>
        </w:rPr>
        <w:t xml:space="preserve"> ja 8</w:t>
      </w:r>
      <w:r w:rsidR="00CC780E" w:rsidRPr="003331EF">
        <w:t xml:space="preserve">. </w:t>
      </w:r>
      <w:r w:rsidRPr="003331EF">
        <w:rPr>
          <w:iCs/>
          <w:spacing w:val="-5"/>
          <w:lang w:eastAsia="en-US"/>
        </w:rPr>
        <w:t xml:space="preserve">Kontrollimise tulemuste kohta on kontrollija kohustatud koostama akti. Akti kavand tuleb koostada kahe kuu jooksul pärast kontrolli lõppemist ning Finantsinspektsioon peab selle toimetama kontrollitavale kätte. </w:t>
      </w:r>
      <w:r w:rsidR="00971B03" w:rsidRPr="003331EF">
        <w:t>Samas võib osutuda vajalikuks täiendavalt hinnata kontrollitava esitatud selgitusi või muid olulisi asjaolusid, mistõttu võib Finantsinspektsioon pikendada nimetatud tähtaeg</w:t>
      </w:r>
      <w:r w:rsidR="001F4E65">
        <w:t>a</w:t>
      </w:r>
      <w:r w:rsidR="00971B03" w:rsidRPr="003331EF">
        <w:t xml:space="preserve"> kuni kahe kuu võrra.</w:t>
      </w:r>
      <w:r w:rsidR="00F062FB" w:rsidRPr="003331EF">
        <w:t xml:space="preserve"> </w:t>
      </w:r>
      <w:r w:rsidRPr="003331EF">
        <w:rPr>
          <w:iCs/>
          <w:spacing w:val="-5"/>
          <w:lang w:eastAsia="en-US"/>
        </w:rPr>
        <w:t xml:space="preserve">Kontrollitav võib ühe kuu jooksul esitada Finantsinspektsioonile kirjalikke selgitusi. </w:t>
      </w:r>
      <w:r w:rsidR="00121CB3" w:rsidRPr="003331EF">
        <w:rPr>
          <w:rFonts w:asciiTheme="majorBidi" w:hAnsiTheme="majorBidi" w:cstheme="majorBidi"/>
        </w:rPr>
        <w:t xml:space="preserve">Selgitused esitatakse kirjalikus, suulises või muus sobivas vormis kooskõlas HMS § 40 lõikega 1. </w:t>
      </w:r>
    </w:p>
    <w:p w14:paraId="34F4D6C9" w14:textId="355CBA54" w:rsidR="00121CB3" w:rsidRPr="003331EF" w:rsidRDefault="00121CB3" w:rsidP="003331EF">
      <w:pPr>
        <w:spacing w:before="0"/>
        <w:ind w:right="-64"/>
        <w:rPr>
          <w:iCs/>
          <w:spacing w:val="-5"/>
          <w:lang w:eastAsia="en-US"/>
        </w:rPr>
      </w:pPr>
    </w:p>
    <w:p w14:paraId="7AB35645" w14:textId="5C883775" w:rsidR="00121CB3" w:rsidRPr="003331EF" w:rsidRDefault="00121CB3" w:rsidP="003331EF">
      <w:pPr>
        <w:spacing w:before="0"/>
        <w:ind w:right="-64"/>
        <w:rPr>
          <w:iCs/>
          <w:spacing w:val="-5"/>
          <w:lang w:eastAsia="en-US"/>
        </w:rPr>
      </w:pPr>
      <w:r w:rsidRPr="003331EF">
        <w:rPr>
          <w:rFonts w:asciiTheme="majorBidi" w:hAnsiTheme="majorBidi" w:cstheme="majorBidi"/>
          <w:b/>
          <w:bCs/>
        </w:rPr>
        <w:t>Lõike 9</w:t>
      </w:r>
      <w:r w:rsidRPr="003331EF">
        <w:rPr>
          <w:rFonts w:asciiTheme="majorBidi" w:hAnsiTheme="majorBidi" w:cstheme="majorBidi"/>
        </w:rPr>
        <w:t xml:space="preserve"> kohaselt annab Finantsinspektsioon kohapealse kontrolli lõppakti mitte hiljem kui neli kuud pärast kohapealse kontrolli lõppemist kooskõlas FIS § 18 lõikega 2 pärast kontrollitava kirjalike selgituste saamist või nende tähtajaks mitteesitamist. Finantsinspektsiooni põhjendatud otsusega  kinnitatud  lõppakt, mis on kooskõlas haldusmenetluse seadusega käsitatav haldusaktina, toimetatakse kontrollitavale kätte.</w:t>
      </w:r>
    </w:p>
    <w:p w14:paraId="3E2F28EF" w14:textId="77777777" w:rsidR="001A4507" w:rsidRPr="003331EF" w:rsidRDefault="001A4507" w:rsidP="003331EF">
      <w:pPr>
        <w:spacing w:before="0"/>
        <w:ind w:right="-64"/>
        <w:rPr>
          <w:iCs/>
          <w:spacing w:val="-5"/>
          <w:lang w:eastAsia="en-US"/>
        </w:rPr>
      </w:pPr>
    </w:p>
    <w:p w14:paraId="653F365B" w14:textId="662F70A7" w:rsidR="00121CB3" w:rsidRPr="003331EF" w:rsidRDefault="00121CB3" w:rsidP="003331EF">
      <w:pPr>
        <w:spacing w:before="0"/>
        <w:rPr>
          <w:iCs/>
          <w:spacing w:val="-5"/>
          <w:lang w:eastAsia="en-US"/>
        </w:rPr>
      </w:pPr>
      <w:r w:rsidRPr="003331EF">
        <w:rPr>
          <w:rFonts w:asciiTheme="majorBidi" w:hAnsiTheme="majorBidi" w:cstheme="majorBidi"/>
          <w:b/>
          <w:bCs/>
        </w:rPr>
        <w:t>Lõike 10</w:t>
      </w:r>
      <w:r w:rsidRPr="003331EF">
        <w:rPr>
          <w:rFonts w:asciiTheme="majorBidi" w:hAnsiTheme="majorBidi" w:cstheme="majorBidi"/>
        </w:rPr>
        <w:t xml:space="preserve"> </w:t>
      </w:r>
      <w:r w:rsidRPr="003331EF">
        <w:rPr>
          <w:iCs/>
          <w:spacing w:val="-5"/>
          <w:lang w:eastAsia="en-US"/>
        </w:rPr>
        <w:t>kohaselt võib Finantsinspektsioon siiski pikendada käesoleva paragrahvi lõikes</w:t>
      </w:r>
      <w:r w:rsidR="003E0BFB">
        <w:rPr>
          <w:iCs/>
          <w:spacing w:val="-5"/>
          <w:lang w:eastAsia="en-US"/>
        </w:rPr>
        <w:t> </w:t>
      </w:r>
      <w:r w:rsidRPr="003331EF">
        <w:rPr>
          <w:iCs/>
          <w:spacing w:val="-5"/>
          <w:lang w:eastAsia="en-US"/>
        </w:rPr>
        <w:t>9 nimetatud tähtaega kuni kahe kuu võrra, kui kontrollitava esitatud selgitused või muu oluline asjaolu vajab täiendavat hindamist. Kontrollitaval on õigus sellisel juhul anda täiendavaid selgitusi ja esitada vastuväiteid. Kui  lõppaktis tehakse vastaval perioodil olulisi muudatusi, peab Finantsinspektsioon saatma lõppakti uuesti kontrollitavale kirjalike selgituste saamiseks. Riigikohus on asunud seisukohale, et ärakuulamine peab toimuma haldusakti andmise protsessis (Riigikohtu Halduskolleegiumi otsus 14.03.2022.</w:t>
      </w:r>
      <w:r w:rsidR="003E0BFB">
        <w:rPr>
          <w:iCs/>
          <w:spacing w:val="-5"/>
          <w:lang w:eastAsia="en-US"/>
        </w:rPr>
        <w:t xml:space="preserve"> a </w:t>
      </w:r>
      <w:r w:rsidRPr="003331EF">
        <w:rPr>
          <w:iCs/>
          <w:spacing w:val="-5"/>
          <w:lang w:eastAsia="en-US"/>
        </w:rPr>
        <w:t>asjas 3-19-509).</w:t>
      </w:r>
    </w:p>
    <w:p w14:paraId="306AB7C2" w14:textId="77777777" w:rsidR="001A4507" w:rsidRPr="003331EF" w:rsidRDefault="001A4507" w:rsidP="003331EF">
      <w:pPr>
        <w:spacing w:before="0"/>
        <w:ind w:right="-62"/>
        <w:rPr>
          <w:i/>
          <w:iCs/>
        </w:rPr>
      </w:pPr>
    </w:p>
    <w:p w14:paraId="1DAAE288" w14:textId="26BBAB2C" w:rsidR="00285BD0" w:rsidRPr="003331EF" w:rsidRDefault="001A4507" w:rsidP="003331EF">
      <w:pPr>
        <w:spacing w:before="0"/>
        <w:rPr>
          <w:iCs/>
          <w:spacing w:val="-5"/>
          <w:lang w:eastAsia="en-US"/>
        </w:rPr>
      </w:pPr>
      <w:r w:rsidRPr="003331EF">
        <w:rPr>
          <w:b/>
          <w:bCs/>
        </w:rPr>
        <w:t>Lõige 11.</w:t>
      </w:r>
      <w:r w:rsidRPr="003331EF">
        <w:t xml:space="preserve"> </w:t>
      </w:r>
      <w:r w:rsidRPr="003331EF">
        <w:rPr>
          <w:iCs/>
          <w:spacing w:val="-5"/>
          <w:lang w:eastAsia="en-US"/>
        </w:rPr>
        <w:t>Lõppaktis võib ette näha kontrollitavale tähtaja puuduste kõrvaldamiseks või ka määrata muid kohustusi ning kui kontrollitav neid ei täida või teeb seda ebakohaselt, võib Finantsinspektsioon rakendada sunniraha. Sunniraha rakendamine on reguleeritud seaduse §-s 3</w:t>
      </w:r>
      <w:r w:rsidR="001F4E65">
        <w:rPr>
          <w:iCs/>
          <w:spacing w:val="-5"/>
          <w:lang w:eastAsia="en-US"/>
        </w:rPr>
        <w:t>6</w:t>
      </w:r>
      <w:r w:rsidRPr="003331EF">
        <w:rPr>
          <w:iCs/>
          <w:spacing w:val="-5"/>
          <w:lang w:eastAsia="en-US"/>
        </w:rPr>
        <w:t>.</w:t>
      </w:r>
      <w:r w:rsidR="00910C14" w:rsidRPr="003331EF">
        <w:rPr>
          <w:iCs/>
          <w:spacing w:val="-5"/>
          <w:lang w:eastAsia="en-US"/>
        </w:rPr>
        <w:t xml:space="preserve"> </w:t>
      </w:r>
    </w:p>
    <w:p w14:paraId="75D9501A" w14:textId="77777777" w:rsidR="00285BD0" w:rsidRPr="003331EF" w:rsidRDefault="00285BD0" w:rsidP="003331EF">
      <w:pPr>
        <w:spacing w:before="0"/>
        <w:rPr>
          <w:iCs/>
          <w:spacing w:val="-5"/>
          <w:lang w:eastAsia="en-US"/>
        </w:rPr>
      </w:pPr>
    </w:p>
    <w:p w14:paraId="5595BF5F" w14:textId="2CE2DEF2" w:rsidR="00910C14" w:rsidRPr="003331EF" w:rsidRDefault="00910C14" w:rsidP="003331EF">
      <w:pPr>
        <w:spacing w:before="0"/>
        <w:rPr>
          <w:iCs/>
          <w:spacing w:val="-5"/>
          <w:lang w:eastAsia="en-US"/>
        </w:rPr>
      </w:pPr>
      <w:r w:rsidRPr="003331EF">
        <w:rPr>
          <w:iCs/>
          <w:spacing w:val="-5"/>
          <w:lang w:eastAsia="en-US"/>
        </w:rPr>
        <w:t>Vaadeldav säte annab Finantsinspektsioonile mandaadi selles samas aktis sundida tuvastatud rikkumisi parandama või riske vähendama. Kui eelnevalt tehakse vastav nn hoiatus, võib Finantsinspektsioon määrata sunniraha lõppaktis toodud kohustuste tähtajaks täitmata jätmise tõttu. Kogu akti on sellisel juhul võimalik halduskohtus aga vaidlustada.</w:t>
      </w:r>
    </w:p>
    <w:p w14:paraId="42BF267F" w14:textId="77777777" w:rsidR="00825983" w:rsidRPr="003331EF" w:rsidRDefault="00825983" w:rsidP="003331EF">
      <w:pPr>
        <w:spacing w:before="0"/>
        <w:rPr>
          <w:rFonts w:asciiTheme="majorBidi" w:hAnsiTheme="majorBidi" w:cstheme="majorBidi"/>
          <w:sz w:val="22"/>
          <w:szCs w:val="22"/>
        </w:rPr>
      </w:pPr>
    </w:p>
    <w:p w14:paraId="5E75C65E" w14:textId="2C5E6710" w:rsidR="00700522" w:rsidRPr="003331EF" w:rsidRDefault="00700522" w:rsidP="003E0BFB">
      <w:pPr>
        <w:spacing w:before="0"/>
        <w:rPr>
          <w:iCs/>
          <w:spacing w:val="-5"/>
          <w:lang w:eastAsia="en-US"/>
        </w:rPr>
      </w:pPr>
      <w:r w:rsidRPr="003331EF">
        <w:rPr>
          <w:iCs/>
          <w:spacing w:val="-5"/>
          <w:lang w:eastAsia="en-US"/>
        </w:rPr>
        <w:t xml:space="preserve">Lisaks selgitame, et muude finantsjärelevalve subjektide suhtes kehtiva õiguse kohaselt ei oma kohapealse kontrolli lõppakt  iseseisvat regulatiivset toimet, s.t. ei tekita kontrollitavale kohustusi, mistõttu aktis väljatoodud puuduste ja rikkumiste kõrvaldamiseks on reeglina vaja koostada kohustav haldusakt ettekirjutuse näol. Nii haldusmenetluse kui </w:t>
      </w:r>
      <w:r w:rsidR="003E0BFB">
        <w:rPr>
          <w:iCs/>
          <w:spacing w:val="-5"/>
          <w:lang w:eastAsia="en-US"/>
        </w:rPr>
        <w:t xml:space="preserve">ka </w:t>
      </w:r>
      <w:r w:rsidRPr="003331EF">
        <w:rPr>
          <w:iCs/>
          <w:spacing w:val="-5"/>
          <w:lang w:eastAsia="en-US"/>
        </w:rPr>
        <w:t xml:space="preserve">järelevalvemenetluse läbiviimine peaks olema  eesmärgipärane ja efektiivne, samuti võimalikult lihtne ja kiire, vältides üleliigseid kulutusi ja ebameeldivusi isikutele. Kohapealse kontrolli materjalid, mis annavad  põhjaliku teadmise kontrollitava majandustegevuse kohta, võivad olla/on väga mahukad, s.h. lõppaktis väljatoodud tõendid võivad olla väga olulise kaaluga. Kohapealse kontrolli lõppakti eraldi vormistamise ja lõppaktis  toodud puuduste kohta eraldi haldusaktina vormistamise vahele võib jääda  mitmeid kuid või isegi pikem ajavahemik  ja faktiline olukord võib selle aja jooksul olla oluliselt muutunud. Kohapealse kontrolli protsess ja vastavate dokumentide koostamine kulutab põhjendamatult Finantsinspektsiooni ressursse ning ei ole ka kontrollitava vaates efektiivse lahendusega. Seetõttu on võrreldes teiste finantsvaldkonna eriseadustega eelnõus välja töötatud kohapealse kontrolli lõppakti andmise kohta uus lähenemine.   </w:t>
      </w:r>
    </w:p>
    <w:p w14:paraId="07CD6546" w14:textId="77777777" w:rsidR="001A4507" w:rsidRPr="003331EF" w:rsidRDefault="001A4507" w:rsidP="003331EF">
      <w:pPr>
        <w:spacing w:before="0"/>
        <w:ind w:right="-62"/>
      </w:pPr>
    </w:p>
    <w:p w14:paraId="6DB2ECD8" w14:textId="34CBBAE9" w:rsidR="001A4507" w:rsidRPr="003331EF" w:rsidRDefault="001A4507" w:rsidP="003331EF">
      <w:pPr>
        <w:spacing w:before="0"/>
        <w:ind w:right="-62"/>
      </w:pPr>
      <w:r w:rsidRPr="003331EF">
        <w:rPr>
          <w:b/>
          <w:bCs/>
        </w:rPr>
        <w:t>Lõige 12</w:t>
      </w:r>
      <w:r w:rsidRPr="003331EF">
        <w:t xml:space="preserve"> </w:t>
      </w:r>
      <w:r w:rsidRPr="003331EF">
        <w:rPr>
          <w:iCs/>
          <w:spacing w:val="-5"/>
          <w:lang w:eastAsia="en-US"/>
        </w:rPr>
        <w:t>annab Finantsinspektsioonile õiguse lõppakt või osa sellest avalikustada, aga seda vaid juhul, kui see on vajalik finantssektori stabiilsuse, läbipaistvuse või klientide huvides lähtuvalt.</w:t>
      </w:r>
      <w:r w:rsidR="000C46D4" w:rsidRPr="003331EF">
        <w:rPr>
          <w:iCs/>
          <w:spacing w:val="-5"/>
          <w:lang w:eastAsia="en-US"/>
        </w:rPr>
        <w:t xml:space="preserve"> </w:t>
      </w:r>
      <w:r w:rsidR="000C46D4" w:rsidRPr="003331EF">
        <w:rPr>
          <w:sz w:val="22"/>
          <w:szCs w:val="22"/>
        </w:rPr>
        <w:t>F</w:t>
      </w:r>
      <w:r w:rsidR="000C46D4" w:rsidRPr="003331EF">
        <w:rPr>
          <w:iCs/>
          <w:spacing w:val="-5"/>
          <w:lang w:eastAsia="en-US"/>
        </w:rPr>
        <w:t xml:space="preserve">IS § 54 lg 5 esimese lause kohaselt on Finantsinspektsioonil õigus täielikult või osaliselt avalikustada haldusakt või -leping, kui see on ette nähtud FIS § 2 lg 1 nimetatud seaduses või kui see on vajalik </w:t>
      </w:r>
      <w:r w:rsidR="000C46D4" w:rsidRPr="003331EF">
        <w:rPr>
          <w:iCs/>
          <w:spacing w:val="-5"/>
          <w:lang w:eastAsia="en-US"/>
        </w:rPr>
        <w:lastRenderedPageBreak/>
        <w:t>investorite, finantsjärelevalve subjektide klientide või avalikkuse kaitseks või finantsturu õigus- või korrapärase toimimise tagamiseks.</w:t>
      </w:r>
    </w:p>
    <w:p w14:paraId="04350013" w14:textId="77777777" w:rsidR="001A4507" w:rsidRPr="003331EF" w:rsidRDefault="001A4507" w:rsidP="003331EF">
      <w:pPr>
        <w:spacing w:before="0"/>
        <w:ind w:right="-62"/>
      </w:pPr>
    </w:p>
    <w:p w14:paraId="00509812" w14:textId="77777777" w:rsidR="001A4507" w:rsidRPr="003331EF" w:rsidRDefault="001A4507" w:rsidP="003331EF">
      <w:pPr>
        <w:spacing w:before="0"/>
        <w:ind w:right="-62"/>
      </w:pPr>
      <w:r w:rsidRPr="003331EF">
        <w:rPr>
          <w:b/>
          <w:bCs/>
        </w:rPr>
        <w:t>Lõike 13</w:t>
      </w:r>
      <w:r w:rsidRPr="003331EF">
        <w:t xml:space="preserve"> </w:t>
      </w:r>
      <w:r w:rsidRPr="003331EF">
        <w:rPr>
          <w:iCs/>
          <w:spacing w:val="-5"/>
          <w:lang w:eastAsia="en-US"/>
        </w:rPr>
        <w:t>kohaselt peab Finantsinspektsioon asjakohasel juhul kontrolli tulemused viivitamata teatavaks tegema päritoluliikmesriigi pädevatele asutustele.</w:t>
      </w:r>
    </w:p>
    <w:p w14:paraId="2EE6A2BD" w14:textId="77777777" w:rsidR="001A4507" w:rsidRPr="003331EF" w:rsidRDefault="001A4507" w:rsidP="003331EF">
      <w:pPr>
        <w:spacing w:before="0"/>
        <w:ind w:right="-62"/>
        <w:rPr>
          <w:i/>
          <w:iCs/>
        </w:rPr>
      </w:pPr>
    </w:p>
    <w:p w14:paraId="76C5B27D" w14:textId="11ACDD7D" w:rsidR="00646CEE" w:rsidRPr="003331EF" w:rsidRDefault="00646CEE" w:rsidP="003331EF">
      <w:pPr>
        <w:spacing w:before="0"/>
        <w:rPr>
          <w:b/>
          <w:bCs/>
        </w:rPr>
      </w:pPr>
      <w:r w:rsidRPr="003331EF">
        <w:rPr>
          <w:b/>
          <w:bCs/>
        </w:rPr>
        <w:t>Paragrahv 3</w:t>
      </w:r>
      <w:r w:rsidR="00B465AF" w:rsidRPr="003331EF">
        <w:rPr>
          <w:b/>
          <w:bCs/>
        </w:rPr>
        <w:t>2</w:t>
      </w:r>
      <w:r w:rsidRPr="003331EF">
        <w:rPr>
          <w:b/>
          <w:bCs/>
        </w:rPr>
        <w:t>. Ekspertiis ja erakorraline audiitorkontroll</w:t>
      </w:r>
    </w:p>
    <w:p w14:paraId="59D81122" w14:textId="77777777" w:rsidR="00646CEE" w:rsidRPr="003331EF" w:rsidRDefault="00646CEE" w:rsidP="003331EF">
      <w:pPr>
        <w:spacing w:before="0"/>
        <w:rPr>
          <w:rFonts w:eastAsiaTheme="majorEastAsia"/>
          <w:b/>
        </w:rPr>
      </w:pPr>
    </w:p>
    <w:p w14:paraId="60FDE8FA" w14:textId="2FB9BE68" w:rsidR="001A4507" w:rsidRPr="003331EF" w:rsidRDefault="001A4507" w:rsidP="003331EF">
      <w:pPr>
        <w:spacing w:before="0"/>
        <w:rPr>
          <w:b/>
          <w:bCs/>
        </w:rPr>
      </w:pPr>
      <w:r w:rsidRPr="003331EF">
        <w:rPr>
          <w:rFonts w:eastAsiaTheme="majorEastAsia"/>
          <w:b/>
        </w:rPr>
        <w:t>Paragrahv</w:t>
      </w:r>
      <w:r w:rsidRPr="003331EF">
        <w:rPr>
          <w:b/>
          <w:bCs/>
        </w:rPr>
        <w:t xml:space="preserve"> </w:t>
      </w:r>
      <w:r w:rsidR="00646CEE" w:rsidRPr="003331EF">
        <w:rPr>
          <w:b/>
          <w:bCs/>
        </w:rPr>
        <w:t>3</w:t>
      </w:r>
      <w:r w:rsidR="00B465AF" w:rsidRPr="003331EF">
        <w:rPr>
          <w:b/>
          <w:bCs/>
        </w:rPr>
        <w:t>2</w:t>
      </w:r>
      <w:r w:rsidR="00646CEE" w:rsidRPr="003331EF">
        <w:rPr>
          <w:b/>
          <w:bCs/>
        </w:rPr>
        <w:t> </w:t>
      </w:r>
      <w:r w:rsidRPr="003331EF">
        <w:rPr>
          <w:iCs/>
          <w:spacing w:val="-5"/>
          <w:lang w:eastAsia="en-US"/>
        </w:rPr>
        <w:t>käsitleb eksperdi kaasamist järelevalvemenetlusse ja erakorralise audiitorkontrolli läbiviimist.</w:t>
      </w:r>
      <w:r w:rsidR="007B20DD" w:rsidRPr="003331EF">
        <w:rPr>
          <w:iCs/>
          <w:spacing w:val="-5"/>
          <w:lang w:eastAsia="en-US"/>
        </w:rPr>
        <w:t xml:space="preserve"> Järelevalvemenetluses võib kaasata sõltumatu eksperdi, kellele kohaldub eelkõige haldusmenetluse seaduse § 39. Ekspert kaasatakse eriteadmisi nõudva asjaolu välja selgitamiseks, mida järelevalveasutus saab vajadusel kõrvutada teiste tõenditega, et oma seisukoht kujundada.</w:t>
      </w:r>
    </w:p>
    <w:p w14:paraId="07DFAF84" w14:textId="77777777" w:rsidR="001A4507" w:rsidRPr="003331EF" w:rsidRDefault="001A4507" w:rsidP="003331EF">
      <w:pPr>
        <w:tabs>
          <w:tab w:val="left" w:pos="0"/>
        </w:tabs>
        <w:spacing w:before="0"/>
        <w:rPr>
          <w:bCs/>
          <w:i/>
          <w:iCs/>
          <w:u w:val="single"/>
        </w:rPr>
      </w:pPr>
    </w:p>
    <w:p w14:paraId="2B5D15A0" w14:textId="77777777" w:rsidR="001A4507" w:rsidRPr="003331EF" w:rsidRDefault="001A4507" w:rsidP="003331EF">
      <w:pPr>
        <w:spacing w:before="0"/>
        <w:ind w:right="-64"/>
      </w:pPr>
      <w:r w:rsidRPr="003331EF">
        <w:rPr>
          <w:b/>
        </w:rPr>
        <w:t>Lõiked 1 ja 2.</w:t>
      </w:r>
      <w:r w:rsidRPr="003331EF">
        <w:t xml:space="preserve"> </w:t>
      </w:r>
      <w:r w:rsidRPr="003331EF">
        <w:rPr>
          <w:iCs/>
          <w:spacing w:val="-5"/>
          <w:lang w:eastAsia="en-US"/>
        </w:rPr>
        <w:t>Eksperdi võib järelevalvemenetlusse kaasata eriteadmisi nõudvate tähtsust omavate asjaolude selgitamiseks ning erakorralise audiitorkontrolli läbiviimist on õigus nõuda, kui on põhjendatud kahtlus, et Finantsinspektsioonile või avalikkusele esitatud aruanded või teave on eksitavad või tegelikkusele mittevastavad, on tehtud tehinguid, mille tulemusel võidakse tekitada või on tekitatud olulist kahju, järelevalvemenetluses vajab täiendavat selgitamist muu finantsseisundiga seotud oluline küsimus.</w:t>
      </w:r>
      <w:r w:rsidRPr="003331EF">
        <w:t xml:space="preserve"> </w:t>
      </w:r>
    </w:p>
    <w:p w14:paraId="2D135738" w14:textId="77777777" w:rsidR="001A4507" w:rsidRPr="003331EF" w:rsidRDefault="001A4507" w:rsidP="003331EF">
      <w:pPr>
        <w:spacing w:before="0"/>
        <w:ind w:right="-64"/>
      </w:pPr>
    </w:p>
    <w:p w14:paraId="5A05CCBE" w14:textId="77777777" w:rsidR="001A4507" w:rsidRPr="003331EF" w:rsidRDefault="001A4507" w:rsidP="003331EF">
      <w:pPr>
        <w:spacing w:before="0"/>
        <w:ind w:right="-64"/>
      </w:pPr>
      <w:r w:rsidRPr="003331EF">
        <w:rPr>
          <w:b/>
        </w:rPr>
        <w:t>Lõige 3.</w:t>
      </w:r>
      <w:r w:rsidRPr="003331EF">
        <w:t xml:space="preserve"> </w:t>
      </w:r>
      <w:r w:rsidRPr="003331EF">
        <w:rPr>
          <w:iCs/>
          <w:spacing w:val="-5"/>
          <w:lang w:eastAsia="en-US"/>
        </w:rPr>
        <w:t>Ekspert või audiitor kaasatakse Finantsinspektsiooni algatusel või menetlusosalise taotlusel. Eksperdi või audiitori nimi ja tema kaasamise põhjus tehakse menetlusosalisele teatavaks enne eksperdi või audiitori kaasamist, välja arvatud juhul, kui on vajalik asja kiire menetlemine või kui teavitamine võib takistada ekspertiisi või erakorralise audiitorkontrolli eesmärgi saavutamist.</w:t>
      </w:r>
      <w:r w:rsidRPr="003331EF">
        <w:t xml:space="preserve"> </w:t>
      </w:r>
    </w:p>
    <w:p w14:paraId="2B8C8737" w14:textId="77777777" w:rsidR="001A4507" w:rsidRPr="003331EF" w:rsidRDefault="001A4507" w:rsidP="003331EF">
      <w:pPr>
        <w:spacing w:before="0"/>
        <w:ind w:right="-64"/>
      </w:pPr>
    </w:p>
    <w:p w14:paraId="5290DFD1" w14:textId="11C1F69A" w:rsidR="001A4507" w:rsidRPr="003331EF" w:rsidRDefault="001A4507" w:rsidP="003331EF">
      <w:pPr>
        <w:spacing w:before="0"/>
        <w:ind w:right="-64"/>
      </w:pPr>
      <w:r w:rsidRPr="003331EF">
        <w:rPr>
          <w:b/>
        </w:rPr>
        <w:t xml:space="preserve">Lõige </w:t>
      </w:r>
      <w:r w:rsidR="007B20DD" w:rsidRPr="003331EF">
        <w:rPr>
          <w:b/>
        </w:rPr>
        <w:t>4</w:t>
      </w:r>
      <w:r w:rsidRPr="003331EF">
        <w:rPr>
          <w:b/>
        </w:rPr>
        <w:t>.</w:t>
      </w:r>
      <w:r w:rsidRPr="003331EF">
        <w:t xml:space="preserve"> </w:t>
      </w:r>
      <w:r w:rsidRPr="003331EF">
        <w:rPr>
          <w:iCs/>
          <w:spacing w:val="-5"/>
          <w:lang w:eastAsia="en-US"/>
        </w:rPr>
        <w:t>Kohapealset kontrolli läbi viies on eksperdil või audiitoril õigus kasutada kontrollija õigusi üksnes temale antud ülesannete täitmiseks ning audiitorettevõtjal on õigus teha ka ettepanekuid Finantsinspektsioonile ja menetlusosalisele täiendavate andmete ja dokumentide esitamiseks. Kõikidesse ruumisesse sisenemise õigus on tal üksnes kontrollitava loal või tema juuresolekul.</w:t>
      </w:r>
      <w:r w:rsidRPr="003331EF">
        <w:t xml:space="preserve"> </w:t>
      </w:r>
    </w:p>
    <w:p w14:paraId="1AE7270D" w14:textId="77777777" w:rsidR="001A4507" w:rsidRPr="003331EF" w:rsidRDefault="001A4507" w:rsidP="003331EF">
      <w:pPr>
        <w:spacing w:before="0"/>
        <w:ind w:right="-64"/>
      </w:pPr>
    </w:p>
    <w:p w14:paraId="3E9DB794" w14:textId="591E1A08" w:rsidR="007B20DD" w:rsidRPr="003331EF" w:rsidRDefault="007B20DD" w:rsidP="003331EF">
      <w:pPr>
        <w:spacing w:before="0"/>
        <w:ind w:right="-64"/>
        <w:rPr>
          <w:iCs/>
          <w:spacing w:val="-5"/>
          <w:lang w:eastAsia="en-US"/>
        </w:rPr>
      </w:pPr>
      <w:r w:rsidRPr="003331EF">
        <w:rPr>
          <w:b/>
        </w:rPr>
        <w:t>Lõike 5</w:t>
      </w:r>
      <w:r w:rsidRPr="003331EF">
        <w:t xml:space="preserve"> </w:t>
      </w:r>
      <w:r w:rsidRPr="003331EF">
        <w:rPr>
          <w:iCs/>
          <w:spacing w:val="-5"/>
          <w:lang w:eastAsia="en-US"/>
        </w:rPr>
        <w:t xml:space="preserve">kohaselt peab ekspert või audiitorettevõtja esitama oma arvamuse või hinnangu ka nende asjaolude kohta, mille kohta talle küsimusi ei esitatud, kuid mis ta tegi kindlaks järelevalvemenetluse käigus. </w:t>
      </w:r>
      <w:r w:rsidR="005E7750" w:rsidRPr="003331EF">
        <w:rPr>
          <w:iCs/>
          <w:spacing w:val="-5"/>
          <w:lang w:eastAsia="en-US"/>
        </w:rPr>
        <w:t>Seega, kui lõike 4 kohaselt antakse mandaat uurida kindlat asjaolu, kuid selle käigus tuleb välja muu leid, mida ei ole sihilikult uurima mindud, siis lõike 5 kohaselt tuleb ka selle leiu kohta oma arvamus ja hinnang esitada.</w:t>
      </w:r>
    </w:p>
    <w:p w14:paraId="5D2869D4" w14:textId="77777777" w:rsidR="007B20DD" w:rsidRPr="003331EF" w:rsidRDefault="007B20DD" w:rsidP="003331EF">
      <w:pPr>
        <w:spacing w:before="0"/>
        <w:ind w:right="-64"/>
      </w:pPr>
    </w:p>
    <w:p w14:paraId="30D1D432" w14:textId="77777777" w:rsidR="001A4507" w:rsidRPr="003331EF" w:rsidRDefault="001A4507" w:rsidP="003331EF">
      <w:pPr>
        <w:spacing w:before="0"/>
        <w:ind w:right="-64"/>
      </w:pPr>
      <w:r w:rsidRPr="003331EF">
        <w:rPr>
          <w:b/>
        </w:rPr>
        <w:t>Lõike 6</w:t>
      </w:r>
      <w:r w:rsidRPr="003331EF">
        <w:t xml:space="preserve"> </w:t>
      </w:r>
      <w:r w:rsidRPr="003331EF">
        <w:rPr>
          <w:iCs/>
          <w:spacing w:val="-5"/>
          <w:lang w:eastAsia="en-US"/>
        </w:rPr>
        <w:t xml:space="preserve">eesmärk on tagada, et ekspert hoiaks saladuses avalikustamisele mittekuuluvat teavet, mis sai talle teatavaks seoses eksperdiülesannete täitmisega. Audiitori kutsesaladuse hoidmise kohustus tuleneb </w:t>
      </w:r>
      <w:proofErr w:type="spellStart"/>
      <w:r w:rsidRPr="003331EF">
        <w:rPr>
          <w:iCs/>
          <w:spacing w:val="-5"/>
          <w:lang w:eastAsia="en-US"/>
        </w:rPr>
        <w:t>AudS-ist</w:t>
      </w:r>
      <w:proofErr w:type="spellEnd"/>
      <w:r w:rsidRPr="003331EF">
        <w:rPr>
          <w:iCs/>
          <w:spacing w:val="-5"/>
          <w:lang w:eastAsia="en-US"/>
        </w:rPr>
        <w:t>.</w:t>
      </w:r>
    </w:p>
    <w:p w14:paraId="7CC65E06" w14:textId="77777777" w:rsidR="001A4507" w:rsidRPr="003331EF" w:rsidRDefault="001A4507" w:rsidP="003331EF">
      <w:pPr>
        <w:spacing w:before="0"/>
        <w:ind w:right="-64"/>
      </w:pPr>
    </w:p>
    <w:p w14:paraId="6112008B" w14:textId="77777777" w:rsidR="001A4507" w:rsidRPr="003331EF" w:rsidRDefault="001A4507" w:rsidP="003331EF">
      <w:pPr>
        <w:spacing w:before="0"/>
        <w:ind w:right="-62"/>
      </w:pPr>
      <w:r w:rsidRPr="003331EF">
        <w:rPr>
          <w:b/>
        </w:rPr>
        <w:t>Lõikes 7</w:t>
      </w:r>
      <w:r w:rsidRPr="003331EF">
        <w:t xml:space="preserve"> </w:t>
      </w:r>
      <w:r w:rsidRPr="003331EF">
        <w:rPr>
          <w:iCs/>
          <w:spacing w:val="-5"/>
          <w:lang w:eastAsia="en-US"/>
        </w:rPr>
        <w:t>sätestatakse, et ekspertiisi või erakorralise audiitorkontrolli kulud kaetakse Finantsinspektsiooni eelarvest ning kui ekspert või audiitorettevõtja kaasatakse menetlusosalise taotlusel, tasub kulud menetlusosaline.</w:t>
      </w:r>
      <w:r w:rsidRPr="003331EF">
        <w:t xml:space="preserve"> </w:t>
      </w:r>
    </w:p>
    <w:p w14:paraId="0AABB1C9" w14:textId="77777777" w:rsidR="001A4507" w:rsidRPr="003331EF" w:rsidRDefault="001A4507" w:rsidP="003331EF">
      <w:pPr>
        <w:tabs>
          <w:tab w:val="left" w:pos="0"/>
        </w:tabs>
        <w:spacing w:before="0"/>
        <w:rPr>
          <w:bCs/>
          <w:i/>
          <w:iCs/>
          <w:u w:val="single"/>
        </w:rPr>
      </w:pPr>
    </w:p>
    <w:p w14:paraId="551A0BAA" w14:textId="72D98590" w:rsidR="00646CEE" w:rsidRPr="003331EF" w:rsidRDefault="00646CEE" w:rsidP="003331EF">
      <w:pPr>
        <w:tabs>
          <w:tab w:val="left" w:pos="0"/>
        </w:tabs>
        <w:spacing w:before="0"/>
        <w:rPr>
          <w:b/>
          <w:bCs/>
        </w:rPr>
      </w:pPr>
      <w:r w:rsidRPr="003331EF">
        <w:rPr>
          <w:b/>
          <w:bCs/>
        </w:rPr>
        <w:t>Paragrahv 3</w:t>
      </w:r>
      <w:r w:rsidR="00F91089" w:rsidRPr="003331EF">
        <w:rPr>
          <w:b/>
          <w:bCs/>
        </w:rPr>
        <w:t>3</w:t>
      </w:r>
      <w:r w:rsidRPr="003331EF">
        <w:rPr>
          <w:b/>
          <w:bCs/>
        </w:rPr>
        <w:t>. Ettekirjutus</w:t>
      </w:r>
    </w:p>
    <w:p w14:paraId="7FE324A4" w14:textId="77777777" w:rsidR="00B75C3A" w:rsidRPr="003331EF" w:rsidRDefault="00B75C3A" w:rsidP="003331EF">
      <w:pPr>
        <w:tabs>
          <w:tab w:val="left" w:pos="0"/>
        </w:tabs>
        <w:spacing w:before="0"/>
        <w:rPr>
          <w:b/>
          <w:bCs/>
        </w:rPr>
      </w:pPr>
    </w:p>
    <w:p w14:paraId="77D024F6" w14:textId="1DE5CB4B" w:rsidR="001A4507" w:rsidRPr="003331EF" w:rsidRDefault="001A4507" w:rsidP="003331EF">
      <w:pPr>
        <w:tabs>
          <w:tab w:val="left" w:pos="0"/>
        </w:tabs>
        <w:spacing w:before="0"/>
        <w:rPr>
          <w:bCs/>
          <w:u w:val="single"/>
        </w:rPr>
      </w:pPr>
      <w:r w:rsidRPr="003331EF">
        <w:rPr>
          <w:b/>
          <w:bCs/>
        </w:rPr>
        <w:t xml:space="preserve">Paragrahv </w:t>
      </w:r>
      <w:r w:rsidR="00646CEE" w:rsidRPr="003331EF">
        <w:rPr>
          <w:b/>
          <w:bCs/>
        </w:rPr>
        <w:t>3</w:t>
      </w:r>
      <w:r w:rsidR="00F91089" w:rsidRPr="003331EF">
        <w:rPr>
          <w:b/>
          <w:bCs/>
        </w:rPr>
        <w:t>3</w:t>
      </w:r>
      <w:r w:rsidR="00646CEE" w:rsidRPr="003331EF">
        <w:rPr>
          <w:b/>
          <w:bCs/>
        </w:rPr>
        <w:t xml:space="preserve"> </w:t>
      </w:r>
      <w:r w:rsidRPr="003331EF">
        <w:rPr>
          <w:iCs/>
          <w:spacing w:val="-5"/>
          <w:lang w:eastAsia="en-US"/>
        </w:rPr>
        <w:t>näeb ette Finantsinspektsioonile õiguse teha ettekirjutusi seaduses sätestatud alustel.</w:t>
      </w:r>
    </w:p>
    <w:p w14:paraId="0726F35F" w14:textId="77777777" w:rsidR="001A4507" w:rsidRPr="003331EF" w:rsidRDefault="001A4507" w:rsidP="003331EF">
      <w:pPr>
        <w:tabs>
          <w:tab w:val="left" w:pos="0"/>
        </w:tabs>
        <w:spacing w:before="0"/>
        <w:rPr>
          <w:bCs/>
          <w:u w:val="single"/>
        </w:rPr>
      </w:pPr>
    </w:p>
    <w:p w14:paraId="7C533CAE" w14:textId="77777777" w:rsidR="001A4507" w:rsidRPr="003331EF" w:rsidRDefault="001A4507" w:rsidP="003331EF">
      <w:pPr>
        <w:tabs>
          <w:tab w:val="left" w:pos="-180"/>
        </w:tabs>
        <w:spacing w:before="0"/>
        <w:rPr>
          <w:iCs/>
          <w:spacing w:val="-5"/>
          <w:lang w:eastAsia="en-US"/>
        </w:rPr>
      </w:pPr>
      <w:r w:rsidRPr="003331EF">
        <w:rPr>
          <w:b/>
        </w:rPr>
        <w:t xml:space="preserve">Lõike 1 </w:t>
      </w:r>
      <w:r w:rsidRPr="003331EF">
        <w:rPr>
          <w:iCs/>
          <w:spacing w:val="-5"/>
          <w:lang w:eastAsia="en-US"/>
        </w:rPr>
        <w:t xml:space="preserve">kohaselt on Finantsinspektsioonil õigus teha ettekirjutus, kui tuvastatakse õigusaktide rikkumine või rikkumiste ärahoidmiseks (õigusaktide rikkumise oht). Lisaks on Finantsinspektsioonil õigus teha ettekirjutus, kui </w:t>
      </w:r>
      <w:proofErr w:type="spellStart"/>
      <w:r w:rsidRPr="003331EF">
        <w:rPr>
          <w:iCs/>
          <w:spacing w:val="-5"/>
          <w:lang w:eastAsia="en-US"/>
        </w:rPr>
        <w:t>krüptovaraturu</w:t>
      </w:r>
      <w:proofErr w:type="spellEnd"/>
      <w:r w:rsidRPr="003331EF">
        <w:rPr>
          <w:iCs/>
          <w:spacing w:val="-5"/>
          <w:lang w:eastAsia="en-US"/>
        </w:rPr>
        <w:t xml:space="preserve"> osalise võetud riskid on oluliselt </w:t>
      </w:r>
      <w:r w:rsidRPr="003331EF">
        <w:rPr>
          <w:iCs/>
          <w:spacing w:val="-5"/>
          <w:lang w:eastAsia="en-US"/>
        </w:rPr>
        <w:lastRenderedPageBreak/>
        <w:t>suurenenud või esineb muu tema tegevust, tema klientide huve või finantsturu kui terviku usaldusväärsust või läbipaistvust ohustavaid või ohustada võivaid asjaolusid.</w:t>
      </w:r>
    </w:p>
    <w:p w14:paraId="204BCFC1" w14:textId="77777777" w:rsidR="001A4507" w:rsidRPr="003331EF" w:rsidRDefault="001A4507" w:rsidP="003331EF">
      <w:pPr>
        <w:tabs>
          <w:tab w:val="left" w:pos="-180"/>
        </w:tabs>
        <w:spacing w:before="0"/>
        <w:rPr>
          <w:i/>
          <w:iCs/>
        </w:rPr>
      </w:pPr>
    </w:p>
    <w:p w14:paraId="176DF25D" w14:textId="108225E5" w:rsidR="001A4507" w:rsidRPr="003331EF" w:rsidRDefault="001A4507" w:rsidP="003331EF">
      <w:pPr>
        <w:spacing w:before="0"/>
        <w:rPr>
          <w:iCs/>
          <w:spacing w:val="-5"/>
          <w:lang w:eastAsia="en-US"/>
        </w:rPr>
      </w:pPr>
      <w:r w:rsidRPr="003331EF">
        <w:rPr>
          <w:b/>
        </w:rPr>
        <w:t>Lõike 2</w:t>
      </w:r>
      <w:r w:rsidRPr="003331EF">
        <w:t xml:space="preserve"> </w:t>
      </w:r>
      <w:r w:rsidRPr="003331EF">
        <w:rPr>
          <w:iCs/>
          <w:spacing w:val="-5"/>
          <w:lang w:eastAsia="en-US"/>
        </w:rPr>
        <w:t xml:space="preserve">kohaselt peab ettekirjutuse saaja asuma ettekirjutust viivitamata täitma ning </w:t>
      </w:r>
      <w:r w:rsidRPr="003331EF">
        <w:rPr>
          <w:b/>
          <w:bCs/>
          <w:iCs/>
          <w:spacing w:val="-5"/>
          <w:lang w:eastAsia="en-US"/>
        </w:rPr>
        <w:t>lõikega</w:t>
      </w:r>
      <w:r w:rsidR="003E0BFB">
        <w:rPr>
          <w:b/>
          <w:bCs/>
          <w:iCs/>
          <w:spacing w:val="-5"/>
          <w:lang w:eastAsia="en-US"/>
        </w:rPr>
        <w:t> </w:t>
      </w:r>
      <w:r w:rsidRPr="003331EF">
        <w:rPr>
          <w:b/>
          <w:bCs/>
          <w:iCs/>
          <w:spacing w:val="-5"/>
          <w:lang w:eastAsia="en-US"/>
        </w:rPr>
        <w:t xml:space="preserve">3 </w:t>
      </w:r>
      <w:r w:rsidRPr="003331EF">
        <w:rPr>
          <w:iCs/>
          <w:spacing w:val="-5"/>
          <w:lang w:eastAsia="en-US"/>
        </w:rPr>
        <w:t>nähakse ette, et kaebuse esitamine ja menetlemine ei peata ettekirjutuse täitmist, kui Finantsinspektsioon ei ole ette näinud teisiti.</w:t>
      </w:r>
    </w:p>
    <w:p w14:paraId="6FF785B1" w14:textId="77777777" w:rsidR="001A4507" w:rsidRPr="003331EF" w:rsidRDefault="001A4507" w:rsidP="003331EF">
      <w:pPr>
        <w:spacing w:before="0"/>
        <w:rPr>
          <w:i/>
          <w:iCs/>
        </w:rPr>
      </w:pPr>
    </w:p>
    <w:p w14:paraId="7CA29154" w14:textId="79B4144B" w:rsidR="00646CEE" w:rsidRPr="003331EF" w:rsidRDefault="00646CEE" w:rsidP="003331EF">
      <w:pPr>
        <w:spacing w:before="0"/>
        <w:rPr>
          <w:b/>
          <w:bCs/>
        </w:rPr>
      </w:pPr>
      <w:r w:rsidRPr="003331EF">
        <w:rPr>
          <w:b/>
          <w:bCs/>
        </w:rPr>
        <w:t>Paragrahv 3</w:t>
      </w:r>
      <w:r w:rsidR="00F91089" w:rsidRPr="003331EF">
        <w:rPr>
          <w:b/>
          <w:bCs/>
        </w:rPr>
        <w:t>4</w:t>
      </w:r>
      <w:r w:rsidRPr="003331EF">
        <w:rPr>
          <w:b/>
          <w:bCs/>
        </w:rPr>
        <w:t>. Finantsinspektsiooni õigused ja kohustused ettekirjutuse tegemisel</w:t>
      </w:r>
    </w:p>
    <w:p w14:paraId="40773904" w14:textId="77777777" w:rsidR="00646CEE" w:rsidRPr="003331EF" w:rsidRDefault="00646CEE" w:rsidP="003331EF">
      <w:pPr>
        <w:spacing w:before="0"/>
        <w:rPr>
          <w:b/>
          <w:bCs/>
        </w:rPr>
      </w:pPr>
    </w:p>
    <w:p w14:paraId="05D0C214" w14:textId="0C7B7F34" w:rsidR="001A4507" w:rsidRPr="003331EF" w:rsidRDefault="001A4507" w:rsidP="003331EF">
      <w:pPr>
        <w:spacing w:before="0"/>
        <w:rPr>
          <w:iCs/>
          <w:spacing w:val="-5"/>
          <w:lang w:eastAsia="en-US"/>
        </w:rPr>
      </w:pPr>
      <w:r w:rsidRPr="003331EF">
        <w:rPr>
          <w:b/>
          <w:bCs/>
        </w:rPr>
        <w:t xml:space="preserve">Paragrahviga </w:t>
      </w:r>
      <w:r w:rsidR="00646CEE" w:rsidRPr="003331EF">
        <w:rPr>
          <w:b/>
          <w:bCs/>
        </w:rPr>
        <w:t>3</w:t>
      </w:r>
      <w:r w:rsidR="00F91089" w:rsidRPr="003331EF">
        <w:rPr>
          <w:b/>
          <w:bCs/>
        </w:rPr>
        <w:t>4</w:t>
      </w:r>
      <w:r w:rsidR="00646CEE" w:rsidRPr="003331EF">
        <w:rPr>
          <w:iCs/>
          <w:spacing w:val="-5"/>
          <w:lang w:eastAsia="en-US"/>
        </w:rPr>
        <w:t xml:space="preserve"> </w:t>
      </w:r>
      <w:r w:rsidRPr="003331EF">
        <w:rPr>
          <w:iCs/>
          <w:spacing w:val="-5"/>
          <w:lang w:eastAsia="en-US"/>
        </w:rPr>
        <w:t>sätestatakse Finantsinspektsiooni õigused ja kohustused ettekirjutuse tegemisel.</w:t>
      </w:r>
    </w:p>
    <w:p w14:paraId="34B22699" w14:textId="77777777" w:rsidR="001A4507" w:rsidRPr="003331EF" w:rsidRDefault="001A4507" w:rsidP="003331EF">
      <w:pPr>
        <w:spacing w:before="0"/>
        <w:rPr>
          <w:i/>
          <w:iCs/>
        </w:rPr>
      </w:pPr>
    </w:p>
    <w:p w14:paraId="62903F41" w14:textId="77CC2194" w:rsidR="008A21E1" w:rsidRPr="003331EF" w:rsidRDefault="001A4507" w:rsidP="003331EF">
      <w:pPr>
        <w:spacing w:before="0"/>
      </w:pPr>
      <w:r w:rsidRPr="003331EF">
        <w:rPr>
          <w:b/>
        </w:rPr>
        <w:t>Lõikes 1</w:t>
      </w:r>
      <w:r w:rsidRPr="003331EF">
        <w:t xml:space="preserve"> </w:t>
      </w:r>
      <w:r w:rsidRPr="003331EF">
        <w:rPr>
          <w:iCs/>
          <w:spacing w:val="-5"/>
          <w:lang w:eastAsia="en-US"/>
        </w:rPr>
        <w:t xml:space="preserve">on loetelu ettekirjutustest ning juhul, kui </w:t>
      </w:r>
      <w:proofErr w:type="spellStart"/>
      <w:r w:rsidRPr="003331EF">
        <w:rPr>
          <w:iCs/>
          <w:spacing w:val="-5"/>
          <w:lang w:eastAsia="en-US"/>
        </w:rPr>
        <w:t>krüptovaraturu</w:t>
      </w:r>
      <w:proofErr w:type="spellEnd"/>
      <w:r w:rsidRPr="003331EF">
        <w:rPr>
          <w:iCs/>
          <w:spacing w:val="-5"/>
          <w:lang w:eastAsia="en-US"/>
        </w:rPr>
        <w:t xml:space="preserve"> osaline ettekirjutust ei täida</w:t>
      </w:r>
      <w:r w:rsidRPr="003331EF">
        <w:t xml:space="preserve"> (</w:t>
      </w:r>
      <w:r w:rsidRPr="003331EF">
        <w:rPr>
          <w:b/>
        </w:rPr>
        <w:t>lõige 2),</w:t>
      </w:r>
      <w:r w:rsidRPr="003331EF">
        <w:t xml:space="preserve"> </w:t>
      </w:r>
      <w:r w:rsidRPr="003331EF">
        <w:rPr>
          <w:iCs/>
          <w:spacing w:val="-5"/>
          <w:lang w:eastAsia="en-US"/>
        </w:rPr>
        <w:t xml:space="preserve">võib tema suhtes rakendada muid õigusaktides ette nähtud meetmeid, sealhulgas tunnistada kehtetuks tema tegevusluba, tema filiaali registreerimise luba või ka nõuda juhi tagasikutsumist. </w:t>
      </w:r>
    </w:p>
    <w:p w14:paraId="3B722780" w14:textId="77777777" w:rsidR="003E11F3" w:rsidRPr="003331EF" w:rsidRDefault="003E11F3" w:rsidP="003331EF">
      <w:pPr>
        <w:spacing w:before="0"/>
        <w:rPr>
          <w:iCs/>
          <w:spacing w:val="-5"/>
          <w:lang w:eastAsia="en-US"/>
        </w:rPr>
      </w:pPr>
    </w:p>
    <w:p w14:paraId="115308F7" w14:textId="2FBA64DE" w:rsidR="003E11F3" w:rsidRPr="003331EF" w:rsidRDefault="003E11F3" w:rsidP="003331EF">
      <w:pPr>
        <w:spacing w:before="0"/>
        <w:rPr>
          <w:iCs/>
          <w:spacing w:val="-5"/>
          <w:lang w:eastAsia="en-US"/>
        </w:rPr>
      </w:pPr>
      <w:r w:rsidRPr="003331EF">
        <w:rPr>
          <w:iCs/>
          <w:spacing w:val="-5"/>
          <w:lang w:eastAsia="en-US"/>
        </w:rPr>
        <w:t xml:space="preserve">Kuigi </w:t>
      </w:r>
      <w:proofErr w:type="spellStart"/>
      <w:r w:rsidRPr="003331EF">
        <w:rPr>
          <w:iCs/>
          <w:spacing w:val="-5"/>
          <w:lang w:eastAsia="en-US"/>
        </w:rPr>
        <w:t>M</w:t>
      </w:r>
      <w:r w:rsidR="00A35898">
        <w:rPr>
          <w:iCs/>
          <w:spacing w:val="-5"/>
          <w:lang w:eastAsia="en-US"/>
        </w:rPr>
        <w:t>i</w:t>
      </w:r>
      <w:r w:rsidRPr="003331EF">
        <w:rPr>
          <w:iCs/>
          <w:spacing w:val="-5"/>
          <w:lang w:eastAsia="en-US"/>
        </w:rPr>
        <w:t>CA</w:t>
      </w:r>
      <w:proofErr w:type="spellEnd"/>
      <w:r w:rsidRPr="003331EF">
        <w:rPr>
          <w:iCs/>
          <w:spacing w:val="-5"/>
          <w:lang w:eastAsia="en-US"/>
        </w:rPr>
        <w:t xml:space="preserve"> määruse artikli 94 lõikes 1 on loetelu pädeva asutuste õigustest, on lõike 1 sõnastus jäetud analoogseks teistes finantssektori seadustes sätestatud ettekirjutuse alustega. Seda ka seetõttu, et neid saaks vajadusel kohaldada ka DORA määruses sätestatud nõuete rikkumiste korral (DORA määruse artikli 50 lõikes 4 on miinimumnimekiri pädeva asutuste meetmetest). Näiteks on DORA määruses välja toodud järgmise meetmed: (i) teha ettekirjutus, et füüsiline või juriidiline isik lõpetaks rikkumise ja hoiduks selle tegevuse kordamisest; (ii) õigus nõuda sellise tegevuse või tava ajutist või alalist peatamist, mis pädeva asutuse arvates on vastuolus määrusega, ning hoida ära sellise tegevuse või tava kordumine; (iii) võtta mis tahes liiki meetmeid, sealhulgas rahalisi meetmeid, tagamaks, et finantssektori ettevõtjad jätkavad õigusnormide järgimist ning (iv) väljastada avalikke teadaandeid rikkumise kohta.</w:t>
      </w:r>
    </w:p>
    <w:p w14:paraId="3EC32AC5" w14:textId="77777777" w:rsidR="003E11F3" w:rsidRPr="003331EF" w:rsidRDefault="003E11F3" w:rsidP="003331EF">
      <w:pPr>
        <w:spacing w:before="0"/>
      </w:pPr>
    </w:p>
    <w:p w14:paraId="560423B4" w14:textId="1B44BEF4" w:rsidR="00646CEE" w:rsidRPr="003331EF" w:rsidRDefault="001A4507" w:rsidP="003331EF">
      <w:pPr>
        <w:spacing w:before="0"/>
        <w:rPr>
          <w:iCs/>
          <w:spacing w:val="-5"/>
          <w:lang w:eastAsia="en-US"/>
        </w:rPr>
      </w:pPr>
      <w:r w:rsidRPr="003331EF">
        <w:rPr>
          <w:b/>
        </w:rPr>
        <w:t xml:space="preserve">Lõigetes 3–6 </w:t>
      </w:r>
      <w:r w:rsidRPr="003331EF">
        <w:rPr>
          <w:iCs/>
          <w:spacing w:val="-5"/>
          <w:lang w:eastAsia="en-US"/>
        </w:rPr>
        <w:t>on sedastatud Finantsinspektsiooni õigused ja kohustused</w:t>
      </w:r>
      <w:r w:rsidR="00A35898">
        <w:rPr>
          <w:iCs/>
          <w:spacing w:val="-5"/>
          <w:lang w:eastAsia="en-US"/>
        </w:rPr>
        <w:t xml:space="preserve"> kliendi</w:t>
      </w:r>
      <w:r w:rsidRPr="003331EF">
        <w:rPr>
          <w:iCs/>
          <w:spacing w:val="-5"/>
          <w:lang w:eastAsia="en-US"/>
        </w:rPr>
        <w:t xml:space="preserve"> vara kasutamise või käsutamise keelu või piirangu seadmise</w:t>
      </w:r>
      <w:r w:rsidR="00646CEE" w:rsidRPr="003331EF">
        <w:rPr>
          <w:iCs/>
          <w:spacing w:val="-5"/>
          <w:lang w:eastAsia="en-US"/>
        </w:rPr>
        <w:t>le</w:t>
      </w:r>
      <w:r w:rsidRPr="003331EF">
        <w:rPr>
          <w:iCs/>
          <w:spacing w:val="-5"/>
          <w:lang w:eastAsia="en-US"/>
        </w:rPr>
        <w:t xml:space="preserve"> ning teostamisele.</w:t>
      </w:r>
      <w:r w:rsidR="00646CEE" w:rsidRPr="003331EF">
        <w:rPr>
          <w:iCs/>
          <w:spacing w:val="-5"/>
          <w:lang w:eastAsia="en-US"/>
        </w:rPr>
        <w:t xml:space="preserve"> Näiteks</w:t>
      </w:r>
      <w:r w:rsidR="009C35B1">
        <w:rPr>
          <w:iCs/>
          <w:spacing w:val="-5"/>
          <w:lang w:eastAsia="en-US"/>
        </w:rPr>
        <w:t xml:space="preserve">, kui Finantsinspektsioonil on kahtlus, et </w:t>
      </w:r>
      <w:proofErr w:type="spellStart"/>
      <w:r w:rsidR="009C35B1">
        <w:rPr>
          <w:iCs/>
          <w:spacing w:val="-5"/>
          <w:lang w:eastAsia="en-US"/>
        </w:rPr>
        <w:t>krüptovaraturu</w:t>
      </w:r>
      <w:proofErr w:type="spellEnd"/>
      <w:r w:rsidR="009C35B1">
        <w:rPr>
          <w:iCs/>
          <w:spacing w:val="-5"/>
          <w:lang w:eastAsia="en-US"/>
        </w:rPr>
        <w:t xml:space="preserve"> osaline rikub </w:t>
      </w:r>
      <w:r w:rsidR="00EB3BB2" w:rsidRPr="003331EF">
        <w:rPr>
          <w:iCs/>
          <w:spacing w:val="-5"/>
          <w:lang w:eastAsia="en-US"/>
        </w:rPr>
        <w:t xml:space="preserve">õigusaktides ette nähtud </w:t>
      </w:r>
      <w:r w:rsidR="00646CEE" w:rsidRPr="003331EF">
        <w:rPr>
          <w:iCs/>
          <w:spacing w:val="-5"/>
          <w:lang w:eastAsia="en-US"/>
        </w:rPr>
        <w:t>nõu</w:t>
      </w:r>
      <w:r w:rsidR="009C35B1">
        <w:rPr>
          <w:iCs/>
          <w:spacing w:val="-5"/>
          <w:lang w:eastAsia="en-US"/>
        </w:rPr>
        <w:t xml:space="preserve">deid, võib Finantsinspektsioon teha ettekirjutuse, millega keelatakse </w:t>
      </w:r>
      <w:r w:rsidR="00646CEE" w:rsidRPr="003331EF">
        <w:rPr>
          <w:iCs/>
          <w:spacing w:val="-5"/>
          <w:lang w:eastAsia="en-US"/>
        </w:rPr>
        <w:t>kliendi vara kasutami</w:t>
      </w:r>
      <w:r w:rsidR="009C35B1">
        <w:rPr>
          <w:iCs/>
          <w:spacing w:val="-5"/>
          <w:lang w:eastAsia="en-US"/>
        </w:rPr>
        <w:t>ne</w:t>
      </w:r>
      <w:r w:rsidR="00646CEE" w:rsidRPr="003331EF">
        <w:rPr>
          <w:iCs/>
          <w:spacing w:val="-5"/>
          <w:lang w:eastAsia="en-US"/>
        </w:rPr>
        <w:t xml:space="preserve"> või käsutami</w:t>
      </w:r>
      <w:r w:rsidR="009C35B1">
        <w:rPr>
          <w:iCs/>
          <w:spacing w:val="-5"/>
          <w:lang w:eastAsia="en-US"/>
        </w:rPr>
        <w:t>ne. Samuti võib ettekirjutusega ette näha</w:t>
      </w:r>
      <w:r w:rsidR="00646CEE" w:rsidRPr="003331EF">
        <w:rPr>
          <w:iCs/>
          <w:spacing w:val="-5"/>
          <w:lang w:eastAsia="en-US"/>
        </w:rPr>
        <w:t xml:space="preserve"> piirangu </w:t>
      </w:r>
      <w:r w:rsidR="009C35B1">
        <w:rPr>
          <w:iCs/>
          <w:spacing w:val="-5"/>
          <w:lang w:eastAsia="en-US"/>
        </w:rPr>
        <w:t xml:space="preserve">kliendi </w:t>
      </w:r>
      <w:r w:rsidR="00646CEE" w:rsidRPr="003331EF">
        <w:rPr>
          <w:iCs/>
          <w:spacing w:val="-5"/>
          <w:lang w:eastAsia="en-US"/>
        </w:rPr>
        <w:t>vara säilimise tagamiseks kuni kolmekümneks päevaks ettekirjutuse jõustumisest arvates. Muu</w:t>
      </w:r>
      <w:r w:rsidR="003E0BFB">
        <w:rPr>
          <w:iCs/>
          <w:spacing w:val="-5"/>
          <w:lang w:eastAsia="en-US"/>
        </w:rPr>
        <w:t> </w:t>
      </w:r>
      <w:r w:rsidR="00646CEE" w:rsidRPr="003331EF">
        <w:rPr>
          <w:iCs/>
          <w:spacing w:val="-5"/>
          <w:lang w:eastAsia="en-US"/>
        </w:rPr>
        <w:t xml:space="preserve">hulgas on Finantsinspektsioonil õigus esitada </w:t>
      </w:r>
      <w:proofErr w:type="spellStart"/>
      <w:r w:rsidR="00646CEE" w:rsidRPr="003331EF">
        <w:rPr>
          <w:iCs/>
          <w:spacing w:val="-5"/>
          <w:lang w:eastAsia="en-US"/>
        </w:rPr>
        <w:t>krüptovarateenuse</w:t>
      </w:r>
      <w:proofErr w:type="spellEnd"/>
      <w:r w:rsidR="00646CEE" w:rsidRPr="003331EF">
        <w:rPr>
          <w:iCs/>
          <w:spacing w:val="-5"/>
          <w:lang w:eastAsia="en-US"/>
        </w:rPr>
        <w:t xml:space="preserve"> osutajale, krediidiasutusele, e-raha asutusele või makseasutusele motiveeritud avaldus </w:t>
      </w:r>
      <w:r w:rsidR="00B75C3A" w:rsidRPr="003331EF">
        <w:rPr>
          <w:iCs/>
          <w:spacing w:val="-5"/>
          <w:lang w:eastAsia="en-US"/>
        </w:rPr>
        <w:t>(avaldus, mis sisaldab F</w:t>
      </w:r>
      <w:r w:rsidR="0097096B" w:rsidRPr="003331EF">
        <w:rPr>
          <w:iCs/>
          <w:spacing w:val="-5"/>
          <w:lang w:eastAsia="en-US"/>
        </w:rPr>
        <w:t>inantsinspektsiooni</w:t>
      </w:r>
      <w:r w:rsidR="00B75C3A" w:rsidRPr="003331EF">
        <w:rPr>
          <w:iCs/>
          <w:spacing w:val="-5"/>
          <w:lang w:eastAsia="en-US"/>
        </w:rPr>
        <w:t xml:space="preserve"> motiive konto või rahakoti kasutamise piiramiseks/õigustamiseks) </w:t>
      </w:r>
      <w:r w:rsidR="00646CEE" w:rsidRPr="003331EF">
        <w:rPr>
          <w:iCs/>
          <w:spacing w:val="-5"/>
          <w:lang w:eastAsia="en-US"/>
        </w:rPr>
        <w:t xml:space="preserve">kliendi konto või </w:t>
      </w:r>
      <w:proofErr w:type="spellStart"/>
      <w:r w:rsidR="00646CEE" w:rsidRPr="003331EF">
        <w:rPr>
          <w:iCs/>
          <w:spacing w:val="-5"/>
          <w:lang w:eastAsia="en-US"/>
        </w:rPr>
        <w:t>krüptovara</w:t>
      </w:r>
      <w:proofErr w:type="spellEnd"/>
      <w:r w:rsidR="00646CEE" w:rsidRPr="003331EF">
        <w:rPr>
          <w:iCs/>
          <w:spacing w:val="-5"/>
          <w:lang w:eastAsia="en-US"/>
        </w:rPr>
        <w:t xml:space="preserve"> rahakoti kasutamise piiramiseks. </w:t>
      </w:r>
      <w:r w:rsidR="009C35B1">
        <w:rPr>
          <w:iCs/>
          <w:spacing w:val="-5"/>
          <w:lang w:eastAsia="en-US"/>
        </w:rPr>
        <w:t>Kui Finantsinspektsioon on k</w:t>
      </w:r>
      <w:r w:rsidR="00646CEE" w:rsidRPr="003331EF">
        <w:rPr>
          <w:iCs/>
          <w:spacing w:val="-5"/>
          <w:lang w:eastAsia="en-US"/>
        </w:rPr>
        <w:t xml:space="preserve">onto kasutamise piirangu </w:t>
      </w:r>
      <w:r w:rsidR="009C35B1">
        <w:rPr>
          <w:iCs/>
          <w:spacing w:val="-5"/>
          <w:lang w:eastAsia="en-US"/>
        </w:rPr>
        <w:t xml:space="preserve">ette näinud, siis selle keelu </w:t>
      </w:r>
      <w:r w:rsidR="00646CEE" w:rsidRPr="003331EF">
        <w:rPr>
          <w:iCs/>
          <w:spacing w:val="-5"/>
          <w:lang w:eastAsia="en-US"/>
        </w:rPr>
        <w:t xml:space="preserve">kehtimise ajal ei täida </w:t>
      </w:r>
      <w:proofErr w:type="spellStart"/>
      <w:r w:rsidR="00646CEE" w:rsidRPr="003331EF">
        <w:rPr>
          <w:iCs/>
          <w:spacing w:val="-5"/>
          <w:lang w:eastAsia="en-US"/>
        </w:rPr>
        <w:t>krüptovarateenuse</w:t>
      </w:r>
      <w:proofErr w:type="spellEnd"/>
      <w:r w:rsidR="00646CEE" w:rsidRPr="003331EF">
        <w:rPr>
          <w:iCs/>
          <w:spacing w:val="-5"/>
          <w:lang w:eastAsia="en-US"/>
        </w:rPr>
        <w:t xml:space="preserve"> osutaja või muu vastav isik talle Finantsinspektsiooni poolt teatavaks tehtud keelu või piirangu adressaadiks oleva konto valdaja või kolmanda isiku poolt kontol oleva vara kasutamiseks või käsutamiseks tehtud korraldust.</w:t>
      </w:r>
      <w:r w:rsidR="00EB3BB2" w:rsidRPr="003331EF">
        <w:rPr>
          <w:iCs/>
          <w:spacing w:val="-5"/>
          <w:lang w:eastAsia="en-US"/>
        </w:rPr>
        <w:t xml:space="preserve"> Piirangust või keelust vabaneb tähtaja möödudes või varem, kui kahtlus langeb ära enne tähtaja möödumist. Samas võib keeldu või piirangut pikendada üksnes siis, kui asjas on alustatud kriminaalmenetlus. </w:t>
      </w:r>
      <w:r w:rsidR="0097096B" w:rsidRPr="003331EF">
        <w:rPr>
          <w:iCs/>
          <w:spacing w:val="-5"/>
          <w:lang w:eastAsia="en-US"/>
        </w:rPr>
        <w:t xml:space="preserve">Pankrotimenetluse puhul otsustab kohus samamoodi, kas keelata võlgnikul oma vara käsutamist ilma ajutise halduri nõusolekuta. </w:t>
      </w:r>
    </w:p>
    <w:p w14:paraId="204D944A" w14:textId="77777777" w:rsidR="0097096B" w:rsidRPr="003331EF" w:rsidRDefault="0097096B" w:rsidP="003331EF">
      <w:pPr>
        <w:spacing w:before="0"/>
      </w:pPr>
    </w:p>
    <w:p w14:paraId="4FA43A22" w14:textId="703DBF6A" w:rsidR="001A4507" w:rsidRPr="003331EF" w:rsidRDefault="00EB3BB2" w:rsidP="003331EF">
      <w:pPr>
        <w:spacing w:before="0"/>
        <w:rPr>
          <w:b/>
          <w:bCs/>
        </w:rPr>
      </w:pPr>
      <w:r w:rsidRPr="003331EF">
        <w:rPr>
          <w:b/>
          <w:bCs/>
        </w:rPr>
        <w:t>Paragrahv 3</w:t>
      </w:r>
      <w:r w:rsidR="00864174" w:rsidRPr="003331EF">
        <w:rPr>
          <w:b/>
          <w:bCs/>
        </w:rPr>
        <w:t>5</w:t>
      </w:r>
      <w:r w:rsidRPr="003331EF">
        <w:rPr>
          <w:b/>
          <w:bCs/>
        </w:rPr>
        <w:t>. Juhtorgani kokkukutsumi</w:t>
      </w:r>
      <w:r w:rsidR="00864174" w:rsidRPr="003331EF">
        <w:rPr>
          <w:b/>
          <w:bCs/>
        </w:rPr>
        <w:t>sest teavitamine, Finantsinspektsiooni osalemine koosolekul</w:t>
      </w:r>
      <w:r w:rsidRPr="003331EF">
        <w:rPr>
          <w:b/>
          <w:bCs/>
        </w:rPr>
        <w:t xml:space="preserve"> ja juhtorgani otsuse kehtetuks tunnistamine Finantsinspektsiooni taotlusel</w:t>
      </w:r>
    </w:p>
    <w:p w14:paraId="08334955" w14:textId="77777777" w:rsidR="00EB3BB2" w:rsidRPr="003331EF" w:rsidRDefault="00EB3BB2" w:rsidP="003331EF">
      <w:pPr>
        <w:spacing w:before="0"/>
        <w:rPr>
          <w:i/>
          <w:iCs/>
        </w:rPr>
      </w:pPr>
    </w:p>
    <w:p w14:paraId="6A57175F" w14:textId="29752D9D" w:rsidR="001A4507" w:rsidRPr="003331EF" w:rsidRDefault="001A4507" w:rsidP="003331EF">
      <w:pPr>
        <w:spacing w:before="0"/>
        <w:rPr>
          <w:b/>
          <w:bCs/>
        </w:rPr>
      </w:pPr>
      <w:r w:rsidRPr="003331EF">
        <w:rPr>
          <w:b/>
          <w:bCs/>
        </w:rPr>
        <w:t>Paragrahv</w:t>
      </w:r>
      <w:r w:rsidR="00EB3BB2" w:rsidRPr="003331EF">
        <w:rPr>
          <w:b/>
          <w:bCs/>
        </w:rPr>
        <w:t>is</w:t>
      </w:r>
      <w:r w:rsidRPr="003331EF">
        <w:rPr>
          <w:b/>
          <w:bCs/>
        </w:rPr>
        <w:t xml:space="preserve"> </w:t>
      </w:r>
      <w:r w:rsidR="00EB3BB2" w:rsidRPr="003331EF">
        <w:rPr>
          <w:b/>
          <w:bCs/>
        </w:rPr>
        <w:t>3</w:t>
      </w:r>
      <w:r w:rsidR="00864174" w:rsidRPr="003331EF">
        <w:rPr>
          <w:b/>
          <w:bCs/>
        </w:rPr>
        <w:t>5</w:t>
      </w:r>
      <w:r w:rsidR="00EB3BB2" w:rsidRPr="003331EF">
        <w:rPr>
          <w:bCs/>
        </w:rPr>
        <w:t xml:space="preserve"> </w:t>
      </w:r>
      <w:r w:rsidRPr="003331EF">
        <w:rPr>
          <w:iCs/>
          <w:spacing w:val="-5"/>
          <w:lang w:eastAsia="en-US"/>
        </w:rPr>
        <w:t>sätestatakse nõuded juhtimisorganite kokkukutsumisele ja juhtimisorgani otsuse kehtetuks tunnistamisele Finantsinspektsiooni taotlusel.</w:t>
      </w:r>
    </w:p>
    <w:p w14:paraId="2A287C5E" w14:textId="77777777" w:rsidR="001A4507" w:rsidRPr="003331EF" w:rsidRDefault="001A4507" w:rsidP="003331EF">
      <w:pPr>
        <w:spacing w:before="0"/>
        <w:rPr>
          <w:b/>
          <w:bCs/>
          <w:i/>
          <w:iCs/>
        </w:rPr>
      </w:pPr>
    </w:p>
    <w:p w14:paraId="6E37E85B" w14:textId="7C02AC3A" w:rsidR="001A4507" w:rsidRPr="003331EF" w:rsidRDefault="001A4507" w:rsidP="003331EF">
      <w:pPr>
        <w:spacing w:before="0"/>
        <w:ind w:right="-64"/>
      </w:pPr>
      <w:r w:rsidRPr="003331EF">
        <w:rPr>
          <w:b/>
        </w:rPr>
        <w:t>Lõike 1</w:t>
      </w:r>
      <w:r w:rsidRPr="003331EF">
        <w:t xml:space="preserve"> </w:t>
      </w:r>
      <w:r w:rsidRPr="003331EF">
        <w:rPr>
          <w:iCs/>
          <w:spacing w:val="-5"/>
          <w:lang w:eastAsia="en-US"/>
        </w:rPr>
        <w:t xml:space="preserve">kohaselt peab </w:t>
      </w:r>
      <w:proofErr w:type="spellStart"/>
      <w:r w:rsidRPr="003331EF">
        <w:rPr>
          <w:iCs/>
          <w:spacing w:val="-5"/>
          <w:lang w:eastAsia="en-US"/>
        </w:rPr>
        <w:t>krüptovaraturu</w:t>
      </w:r>
      <w:proofErr w:type="spellEnd"/>
      <w:r w:rsidRPr="003331EF">
        <w:rPr>
          <w:iCs/>
          <w:spacing w:val="-5"/>
          <w:lang w:eastAsia="en-US"/>
        </w:rPr>
        <w:t xml:space="preserve"> osaline teavitama üldkoosoleku</w:t>
      </w:r>
      <w:r w:rsidR="00A06E57" w:rsidRPr="003331EF">
        <w:rPr>
          <w:iCs/>
          <w:spacing w:val="-5"/>
          <w:lang w:eastAsia="en-US"/>
        </w:rPr>
        <w:t>, osanike koosoleku ja nõukogu koosoleku</w:t>
      </w:r>
      <w:r w:rsidRPr="003331EF">
        <w:rPr>
          <w:iCs/>
          <w:spacing w:val="-5"/>
          <w:lang w:eastAsia="en-US"/>
        </w:rPr>
        <w:t xml:space="preserve"> toimumisest Finantsinspektsiooni vähemalt kaks nädalat ette ja kui tegemist on erakorralise üldkoosoleku toimumisega, siis tuleks võimalusel teavitada üks nädal ette.</w:t>
      </w:r>
    </w:p>
    <w:p w14:paraId="71D9CC76" w14:textId="77777777" w:rsidR="001A4507" w:rsidRPr="003331EF" w:rsidRDefault="001A4507" w:rsidP="003331EF">
      <w:pPr>
        <w:spacing w:before="0"/>
        <w:ind w:right="-64"/>
        <w:rPr>
          <w:i/>
          <w:iCs/>
          <w:u w:val="single"/>
        </w:rPr>
      </w:pPr>
    </w:p>
    <w:p w14:paraId="4B85D02A" w14:textId="0A462698" w:rsidR="001A4507" w:rsidRPr="003331EF" w:rsidRDefault="001A4507" w:rsidP="003331EF">
      <w:pPr>
        <w:spacing w:before="0"/>
      </w:pPr>
      <w:r w:rsidRPr="003331EF">
        <w:rPr>
          <w:b/>
        </w:rPr>
        <w:t>Lõige 2</w:t>
      </w:r>
      <w:r w:rsidRPr="003331EF">
        <w:t xml:space="preserve"> s</w:t>
      </w:r>
      <w:r w:rsidRPr="003331EF">
        <w:rPr>
          <w:iCs/>
          <w:spacing w:val="-5"/>
          <w:lang w:eastAsia="en-US"/>
        </w:rPr>
        <w:t xml:space="preserve">ätestab, et Finantsinspektsioon võib ettekirjutusega nõuda </w:t>
      </w:r>
      <w:proofErr w:type="spellStart"/>
      <w:r w:rsidRPr="003331EF">
        <w:rPr>
          <w:iCs/>
          <w:spacing w:val="-5"/>
          <w:lang w:eastAsia="en-US"/>
        </w:rPr>
        <w:t>krüptovaraturu</w:t>
      </w:r>
      <w:proofErr w:type="spellEnd"/>
      <w:r w:rsidRPr="003331EF">
        <w:rPr>
          <w:iCs/>
          <w:spacing w:val="-5"/>
          <w:lang w:eastAsia="en-US"/>
        </w:rPr>
        <w:t xml:space="preserve"> osalise juhtimisorganite kokkukutsumist. Lisaks võib Finantsinspektsioon nõuda Finantsinspektsiooni arvamuse kohaselt vajaliku küsimuse päevakorda võtmiseks. Olukorras, kus võib juhtuda, et Finantsinspektsiooni ettekirjutust ei täideta ja/või seiskab selle teatud ajaks (kas või ajutiselt seisukoha küsimiseks) kohtumenetlus, võib tekkida risk, et teatud olulisi küsimusi ei saa koosolekule otsustamisele panna. Lõike eesmärk on tagada, et Finantsinspektsioonil on õigus kokku kutsuda koosolek ja määrata </w:t>
      </w:r>
      <w:r w:rsidR="004D5FFB" w:rsidRPr="003331EF">
        <w:rPr>
          <w:iCs/>
          <w:spacing w:val="-5"/>
          <w:lang w:eastAsia="en-US"/>
        </w:rPr>
        <w:t xml:space="preserve">selle </w:t>
      </w:r>
      <w:r w:rsidRPr="003331EF">
        <w:rPr>
          <w:iCs/>
          <w:spacing w:val="-5"/>
          <w:lang w:eastAsia="en-US"/>
        </w:rPr>
        <w:t xml:space="preserve">päevakord, kui ei ole täidetud </w:t>
      </w:r>
      <w:r w:rsidR="004D5FFB" w:rsidRPr="003331EF">
        <w:rPr>
          <w:iCs/>
          <w:spacing w:val="-5"/>
          <w:lang w:eastAsia="en-US"/>
        </w:rPr>
        <w:t>Finantsinspektsiooni</w:t>
      </w:r>
      <w:r w:rsidRPr="003331EF">
        <w:rPr>
          <w:iCs/>
          <w:spacing w:val="-5"/>
          <w:lang w:eastAsia="en-US"/>
        </w:rPr>
        <w:t xml:space="preserve"> ettekirjutust.</w:t>
      </w:r>
    </w:p>
    <w:p w14:paraId="678FBA7D" w14:textId="77777777" w:rsidR="001A4507" w:rsidRPr="003331EF" w:rsidRDefault="001A4507" w:rsidP="003331EF">
      <w:pPr>
        <w:spacing w:before="0"/>
        <w:ind w:right="-64"/>
        <w:rPr>
          <w:i/>
          <w:iCs/>
          <w:u w:val="single"/>
        </w:rPr>
      </w:pPr>
    </w:p>
    <w:p w14:paraId="0FF24872" w14:textId="14CC7DCC" w:rsidR="001A4507" w:rsidRPr="003331EF" w:rsidRDefault="001A4507" w:rsidP="003331EF">
      <w:pPr>
        <w:spacing w:before="0"/>
        <w:ind w:right="-62"/>
      </w:pPr>
      <w:r w:rsidRPr="003331EF">
        <w:rPr>
          <w:b/>
        </w:rPr>
        <w:t xml:space="preserve">Lõige 3 </w:t>
      </w:r>
      <w:r w:rsidRPr="003331EF">
        <w:rPr>
          <w:iCs/>
          <w:spacing w:val="-5"/>
          <w:lang w:eastAsia="en-US"/>
        </w:rPr>
        <w:t xml:space="preserve">annab Finantsinspektsioonile õiguse ilma ette teatamiseta koosolekul osaleda. Finantsinspektsiooni esindajal on õigus koosolekul esitada oma seisukohti, teha ettepanekuid ja nõuda nende kandmist koosoleku protokolli. Samasisuline säte on kehtestatud </w:t>
      </w:r>
      <w:r w:rsidR="003E0BFB">
        <w:rPr>
          <w:iCs/>
          <w:spacing w:val="-5"/>
          <w:lang w:eastAsia="en-US"/>
        </w:rPr>
        <w:t>praegu</w:t>
      </w:r>
      <w:r w:rsidRPr="003331EF">
        <w:rPr>
          <w:iCs/>
          <w:spacing w:val="-5"/>
          <w:lang w:eastAsia="en-US"/>
        </w:rPr>
        <w:t xml:space="preserve"> kõigis teistes kehtivates finantssektori ettevõtjate tegevust reguleerivates eriseadustes. Järelevalve mandaat on arvestada finantsteenuste osutajate klientide huvidega </w:t>
      </w:r>
      <w:r w:rsidR="003E0BFB">
        <w:rPr>
          <w:iCs/>
          <w:spacing w:val="-5"/>
          <w:lang w:eastAsia="en-US"/>
        </w:rPr>
        <w:t>ja</w:t>
      </w:r>
      <w:r w:rsidRPr="003331EF">
        <w:rPr>
          <w:iCs/>
          <w:spacing w:val="-5"/>
          <w:lang w:eastAsia="en-US"/>
        </w:rPr>
        <w:t xml:space="preserve"> äärmuslikel juhtudel võib olla vajalik, et Finantsinspektsiooni esindajad saaksid juhtorganite liikmete koosolekule oma esindajaid.</w:t>
      </w:r>
    </w:p>
    <w:p w14:paraId="5CD1FAA1" w14:textId="77777777" w:rsidR="001A4507" w:rsidRPr="003331EF" w:rsidRDefault="001A4507" w:rsidP="003331EF">
      <w:pPr>
        <w:spacing w:before="0"/>
        <w:ind w:right="-64"/>
        <w:rPr>
          <w:highlight w:val="yellow"/>
          <w:u w:val="single"/>
        </w:rPr>
      </w:pPr>
    </w:p>
    <w:p w14:paraId="7E88DBAF" w14:textId="4316B893" w:rsidR="001A4507" w:rsidRPr="003331EF" w:rsidRDefault="001A4507" w:rsidP="003331EF">
      <w:pPr>
        <w:spacing w:before="0"/>
        <w:ind w:right="-64"/>
      </w:pPr>
      <w:r w:rsidRPr="003331EF">
        <w:rPr>
          <w:b/>
        </w:rPr>
        <w:t>Lõikega 4</w:t>
      </w:r>
      <w:r w:rsidRPr="003331EF">
        <w:t xml:space="preserve"> </w:t>
      </w:r>
      <w:r w:rsidRPr="003331EF">
        <w:rPr>
          <w:iCs/>
          <w:spacing w:val="-5"/>
          <w:lang w:eastAsia="en-US"/>
        </w:rPr>
        <w:t xml:space="preserve">sätestatakse riikliku finantsjärelevalve raames rakendatav abinõu, mille eesmärk on tagada Finantsinspektsiooni seaduse § 3 lõikes 1 nimetatud avalikud huvid. Avalikule võimule on antud õigus sekkuda </w:t>
      </w:r>
      <w:proofErr w:type="spellStart"/>
      <w:r w:rsidRPr="003331EF">
        <w:rPr>
          <w:iCs/>
          <w:spacing w:val="-5"/>
          <w:lang w:eastAsia="en-US"/>
        </w:rPr>
        <w:t>krüptovaraturu</w:t>
      </w:r>
      <w:proofErr w:type="spellEnd"/>
      <w:r w:rsidRPr="003331EF">
        <w:rPr>
          <w:iCs/>
          <w:spacing w:val="-5"/>
          <w:lang w:eastAsia="en-US"/>
        </w:rPr>
        <w:t xml:space="preserve"> osalise juhtimisotsustesse, mida kohus saab rakendada üksnes Finantsinspektsiooni taotluse alusel.</w:t>
      </w:r>
    </w:p>
    <w:p w14:paraId="6360C9AD" w14:textId="77777777" w:rsidR="001A4507" w:rsidRPr="003331EF" w:rsidRDefault="001A4507" w:rsidP="003331EF">
      <w:pPr>
        <w:spacing w:before="0"/>
        <w:rPr>
          <w:b/>
          <w:bCs/>
          <w:i/>
          <w:iCs/>
        </w:rPr>
      </w:pPr>
    </w:p>
    <w:p w14:paraId="1813527F" w14:textId="5A69FE03" w:rsidR="002E4BB8" w:rsidRPr="003331EF" w:rsidRDefault="002E4BB8" w:rsidP="003331EF">
      <w:pPr>
        <w:spacing w:before="0"/>
        <w:rPr>
          <w:b/>
          <w:bCs/>
        </w:rPr>
      </w:pPr>
      <w:r w:rsidRPr="003331EF">
        <w:rPr>
          <w:b/>
          <w:bCs/>
        </w:rPr>
        <w:t>Paragrahv 3</w:t>
      </w:r>
      <w:r w:rsidR="00225DBE" w:rsidRPr="003331EF">
        <w:rPr>
          <w:b/>
          <w:bCs/>
        </w:rPr>
        <w:t>6</w:t>
      </w:r>
      <w:r w:rsidRPr="003331EF">
        <w:rPr>
          <w:b/>
          <w:bCs/>
        </w:rPr>
        <w:t>. Sunniraha</w:t>
      </w:r>
    </w:p>
    <w:p w14:paraId="4E7888DA" w14:textId="77777777" w:rsidR="002E4BB8" w:rsidRPr="003331EF" w:rsidRDefault="002E4BB8" w:rsidP="003331EF">
      <w:pPr>
        <w:spacing w:before="0"/>
        <w:rPr>
          <w:b/>
          <w:bCs/>
        </w:rPr>
      </w:pPr>
    </w:p>
    <w:p w14:paraId="31019588" w14:textId="0CB55278" w:rsidR="005C4C44" w:rsidRPr="003331EF" w:rsidRDefault="001A4507" w:rsidP="003331EF">
      <w:pPr>
        <w:spacing w:before="0"/>
        <w:rPr>
          <w:iCs/>
          <w:spacing w:val="-5"/>
          <w:lang w:eastAsia="en-US"/>
        </w:rPr>
      </w:pPr>
      <w:r w:rsidRPr="003331EF">
        <w:rPr>
          <w:b/>
          <w:bCs/>
        </w:rPr>
        <w:t xml:space="preserve">Paragrahv </w:t>
      </w:r>
      <w:r w:rsidR="002E4BB8" w:rsidRPr="003331EF">
        <w:rPr>
          <w:b/>
          <w:bCs/>
        </w:rPr>
        <w:t>3</w:t>
      </w:r>
      <w:r w:rsidR="00E66F7A" w:rsidRPr="003331EF">
        <w:rPr>
          <w:b/>
          <w:bCs/>
        </w:rPr>
        <w:t>6</w:t>
      </w:r>
      <w:r w:rsidRPr="003331EF">
        <w:rPr>
          <w:b/>
          <w:bCs/>
        </w:rPr>
        <w:t xml:space="preserve">. </w:t>
      </w:r>
      <w:r w:rsidRPr="003331EF">
        <w:rPr>
          <w:iCs/>
          <w:spacing w:val="-5"/>
          <w:lang w:eastAsia="en-US"/>
        </w:rPr>
        <w:t xml:space="preserve">Finantsinspektsioonile antakse õigus rakendada </w:t>
      </w:r>
      <w:proofErr w:type="spellStart"/>
      <w:r w:rsidRPr="003331EF">
        <w:rPr>
          <w:iCs/>
          <w:spacing w:val="-5"/>
          <w:lang w:eastAsia="en-US"/>
        </w:rPr>
        <w:t>krüptovaraturu</w:t>
      </w:r>
      <w:proofErr w:type="spellEnd"/>
      <w:r w:rsidRPr="003331EF">
        <w:rPr>
          <w:iCs/>
          <w:spacing w:val="-5"/>
          <w:lang w:eastAsia="en-US"/>
        </w:rPr>
        <w:t xml:space="preserve"> osalise suhtes ettekirjutuse või muu haldusakti </w:t>
      </w:r>
      <w:r w:rsidR="003824C9" w:rsidRPr="003331EF">
        <w:rPr>
          <w:iCs/>
          <w:spacing w:val="-5"/>
          <w:lang w:eastAsia="en-US"/>
        </w:rPr>
        <w:t xml:space="preserve">(nt </w:t>
      </w:r>
      <w:r w:rsidR="00197240" w:rsidRPr="003331EF">
        <w:rPr>
          <w:iCs/>
          <w:spacing w:val="-5"/>
          <w:lang w:eastAsia="en-US"/>
        </w:rPr>
        <w:t xml:space="preserve">eelnõu kohaselt ka </w:t>
      </w:r>
      <w:proofErr w:type="spellStart"/>
      <w:r w:rsidR="00197240" w:rsidRPr="003331EF">
        <w:rPr>
          <w:iCs/>
          <w:spacing w:val="-5"/>
          <w:lang w:eastAsia="en-US"/>
        </w:rPr>
        <w:t>kohapelase</w:t>
      </w:r>
      <w:proofErr w:type="spellEnd"/>
      <w:r w:rsidR="00197240" w:rsidRPr="003331EF">
        <w:rPr>
          <w:iCs/>
          <w:spacing w:val="-5"/>
          <w:lang w:eastAsia="en-US"/>
        </w:rPr>
        <w:t xml:space="preserve"> kontrolli lõppakt</w:t>
      </w:r>
      <w:r w:rsidR="003824C9" w:rsidRPr="003331EF">
        <w:rPr>
          <w:iCs/>
          <w:spacing w:val="-5"/>
          <w:lang w:eastAsia="en-US"/>
        </w:rPr>
        <w:t xml:space="preserve">) </w:t>
      </w:r>
      <w:r w:rsidRPr="003331EF">
        <w:rPr>
          <w:iCs/>
          <w:spacing w:val="-5"/>
          <w:lang w:eastAsia="en-US"/>
        </w:rPr>
        <w:t xml:space="preserve">täitmata jätmise või mittekohase täitmise korral sunniraha. Rakendatavad sunniraha määrad peaksid sundima ettekirjutusega kohustust täitma. </w:t>
      </w:r>
      <w:r w:rsidR="00FE6E2D" w:rsidRPr="003331EF">
        <w:rPr>
          <w:iCs/>
          <w:spacing w:val="-5"/>
          <w:lang w:eastAsia="en-US"/>
        </w:rPr>
        <w:t>Kuna asendustäitmise ja sunniraha seaduse § 10 lg 2 kohaselt sätestab sunniraha igakordse rakendamise ülemmäära seadus, on käesolevas eelnõu paragrahvis sätestatud sunniraha ülemmäärad.</w:t>
      </w:r>
      <w:r w:rsidR="00225DBE" w:rsidRPr="003331EF">
        <w:rPr>
          <w:iCs/>
          <w:spacing w:val="-5"/>
          <w:lang w:eastAsia="en-US"/>
        </w:rPr>
        <w:t xml:space="preserve"> </w:t>
      </w:r>
      <w:r w:rsidR="005C4C44" w:rsidRPr="003331EF">
        <w:rPr>
          <w:iCs/>
          <w:spacing w:val="-5"/>
          <w:lang w:eastAsia="en-US"/>
        </w:rPr>
        <w:t xml:space="preserve">Sunniraha määrade </w:t>
      </w:r>
      <w:r w:rsidR="00225DBE" w:rsidRPr="003331EF">
        <w:rPr>
          <w:iCs/>
          <w:spacing w:val="-5"/>
          <w:lang w:eastAsia="en-US"/>
        </w:rPr>
        <w:t>reguleerimisel</w:t>
      </w:r>
      <w:r w:rsidR="005C4C44" w:rsidRPr="003331EF">
        <w:rPr>
          <w:iCs/>
          <w:spacing w:val="-5"/>
          <w:lang w:eastAsia="en-US"/>
        </w:rPr>
        <w:t xml:space="preserve"> on võetud lähenemine, et lisaks kõrgele rahatrahvile </w:t>
      </w:r>
      <w:r w:rsidR="00225DBE" w:rsidRPr="003331EF">
        <w:rPr>
          <w:iCs/>
          <w:spacing w:val="-5"/>
          <w:lang w:eastAsia="en-US"/>
        </w:rPr>
        <w:t xml:space="preserve">(vt vastutuse </w:t>
      </w:r>
      <w:proofErr w:type="spellStart"/>
      <w:r w:rsidR="00225DBE" w:rsidRPr="003331EF">
        <w:rPr>
          <w:iCs/>
          <w:spacing w:val="-5"/>
          <w:lang w:eastAsia="en-US"/>
        </w:rPr>
        <w:t>ptk</w:t>
      </w:r>
      <w:proofErr w:type="spellEnd"/>
      <w:r w:rsidR="00225DBE" w:rsidRPr="003331EF">
        <w:rPr>
          <w:iCs/>
          <w:spacing w:val="-5"/>
          <w:lang w:eastAsia="en-US"/>
        </w:rPr>
        <w:t xml:space="preserve">) </w:t>
      </w:r>
      <w:r w:rsidR="005C4C44" w:rsidRPr="003331EF">
        <w:rPr>
          <w:iCs/>
          <w:spacing w:val="-5"/>
          <w:lang w:eastAsia="en-US"/>
        </w:rPr>
        <w:t xml:space="preserve">on ka muud haldusmeetmed tõhusad ja proportsionaalsed </w:t>
      </w:r>
      <w:r w:rsidR="00225DBE" w:rsidRPr="003331EF">
        <w:rPr>
          <w:iCs/>
          <w:spacing w:val="-5"/>
          <w:lang w:eastAsia="en-US"/>
        </w:rPr>
        <w:t xml:space="preserve">vastavalt </w:t>
      </w:r>
      <w:r w:rsidR="005C4C44" w:rsidRPr="003331EF">
        <w:rPr>
          <w:iCs/>
          <w:spacing w:val="-5"/>
          <w:lang w:eastAsia="en-US"/>
        </w:rPr>
        <w:t>ettevõtja tegevuse ulatuse ja keerukusele ning eelkõige motiveerivad ettevõtjaid ettekirjutusi täitma.</w:t>
      </w:r>
    </w:p>
    <w:p w14:paraId="2261DD51" w14:textId="77777777" w:rsidR="00FE6E2D" w:rsidRPr="003331EF" w:rsidRDefault="00FE6E2D" w:rsidP="003331EF">
      <w:pPr>
        <w:spacing w:before="0"/>
        <w:rPr>
          <w:iCs/>
          <w:spacing w:val="-5"/>
          <w:lang w:eastAsia="en-US"/>
        </w:rPr>
      </w:pPr>
    </w:p>
    <w:p w14:paraId="7598C681" w14:textId="0ACBBB65" w:rsidR="00FE6E2D" w:rsidRPr="003331EF" w:rsidRDefault="001A4507" w:rsidP="003331EF">
      <w:pPr>
        <w:spacing w:before="0"/>
        <w:rPr>
          <w:iCs/>
          <w:spacing w:val="-5"/>
          <w:lang w:eastAsia="en-US"/>
        </w:rPr>
      </w:pPr>
      <w:r w:rsidRPr="003331EF">
        <w:rPr>
          <w:iCs/>
          <w:spacing w:val="-5"/>
          <w:lang w:eastAsia="en-US"/>
        </w:rPr>
        <w:t>Haldusakti täitmata jätmise või ebakohase täitmise korral on sunniraha ülemmäär füüsilise isiku puhul esimesel korral kuni 5000 eurot ja järgmistel kordadel kuni 50 000 eurot ühe ja sama kohustuse täitmisele sundimiseks, kuid kokku mitte rohkem kui 5 000 000</w:t>
      </w:r>
      <w:r w:rsidR="00197240" w:rsidRPr="003331EF">
        <w:rPr>
          <w:shd w:val="clear" w:color="auto" w:fill="FFFFFF"/>
        </w:rPr>
        <w:t>.</w:t>
      </w:r>
    </w:p>
    <w:p w14:paraId="571B61C6" w14:textId="77777777" w:rsidR="00FE6E2D" w:rsidRPr="003331EF" w:rsidRDefault="00FE6E2D" w:rsidP="003331EF">
      <w:pPr>
        <w:spacing w:before="0"/>
        <w:rPr>
          <w:iCs/>
          <w:spacing w:val="-5"/>
          <w:lang w:eastAsia="en-US"/>
        </w:rPr>
      </w:pPr>
    </w:p>
    <w:p w14:paraId="6B4F6306" w14:textId="6710688C" w:rsidR="004C7318" w:rsidRPr="003331EF" w:rsidRDefault="00FE6E2D" w:rsidP="003331EF">
      <w:pPr>
        <w:spacing w:before="0"/>
      </w:pPr>
      <w:r w:rsidRPr="003331EF">
        <w:rPr>
          <w:iCs/>
          <w:spacing w:val="-5"/>
          <w:lang w:eastAsia="en-US"/>
        </w:rPr>
        <w:t>J</w:t>
      </w:r>
      <w:r w:rsidR="001A4507" w:rsidRPr="003331EF">
        <w:rPr>
          <w:iCs/>
          <w:spacing w:val="-5"/>
          <w:lang w:eastAsia="en-US"/>
        </w:rPr>
        <w:t xml:space="preserve">uriidilise isiku puhul </w:t>
      </w:r>
      <w:r w:rsidRPr="003331EF">
        <w:rPr>
          <w:iCs/>
          <w:spacing w:val="-5"/>
          <w:lang w:eastAsia="en-US"/>
        </w:rPr>
        <w:t xml:space="preserve">on sunniraha </w:t>
      </w:r>
      <w:r w:rsidR="001A4507" w:rsidRPr="003331EF">
        <w:rPr>
          <w:iCs/>
          <w:spacing w:val="-5"/>
          <w:lang w:eastAsia="en-US"/>
        </w:rPr>
        <w:t xml:space="preserve">kuni 32 000 eurot ja järgmistel kordadel kuni 100 000 eurot ühe ja sama kohustuse täitmisele sundimiseks, </w:t>
      </w:r>
      <w:r w:rsidR="00BA1BEE">
        <w:rPr>
          <w:iCs/>
          <w:spacing w:val="-5"/>
          <w:lang w:eastAsia="en-US"/>
        </w:rPr>
        <w:t xml:space="preserve">kuid </w:t>
      </w:r>
      <w:r w:rsidR="004C7318" w:rsidRPr="003331EF">
        <w:rPr>
          <w:shd w:val="clear" w:color="auto" w:fill="FFFFFF"/>
        </w:rPr>
        <w:t xml:space="preserve">kokku </w:t>
      </w:r>
      <w:r w:rsidR="00BA1BEE">
        <w:rPr>
          <w:shd w:val="clear" w:color="auto" w:fill="FFFFFF"/>
        </w:rPr>
        <w:t>mitte rohkem kui</w:t>
      </w:r>
      <w:r w:rsidR="004C7318" w:rsidRPr="003331EF">
        <w:rPr>
          <w:shd w:val="clear" w:color="auto" w:fill="FFFFFF"/>
        </w:rPr>
        <w:t xml:space="preserve"> 5 000 000 eurot või kuni kümme protsenti juriidilise isiku kogukäibest vastavalt viimasele kättesaadavale raamatupidamisaruandele. Kui juriidiline isik on emaettevõtja või sellise emaettevõtja tütarettevõtja, kes peab koostama konsolideeritud raamatupidamisaruandeid, siis on esimeses lauses nimetatud kogukäive aastane kogukäive või vastav tululiik konsolideerimisgrupi emaettevõtja viimase kättesaadava konsolideeritud raamatupidamisaruande järgi</w:t>
      </w:r>
      <w:r w:rsidR="004C7318" w:rsidRPr="003331EF">
        <w:t>, mille on heaks kiitnud kõrgeima taseme emaettevõtja juhtimisorgan</w:t>
      </w:r>
    </w:p>
    <w:p w14:paraId="2BD5F2AE" w14:textId="77777777" w:rsidR="001A4507" w:rsidRPr="003331EF" w:rsidRDefault="001A4507" w:rsidP="003331EF">
      <w:pPr>
        <w:spacing w:before="0"/>
        <w:rPr>
          <w:bCs/>
          <w:i/>
          <w:iCs/>
        </w:rPr>
      </w:pPr>
    </w:p>
    <w:p w14:paraId="49CBCBCF" w14:textId="10E5D458" w:rsidR="001A4507" w:rsidRPr="003331EF" w:rsidRDefault="002E4BB8" w:rsidP="003331EF">
      <w:pPr>
        <w:spacing w:before="0"/>
        <w:ind w:right="-83"/>
        <w:rPr>
          <w:b/>
          <w:bCs/>
        </w:rPr>
      </w:pPr>
      <w:bookmarkStart w:id="72" w:name="para73"/>
      <w:bookmarkStart w:id="73" w:name="_Toc48637194"/>
      <w:bookmarkStart w:id="74" w:name="_Toc55577740"/>
      <w:bookmarkEnd w:id="72"/>
      <w:r w:rsidRPr="003331EF">
        <w:rPr>
          <w:b/>
          <w:bCs/>
        </w:rPr>
        <w:t>8</w:t>
      </w:r>
      <w:r w:rsidR="001A4507" w:rsidRPr="003331EF">
        <w:rPr>
          <w:b/>
          <w:bCs/>
        </w:rPr>
        <w:t xml:space="preserve">. peatükk sätestab vastutusega seotud normid. </w:t>
      </w:r>
    </w:p>
    <w:p w14:paraId="2A56B2CC" w14:textId="77777777" w:rsidR="001A4507" w:rsidRPr="003331EF" w:rsidRDefault="001A4507" w:rsidP="003331EF">
      <w:pPr>
        <w:spacing w:before="0"/>
        <w:ind w:right="-83"/>
        <w:rPr>
          <w:bCs/>
          <w:i/>
          <w:iCs/>
        </w:rPr>
      </w:pPr>
    </w:p>
    <w:p w14:paraId="5B15F37B" w14:textId="548461E1" w:rsidR="001A4507" w:rsidRPr="003331EF" w:rsidRDefault="001A4507" w:rsidP="003331EF">
      <w:pPr>
        <w:spacing w:before="0"/>
        <w:ind w:right="-83"/>
        <w:rPr>
          <w:iCs/>
          <w:spacing w:val="-5"/>
          <w:lang w:eastAsia="en-US"/>
        </w:rPr>
      </w:pPr>
      <w:r w:rsidRPr="003331EF">
        <w:rPr>
          <w:iCs/>
          <w:spacing w:val="-5"/>
          <w:lang w:eastAsia="en-US"/>
        </w:rPr>
        <w:t xml:space="preserve">Viidatud peatükk käsitleb Finantsinspektsiooni määratavaid võimalikke sanktsioone käesolevas seaduses,  </w:t>
      </w:r>
      <w:proofErr w:type="spellStart"/>
      <w:r w:rsidRPr="003331EF">
        <w:rPr>
          <w:iCs/>
          <w:spacing w:val="-5"/>
          <w:lang w:eastAsia="en-US"/>
        </w:rPr>
        <w:t>M</w:t>
      </w:r>
      <w:r w:rsidR="00A35898">
        <w:rPr>
          <w:iCs/>
          <w:spacing w:val="-5"/>
          <w:lang w:eastAsia="en-US"/>
        </w:rPr>
        <w:t>i</w:t>
      </w:r>
      <w:r w:rsidRPr="003331EF">
        <w:rPr>
          <w:iCs/>
          <w:spacing w:val="-5"/>
          <w:lang w:eastAsia="en-US"/>
        </w:rPr>
        <w:t>CA</w:t>
      </w:r>
      <w:proofErr w:type="spellEnd"/>
      <w:r w:rsidRPr="003331EF">
        <w:rPr>
          <w:iCs/>
          <w:spacing w:val="-5"/>
          <w:lang w:eastAsia="en-US"/>
        </w:rPr>
        <w:t xml:space="preserve"> määruses ja DOR</w:t>
      </w:r>
      <w:r w:rsidR="000204BC" w:rsidRPr="003331EF">
        <w:rPr>
          <w:iCs/>
          <w:spacing w:val="-5"/>
          <w:lang w:eastAsia="en-US"/>
        </w:rPr>
        <w:t>A</w:t>
      </w:r>
      <w:r w:rsidRPr="003331EF">
        <w:rPr>
          <w:iCs/>
          <w:spacing w:val="-5"/>
          <w:lang w:eastAsia="en-US"/>
        </w:rPr>
        <w:t xml:space="preserve"> määruses sätestatud rikkumiste eest. Selleks, et tagada õigusaktide tõhus jõustamine, tuleb kehtestada asjakohased menetlused nende </w:t>
      </w:r>
      <w:proofErr w:type="spellStart"/>
      <w:r w:rsidRPr="003331EF">
        <w:rPr>
          <w:iCs/>
          <w:spacing w:val="-5"/>
          <w:lang w:eastAsia="en-US"/>
        </w:rPr>
        <w:t>krüptovaraturu</w:t>
      </w:r>
      <w:proofErr w:type="spellEnd"/>
      <w:r w:rsidRPr="003331EF">
        <w:rPr>
          <w:iCs/>
          <w:spacing w:val="-5"/>
          <w:lang w:eastAsia="en-US"/>
        </w:rPr>
        <w:t xml:space="preserve"> osaliste </w:t>
      </w:r>
      <w:r w:rsidRPr="003331EF">
        <w:rPr>
          <w:iCs/>
          <w:spacing w:val="-5"/>
          <w:lang w:eastAsia="en-US"/>
        </w:rPr>
        <w:lastRenderedPageBreak/>
        <w:t xml:space="preserve">suhtes, kes ei täida reguleerivaid õigusakte. Üldine põhimõte on, et karistused peavad olema tõhusad, proportsionaalsed ja hoiatavad. </w:t>
      </w:r>
    </w:p>
    <w:p w14:paraId="742A9870" w14:textId="77777777" w:rsidR="001A4507" w:rsidRPr="003331EF" w:rsidRDefault="001A4507" w:rsidP="003331EF">
      <w:pPr>
        <w:spacing w:before="0"/>
        <w:ind w:right="-83"/>
        <w:rPr>
          <w:bCs/>
        </w:rPr>
      </w:pPr>
    </w:p>
    <w:p w14:paraId="2126E9F7" w14:textId="77777777" w:rsidR="001A4507" w:rsidRPr="003331EF" w:rsidRDefault="001A4507" w:rsidP="003331EF">
      <w:pPr>
        <w:spacing w:before="0"/>
        <w:ind w:right="-83"/>
        <w:rPr>
          <w:iCs/>
          <w:spacing w:val="-5"/>
          <w:lang w:eastAsia="en-US"/>
        </w:rPr>
      </w:pPr>
      <w:r w:rsidRPr="003331EF">
        <w:rPr>
          <w:iCs/>
          <w:spacing w:val="-5"/>
          <w:lang w:eastAsia="en-US"/>
        </w:rPr>
        <w:t xml:space="preserve">Finantsjärelevalve prioriteet on riskihinnangute alusel konkreetse ohu tõrjumine. Üldjuhul on Finantsinspektsioonil võimalik õiguskorda kaitsta ettekirjutuse tegemise teel, mille mittetäitmisel on õigus rakendada sunniraha. Sellest lähtekohast võetuna ei peaks väärteokoosseisud iseenesest nagu vajalikud olema. Sellisel lähenemisel finantssektori jaoks on siiski aga mitu olulist puudust. </w:t>
      </w:r>
    </w:p>
    <w:p w14:paraId="6CEA6425" w14:textId="77777777" w:rsidR="001A4507" w:rsidRPr="003331EF" w:rsidRDefault="001A4507" w:rsidP="003331EF">
      <w:pPr>
        <w:spacing w:before="0"/>
        <w:rPr>
          <w:i/>
          <w:iCs/>
        </w:rPr>
      </w:pPr>
    </w:p>
    <w:p w14:paraId="7710E137" w14:textId="6DA5BD5C" w:rsidR="001A4507" w:rsidRPr="003331EF" w:rsidRDefault="001A4507" w:rsidP="003331EF">
      <w:pPr>
        <w:spacing w:before="0"/>
        <w:ind w:right="-83"/>
        <w:rPr>
          <w:iCs/>
          <w:spacing w:val="-5"/>
          <w:lang w:eastAsia="en-US"/>
        </w:rPr>
      </w:pPr>
      <w:r w:rsidRPr="003331EF">
        <w:rPr>
          <w:iCs/>
          <w:spacing w:val="-5"/>
          <w:lang w:eastAsia="en-US"/>
        </w:rPr>
        <w:t xml:space="preserve">Esiteks, rikkuja suhtes rakendatava meetme </w:t>
      </w:r>
      <w:proofErr w:type="spellStart"/>
      <w:r w:rsidRPr="003331EF">
        <w:rPr>
          <w:iCs/>
          <w:spacing w:val="-5"/>
          <w:lang w:eastAsia="en-US"/>
        </w:rPr>
        <w:t>he</w:t>
      </w:r>
      <w:r w:rsidR="000204BC" w:rsidRPr="003331EF">
        <w:rPr>
          <w:iCs/>
          <w:spacing w:val="-5"/>
          <w:lang w:eastAsia="en-US"/>
        </w:rPr>
        <w:t>i</w:t>
      </w:r>
      <w:r w:rsidRPr="003331EF">
        <w:rPr>
          <w:iCs/>
          <w:spacing w:val="-5"/>
          <w:lang w:eastAsia="en-US"/>
        </w:rPr>
        <w:t>dutavuse</w:t>
      </w:r>
      <w:proofErr w:type="spellEnd"/>
      <w:r w:rsidRPr="003331EF">
        <w:rPr>
          <w:iCs/>
          <w:spacing w:val="-5"/>
          <w:lang w:eastAsia="en-US"/>
        </w:rPr>
        <w:t xml:space="preserve"> juures hinnatakse sunni või karistuse mõju selle isiku või teiste isikute käitumise muutuse esile kutsumisele (mõjusust), kuid eelpool toodud lähenemise mõjusus ei ole finantsvaldkonnas piisav. Sellise lahenduse </w:t>
      </w:r>
      <w:proofErr w:type="spellStart"/>
      <w:r w:rsidRPr="003331EF">
        <w:rPr>
          <w:iCs/>
          <w:spacing w:val="-5"/>
          <w:lang w:eastAsia="en-US"/>
        </w:rPr>
        <w:t>üld</w:t>
      </w:r>
      <w:proofErr w:type="spellEnd"/>
      <w:r w:rsidRPr="003331EF">
        <w:rPr>
          <w:iCs/>
          <w:spacing w:val="-5"/>
          <w:lang w:eastAsia="en-US"/>
        </w:rPr>
        <w:t xml:space="preserve">- ja eripreventiivne eesmärk ei ole selge. Eelkõige jääb vajaka </w:t>
      </w:r>
      <w:proofErr w:type="spellStart"/>
      <w:r w:rsidRPr="003331EF">
        <w:rPr>
          <w:iCs/>
          <w:spacing w:val="-5"/>
          <w:lang w:eastAsia="en-US"/>
        </w:rPr>
        <w:t>üldpreventsiooni</w:t>
      </w:r>
      <w:proofErr w:type="spellEnd"/>
      <w:r w:rsidRPr="003331EF">
        <w:rPr>
          <w:iCs/>
          <w:spacing w:val="-5"/>
          <w:lang w:eastAsia="en-US"/>
        </w:rPr>
        <w:t xml:space="preserve"> positiivne eesmärk, kuna õiguskord ei annaks avalikkusele selget märki õigusrikkumise </w:t>
      </w:r>
      <w:proofErr w:type="spellStart"/>
      <w:r w:rsidRPr="003331EF">
        <w:rPr>
          <w:iCs/>
          <w:spacing w:val="-5"/>
          <w:lang w:eastAsia="en-US"/>
        </w:rPr>
        <w:t>hukkamõistetavuse</w:t>
      </w:r>
      <w:proofErr w:type="spellEnd"/>
      <w:r w:rsidRPr="003331EF">
        <w:rPr>
          <w:iCs/>
          <w:spacing w:val="-5"/>
          <w:lang w:eastAsia="en-US"/>
        </w:rPr>
        <w:t xml:space="preserve"> kohta. Ettekirjutuse ja sunnirahaga on võimalik nõuda seaduskuulekat käitumist ja kõrvaldada eelkõige selliseid rikkumisi, mille tagajärjed ei avalda mõju kolmandatele isikutele. Näiteks kasutab Finantsinspektsioon nimetatud meetmeid peamiselt </w:t>
      </w:r>
      <w:proofErr w:type="spellStart"/>
      <w:r w:rsidRPr="003331EF">
        <w:rPr>
          <w:iCs/>
          <w:spacing w:val="-5"/>
          <w:lang w:eastAsia="en-US"/>
        </w:rPr>
        <w:t>järelevalvelise</w:t>
      </w:r>
      <w:proofErr w:type="spellEnd"/>
      <w:r w:rsidRPr="003331EF">
        <w:rPr>
          <w:iCs/>
          <w:spacing w:val="-5"/>
          <w:lang w:eastAsia="en-US"/>
        </w:rPr>
        <w:t xml:space="preserve"> aruandlus- ja raporteerimiskohustuse tagamiseks.</w:t>
      </w:r>
    </w:p>
    <w:p w14:paraId="5D9CEBE5" w14:textId="77777777" w:rsidR="001A4507" w:rsidRPr="003331EF" w:rsidRDefault="001A4507" w:rsidP="003331EF">
      <w:pPr>
        <w:spacing w:before="0"/>
        <w:ind w:right="-83"/>
        <w:rPr>
          <w:iCs/>
          <w:spacing w:val="-5"/>
          <w:lang w:eastAsia="en-US"/>
        </w:rPr>
      </w:pPr>
    </w:p>
    <w:p w14:paraId="6812A634" w14:textId="77777777" w:rsidR="001A4507" w:rsidRPr="003331EF" w:rsidRDefault="001A4507" w:rsidP="003331EF">
      <w:pPr>
        <w:spacing w:before="0"/>
        <w:ind w:right="-83"/>
        <w:rPr>
          <w:iCs/>
          <w:spacing w:val="-5"/>
          <w:lang w:eastAsia="en-US"/>
        </w:rPr>
      </w:pPr>
      <w:r w:rsidRPr="003331EF">
        <w:rPr>
          <w:iCs/>
          <w:spacing w:val="-5"/>
          <w:lang w:eastAsia="en-US"/>
        </w:rPr>
        <w:t xml:space="preserve">Sunniraha rakendamine eeldab ettekirjutuse tegemist ja on suunatud ettekirjutuse täitmisele (nt ettekirjutus võib olla suunatud ka konkreetsest rikkumisest hoidumisele ning sunniraha tähtpäev määratud selle rikkumise sündmuse saabumisega, st eeldab haldusorgani poolt ohukahtluse või ohu väljaselgitamise korral selle ohu tõrjumisele ja rikkumise ennetamisele suunatud ettekirjutuse tegemist, sh hinnatakse just ettekirjutatud kohustuse täitmist, mitte tagajärje saabumist. Sunniraha instituuti ei ole samas võimalik kohaldada juhtumitele, kus minevikus tehtud tegu ja selle tagajärjed on lõppenud. </w:t>
      </w:r>
    </w:p>
    <w:p w14:paraId="2E7EF5F4" w14:textId="77777777" w:rsidR="001A4507" w:rsidRPr="003331EF" w:rsidRDefault="001A4507" w:rsidP="003331EF">
      <w:pPr>
        <w:spacing w:before="0"/>
        <w:rPr>
          <w:highlight w:val="yellow"/>
        </w:rPr>
      </w:pPr>
    </w:p>
    <w:p w14:paraId="57AE5C0B" w14:textId="77777777" w:rsidR="001A4507" w:rsidRPr="003331EF" w:rsidRDefault="001A4507" w:rsidP="003331EF">
      <w:pPr>
        <w:spacing w:before="0"/>
        <w:ind w:right="-83"/>
        <w:rPr>
          <w:iCs/>
          <w:spacing w:val="-5"/>
          <w:lang w:eastAsia="en-US"/>
        </w:rPr>
      </w:pPr>
      <w:r w:rsidRPr="003331EF">
        <w:rPr>
          <w:iCs/>
          <w:spacing w:val="-5"/>
          <w:lang w:eastAsia="en-US"/>
        </w:rPr>
        <w:t xml:space="preserve">Praktikas võib puududa alus rikkumist ennetava ettekirjutuse tegemiseks (näiteks teadvalt avaldatakse vale teavet, mis eksitab kliente − rikkumine on toime pandud  ja keegi võib teha investeerimisotsuse tuginedes väärale teabele). Sunniraha rakendamise eelduseks on  konkretiseeriva ettekirjutuse tegemine ehk rikkumise formaalne tuvastamine ning see eeldab isiku poolt täiendavaid tegevusi rikkumise kõrvaldamiseks.  Sunniraha on meede, millega mõjutatakse isikut viima oma käitumine konkreetsel juhul õigusega vastavusse ja millist ei rakendata, kui ettekirjutus täidetakse. Sunniraha ei saa kasutada heidutamiseks hüpoteetilise järgmise juhtumi suhtes. Samuti ei saa sellega reageerida juba toimunud lõppenud teole, millel puuduvad kõrvaldatavad tagajärjed. Need juhtumid jäävad väärteo- või kriminaalõiguse valdkonda.  </w:t>
      </w:r>
    </w:p>
    <w:p w14:paraId="570DF9FF" w14:textId="77777777" w:rsidR="001A4507" w:rsidRPr="003331EF" w:rsidRDefault="001A4507" w:rsidP="003331EF">
      <w:pPr>
        <w:spacing w:before="0"/>
        <w:rPr>
          <w:i/>
          <w:iCs/>
          <w:highlight w:val="yellow"/>
        </w:rPr>
      </w:pPr>
    </w:p>
    <w:p w14:paraId="4E3C89F9" w14:textId="77777777" w:rsidR="001A4507" w:rsidRPr="003331EF" w:rsidRDefault="001A4507" w:rsidP="003331EF">
      <w:pPr>
        <w:spacing w:before="0"/>
        <w:ind w:right="-83"/>
        <w:rPr>
          <w:iCs/>
          <w:spacing w:val="-5"/>
          <w:lang w:eastAsia="en-US"/>
        </w:rPr>
      </w:pPr>
      <w:r w:rsidRPr="003331EF">
        <w:rPr>
          <w:iCs/>
          <w:spacing w:val="-5"/>
          <w:lang w:eastAsia="en-US"/>
        </w:rPr>
        <w:t xml:space="preserve">Oma olemuselt on valdav osa finantsvaldkonna õigusrikkumistest  </w:t>
      </w:r>
      <w:proofErr w:type="spellStart"/>
      <w:r w:rsidRPr="003331EF">
        <w:rPr>
          <w:iCs/>
          <w:spacing w:val="-5"/>
          <w:lang w:eastAsia="en-US"/>
        </w:rPr>
        <w:t>peitelised</w:t>
      </w:r>
      <w:proofErr w:type="spellEnd"/>
      <w:r w:rsidRPr="003331EF">
        <w:rPr>
          <w:iCs/>
          <w:spacing w:val="-5"/>
          <w:lang w:eastAsia="en-US"/>
        </w:rPr>
        <w:t xml:space="preserve"> ja rikkumiste toimepanemine võib selguda alles hiljem (nt mitme kuu möödumisel teo toimepanemisest). Rikkumiste puhul, mille tagajärje kõrvaldamine ei ole seega võimalik, tuleks kehtestada väärteo koosseisud ja vastavad õigusjärelmid piisavalt suure rahatrahvi näol.</w:t>
      </w:r>
    </w:p>
    <w:p w14:paraId="0385E33D" w14:textId="77777777" w:rsidR="001A4507" w:rsidRPr="003331EF" w:rsidRDefault="001A4507" w:rsidP="003331EF">
      <w:pPr>
        <w:spacing w:before="0"/>
        <w:ind w:right="-83"/>
        <w:rPr>
          <w:iCs/>
          <w:spacing w:val="-5"/>
          <w:lang w:eastAsia="en-US"/>
        </w:rPr>
      </w:pPr>
    </w:p>
    <w:p w14:paraId="426B3D1A" w14:textId="4F7E185C" w:rsidR="001A4507" w:rsidRPr="003331EF" w:rsidRDefault="001A4507" w:rsidP="003331EF">
      <w:pPr>
        <w:spacing w:before="0"/>
        <w:ind w:right="-83"/>
        <w:rPr>
          <w:iCs/>
          <w:spacing w:val="-5"/>
          <w:lang w:eastAsia="en-US"/>
        </w:rPr>
      </w:pPr>
      <w:r w:rsidRPr="003331EF">
        <w:rPr>
          <w:iCs/>
          <w:spacing w:val="-5"/>
          <w:lang w:eastAsia="en-US"/>
        </w:rPr>
        <w:t xml:space="preserve">Eelnõus on lähtutud eeldusest, et Finantsinspektsioonil peab olema pädevus iga rikkumist eraldi hinnata. Kui rikkumise tagajärjed ei ole ilmnenud, võib olla piisav abinõu ettekirjutuse tegemine, mille mittetäitmisel rakendatakse sunniraha. Kui aga rikkumise tagajärjed on ilmnenud, liiati kui sellega kaasnes avalikkuse jaoks oluline kahju, on põhjendatud lisaks ettekirjutuse tegemisele ka vastava väärteo menetlemine ja rahatrahvi määramine. </w:t>
      </w:r>
    </w:p>
    <w:p w14:paraId="2713F327" w14:textId="77777777" w:rsidR="001A4507" w:rsidRPr="003331EF" w:rsidRDefault="001A4507" w:rsidP="003331EF">
      <w:pPr>
        <w:spacing w:before="0"/>
        <w:rPr>
          <w:i/>
          <w:iCs/>
        </w:rPr>
      </w:pPr>
    </w:p>
    <w:p w14:paraId="4363D770" w14:textId="5C0A3E15" w:rsidR="001A4507" w:rsidRDefault="001A4507" w:rsidP="003331EF">
      <w:pPr>
        <w:spacing w:before="0"/>
        <w:rPr>
          <w:bCs/>
        </w:rPr>
      </w:pPr>
      <w:r w:rsidRPr="003331EF">
        <w:rPr>
          <w:b/>
        </w:rPr>
        <w:t>Paragrahvide</w:t>
      </w:r>
      <w:r w:rsidR="00C85B2B" w:rsidRPr="003331EF">
        <w:rPr>
          <w:b/>
        </w:rPr>
        <w:t xml:space="preserve"> </w:t>
      </w:r>
      <w:r w:rsidR="002E4BB8" w:rsidRPr="003331EF">
        <w:rPr>
          <w:b/>
        </w:rPr>
        <w:t>3</w:t>
      </w:r>
      <w:r w:rsidR="00C85B2B" w:rsidRPr="003331EF">
        <w:rPr>
          <w:b/>
        </w:rPr>
        <w:t>7</w:t>
      </w:r>
      <w:r w:rsidRPr="003331EF">
        <w:rPr>
          <w:b/>
        </w:rPr>
        <w:t>–</w:t>
      </w:r>
      <w:r w:rsidR="002E4BB8" w:rsidRPr="003331EF">
        <w:rPr>
          <w:b/>
        </w:rPr>
        <w:t>4</w:t>
      </w:r>
      <w:r w:rsidR="00C85B2B" w:rsidRPr="003331EF">
        <w:rPr>
          <w:b/>
        </w:rPr>
        <w:t>2</w:t>
      </w:r>
      <w:r w:rsidR="002E4BB8" w:rsidRPr="003331EF">
        <w:rPr>
          <w:b/>
        </w:rPr>
        <w:t xml:space="preserve"> </w:t>
      </w:r>
      <w:r w:rsidRPr="003331EF">
        <w:rPr>
          <w:iCs/>
          <w:spacing w:val="-5"/>
          <w:lang w:eastAsia="en-US"/>
        </w:rPr>
        <w:t xml:space="preserve">aluseks on </w:t>
      </w:r>
      <w:proofErr w:type="spellStart"/>
      <w:r w:rsidRPr="003331EF">
        <w:rPr>
          <w:iCs/>
          <w:spacing w:val="-5"/>
          <w:lang w:eastAsia="en-US"/>
        </w:rPr>
        <w:t>M</w:t>
      </w:r>
      <w:r w:rsidR="00A35898">
        <w:rPr>
          <w:iCs/>
          <w:spacing w:val="-5"/>
          <w:lang w:eastAsia="en-US"/>
        </w:rPr>
        <w:t>i</w:t>
      </w:r>
      <w:r w:rsidRPr="003331EF">
        <w:rPr>
          <w:iCs/>
          <w:spacing w:val="-5"/>
          <w:lang w:eastAsia="en-US"/>
        </w:rPr>
        <w:t>CA</w:t>
      </w:r>
      <w:proofErr w:type="spellEnd"/>
      <w:r w:rsidRPr="003331EF">
        <w:rPr>
          <w:iCs/>
          <w:spacing w:val="-5"/>
          <w:lang w:eastAsia="en-US"/>
        </w:rPr>
        <w:t xml:space="preserve"> määruse artiklis 111 sätestatud maksimaalsed rahalised trahvid, mida pädev asutus saab õigusrikkumise korral rakendada.</w:t>
      </w:r>
      <w:r w:rsidRPr="003331EF">
        <w:rPr>
          <w:bCs/>
        </w:rPr>
        <w:t xml:space="preserve"> </w:t>
      </w:r>
    </w:p>
    <w:p w14:paraId="0FFC86D2" w14:textId="65CCDBF0" w:rsidR="003E0BFB" w:rsidRDefault="003E0BFB" w:rsidP="003331EF">
      <w:pPr>
        <w:spacing w:before="0"/>
        <w:rPr>
          <w:bCs/>
        </w:rPr>
      </w:pPr>
    </w:p>
    <w:p w14:paraId="7F1E621F" w14:textId="4BA73A98" w:rsidR="003E0BFB" w:rsidRDefault="003E0BFB" w:rsidP="003331EF">
      <w:pPr>
        <w:spacing w:before="0"/>
        <w:rPr>
          <w:bCs/>
        </w:rPr>
      </w:pPr>
    </w:p>
    <w:p w14:paraId="697FB275" w14:textId="62EE1927" w:rsidR="003E0BFB" w:rsidRDefault="003E0BFB" w:rsidP="003331EF">
      <w:pPr>
        <w:spacing w:before="0"/>
        <w:rPr>
          <w:bCs/>
        </w:rPr>
      </w:pPr>
    </w:p>
    <w:p w14:paraId="0EEA0C18" w14:textId="77777777" w:rsidR="00104913" w:rsidRDefault="00104913" w:rsidP="003E0BFB">
      <w:pPr>
        <w:spacing w:before="0"/>
        <w:rPr>
          <w:b/>
        </w:rPr>
      </w:pPr>
    </w:p>
    <w:p w14:paraId="5889F145" w14:textId="15A8FC77" w:rsidR="003E0BFB" w:rsidRPr="003331EF" w:rsidRDefault="003E0BFB" w:rsidP="003E0BFB">
      <w:pPr>
        <w:spacing w:before="0"/>
        <w:rPr>
          <w:bCs/>
        </w:rPr>
      </w:pPr>
      <w:r w:rsidRPr="003331EF">
        <w:rPr>
          <w:b/>
        </w:rPr>
        <w:lastRenderedPageBreak/>
        <w:t xml:space="preserve">Tabel 4. </w:t>
      </w:r>
      <w:proofErr w:type="spellStart"/>
      <w:r w:rsidRPr="003331EF">
        <w:rPr>
          <w:iCs/>
          <w:spacing w:val="-5"/>
          <w:lang w:eastAsia="en-US"/>
        </w:rPr>
        <w:t>MiCA</w:t>
      </w:r>
      <w:proofErr w:type="spellEnd"/>
      <w:r w:rsidRPr="003331EF">
        <w:rPr>
          <w:iCs/>
          <w:spacing w:val="-5"/>
          <w:lang w:eastAsia="en-US"/>
        </w:rPr>
        <w:t xml:space="preserve"> määrusest tulenevad trahvid</w:t>
      </w:r>
    </w:p>
    <w:p w14:paraId="3EF9CBFE" w14:textId="77777777" w:rsidR="003E0BFB" w:rsidRPr="003331EF" w:rsidRDefault="003E0BFB" w:rsidP="003E0BFB">
      <w:pPr>
        <w:spacing w:before="0"/>
        <w:rPr>
          <w:bCs/>
        </w:rPr>
      </w:pPr>
      <w:r w:rsidRPr="003331EF">
        <w:rPr>
          <w:b/>
        </w:rPr>
        <w:t xml:space="preserve">Tabel 4. </w:t>
      </w:r>
      <w:proofErr w:type="spellStart"/>
      <w:r w:rsidRPr="003331EF">
        <w:rPr>
          <w:iCs/>
          <w:spacing w:val="-5"/>
          <w:lang w:eastAsia="en-US"/>
        </w:rPr>
        <w:t>MiCA</w:t>
      </w:r>
      <w:proofErr w:type="spellEnd"/>
      <w:r w:rsidRPr="003331EF">
        <w:rPr>
          <w:iCs/>
          <w:spacing w:val="-5"/>
          <w:lang w:eastAsia="en-US"/>
        </w:rPr>
        <w:t xml:space="preserve"> määrusest tulenevad trahvid</w:t>
      </w:r>
    </w:p>
    <w:p w14:paraId="684CCD56" w14:textId="77777777" w:rsidR="001A4507" w:rsidRPr="003331EF" w:rsidRDefault="001A4507" w:rsidP="003331EF">
      <w:pPr>
        <w:shd w:val="clear" w:color="auto" w:fill="FFFFFF" w:themeFill="background1"/>
        <w:spacing w:before="0"/>
        <w:rPr>
          <w:b/>
        </w:rPr>
      </w:pPr>
    </w:p>
    <w:tbl>
      <w:tblPr>
        <w:tblStyle w:val="Kontuurtabel"/>
        <w:tblW w:w="0" w:type="auto"/>
        <w:tblLook w:val="04A0" w:firstRow="1" w:lastRow="0" w:firstColumn="1" w:lastColumn="0" w:noHBand="0" w:noVBand="1"/>
      </w:tblPr>
      <w:tblGrid>
        <w:gridCol w:w="2441"/>
        <w:gridCol w:w="2206"/>
        <w:gridCol w:w="2207"/>
        <w:gridCol w:w="2207"/>
      </w:tblGrid>
      <w:tr w:rsidR="003331EF" w:rsidRPr="003331EF" w14:paraId="3A2DDDC5" w14:textId="77777777" w:rsidTr="00E043AB">
        <w:tc>
          <w:tcPr>
            <w:tcW w:w="4647" w:type="dxa"/>
            <w:gridSpan w:val="2"/>
            <w:shd w:val="clear" w:color="auto" w:fill="D9E2F3" w:themeFill="accent5" w:themeFillTint="33"/>
          </w:tcPr>
          <w:p w14:paraId="656E3A6D" w14:textId="559F77FE" w:rsidR="001A4507" w:rsidRPr="003331EF" w:rsidRDefault="001A4507" w:rsidP="003331EF">
            <w:pPr>
              <w:shd w:val="clear" w:color="auto" w:fill="D9E2F3" w:themeFill="accent5" w:themeFillTint="33"/>
              <w:spacing w:before="0"/>
              <w:jc w:val="center"/>
              <w:rPr>
                <w:b/>
                <w:bCs/>
                <w:i/>
                <w:iCs/>
                <w:sz w:val="20"/>
                <w:szCs w:val="20"/>
                <w:lang w:eastAsia="en-US"/>
              </w:rPr>
            </w:pPr>
            <w:proofErr w:type="spellStart"/>
            <w:r w:rsidRPr="003331EF">
              <w:rPr>
                <w:b/>
                <w:bCs/>
                <w:i/>
                <w:iCs/>
                <w:sz w:val="20"/>
                <w:szCs w:val="20"/>
                <w:lang w:eastAsia="en-US"/>
              </w:rPr>
              <w:t>M</w:t>
            </w:r>
            <w:r w:rsidR="00A35898">
              <w:rPr>
                <w:b/>
                <w:bCs/>
                <w:i/>
                <w:iCs/>
                <w:sz w:val="20"/>
                <w:szCs w:val="20"/>
                <w:lang w:eastAsia="en-US"/>
              </w:rPr>
              <w:t>i</w:t>
            </w:r>
            <w:r w:rsidRPr="003331EF">
              <w:rPr>
                <w:b/>
                <w:bCs/>
                <w:i/>
                <w:iCs/>
                <w:sz w:val="20"/>
                <w:szCs w:val="20"/>
                <w:lang w:eastAsia="en-US"/>
              </w:rPr>
              <w:t>CA</w:t>
            </w:r>
            <w:proofErr w:type="spellEnd"/>
            <w:r w:rsidRPr="003331EF">
              <w:rPr>
                <w:b/>
                <w:bCs/>
                <w:i/>
                <w:iCs/>
                <w:sz w:val="20"/>
                <w:szCs w:val="20"/>
                <w:lang w:eastAsia="en-US"/>
              </w:rPr>
              <w:t xml:space="preserve"> määruses sätestatud nõuete rikkumine</w:t>
            </w:r>
          </w:p>
        </w:tc>
        <w:tc>
          <w:tcPr>
            <w:tcW w:w="2207" w:type="dxa"/>
            <w:shd w:val="clear" w:color="auto" w:fill="D9E2F3" w:themeFill="accent5" w:themeFillTint="33"/>
          </w:tcPr>
          <w:p w14:paraId="50C44DCD" w14:textId="77777777" w:rsidR="001A4507" w:rsidRPr="003331EF" w:rsidRDefault="001A4507" w:rsidP="003331EF">
            <w:pPr>
              <w:shd w:val="clear" w:color="auto" w:fill="D9E2F3" w:themeFill="accent5" w:themeFillTint="33"/>
              <w:spacing w:before="0"/>
              <w:jc w:val="center"/>
              <w:rPr>
                <w:b/>
                <w:bCs/>
                <w:i/>
                <w:iCs/>
                <w:sz w:val="20"/>
                <w:szCs w:val="20"/>
                <w:lang w:eastAsia="en-US"/>
              </w:rPr>
            </w:pPr>
            <w:r w:rsidRPr="003331EF">
              <w:rPr>
                <w:b/>
                <w:bCs/>
                <w:i/>
                <w:iCs/>
                <w:sz w:val="20"/>
                <w:szCs w:val="20"/>
                <w:lang w:eastAsia="en-US"/>
              </w:rPr>
              <w:t>Füüsiline isik</w:t>
            </w:r>
          </w:p>
        </w:tc>
        <w:tc>
          <w:tcPr>
            <w:tcW w:w="2207" w:type="dxa"/>
            <w:shd w:val="clear" w:color="auto" w:fill="D9E2F3" w:themeFill="accent5" w:themeFillTint="33"/>
          </w:tcPr>
          <w:p w14:paraId="15E98206" w14:textId="77777777" w:rsidR="001A4507" w:rsidRPr="003331EF" w:rsidRDefault="001A4507" w:rsidP="003331EF">
            <w:pPr>
              <w:shd w:val="clear" w:color="auto" w:fill="D9E2F3" w:themeFill="accent5" w:themeFillTint="33"/>
              <w:spacing w:before="0"/>
              <w:jc w:val="center"/>
              <w:rPr>
                <w:b/>
                <w:bCs/>
                <w:i/>
                <w:iCs/>
                <w:sz w:val="20"/>
                <w:szCs w:val="20"/>
                <w:lang w:eastAsia="en-US"/>
              </w:rPr>
            </w:pPr>
            <w:r w:rsidRPr="003331EF">
              <w:rPr>
                <w:b/>
                <w:bCs/>
                <w:i/>
                <w:iCs/>
                <w:sz w:val="20"/>
                <w:szCs w:val="20"/>
                <w:lang w:eastAsia="en-US"/>
              </w:rPr>
              <w:t>Juriidiline isik</w:t>
            </w:r>
          </w:p>
        </w:tc>
      </w:tr>
      <w:tr w:rsidR="003331EF" w:rsidRPr="003331EF" w14:paraId="75D7CFC9" w14:textId="77777777" w:rsidTr="00E043AB">
        <w:tc>
          <w:tcPr>
            <w:tcW w:w="2441" w:type="dxa"/>
            <w:shd w:val="clear" w:color="auto" w:fill="D9E2F3" w:themeFill="accent5" w:themeFillTint="33"/>
          </w:tcPr>
          <w:p w14:paraId="0CA1B43F" w14:textId="77777777" w:rsidR="001A4507" w:rsidRPr="003331EF" w:rsidRDefault="001A4507" w:rsidP="003331EF">
            <w:pPr>
              <w:spacing w:before="0"/>
              <w:rPr>
                <w:b/>
                <w:bCs/>
                <w:i/>
                <w:iCs/>
                <w:sz w:val="20"/>
                <w:szCs w:val="20"/>
                <w:lang w:eastAsia="en-US"/>
              </w:rPr>
            </w:pPr>
            <w:r w:rsidRPr="003331EF">
              <w:rPr>
                <w:b/>
                <w:bCs/>
                <w:i/>
                <w:iCs/>
                <w:sz w:val="20"/>
                <w:szCs w:val="20"/>
                <w:lang w:eastAsia="en-US"/>
              </w:rPr>
              <w:t>Artiklite 4–14 rikkumine</w:t>
            </w:r>
          </w:p>
        </w:tc>
        <w:tc>
          <w:tcPr>
            <w:tcW w:w="2206" w:type="dxa"/>
          </w:tcPr>
          <w:p w14:paraId="328C9B05" w14:textId="294B10D0" w:rsidR="001A4507" w:rsidRPr="003331EF" w:rsidRDefault="001A4507" w:rsidP="003331EF">
            <w:pPr>
              <w:spacing w:before="0"/>
              <w:rPr>
                <w:i/>
                <w:iCs/>
                <w:sz w:val="20"/>
                <w:szCs w:val="20"/>
                <w:lang w:eastAsia="en-US"/>
              </w:rPr>
            </w:pPr>
            <w:r w:rsidRPr="003331EF">
              <w:rPr>
                <w:i/>
                <w:iCs/>
                <w:sz w:val="20"/>
                <w:szCs w:val="20"/>
                <w:lang w:eastAsia="en-US"/>
              </w:rPr>
              <w:t xml:space="preserve">Muu </w:t>
            </w:r>
            <w:proofErr w:type="spellStart"/>
            <w:r w:rsidRPr="003331EF">
              <w:rPr>
                <w:i/>
                <w:iCs/>
                <w:sz w:val="20"/>
                <w:szCs w:val="20"/>
                <w:lang w:eastAsia="en-US"/>
              </w:rPr>
              <w:t>krüptovara</w:t>
            </w:r>
            <w:proofErr w:type="spellEnd"/>
            <w:r w:rsidRPr="003331EF">
              <w:rPr>
                <w:i/>
                <w:iCs/>
                <w:sz w:val="20"/>
                <w:szCs w:val="20"/>
                <w:lang w:eastAsia="en-US"/>
              </w:rPr>
              <w:t xml:space="preserve"> kui varapõhise </w:t>
            </w:r>
            <w:proofErr w:type="spellStart"/>
            <w:r w:rsidRPr="003331EF">
              <w:rPr>
                <w:i/>
                <w:iCs/>
                <w:sz w:val="20"/>
                <w:szCs w:val="20"/>
                <w:lang w:eastAsia="en-US"/>
              </w:rPr>
              <w:t>tokeni</w:t>
            </w:r>
            <w:proofErr w:type="spellEnd"/>
            <w:r w:rsidRPr="003331EF">
              <w:rPr>
                <w:i/>
                <w:iCs/>
                <w:sz w:val="20"/>
                <w:szCs w:val="20"/>
                <w:lang w:eastAsia="en-US"/>
              </w:rPr>
              <w:t xml:space="preserve"> või e</w:t>
            </w:r>
            <w:r w:rsidR="00AD54BE">
              <w:rPr>
                <w:i/>
                <w:iCs/>
                <w:sz w:val="20"/>
                <w:szCs w:val="20"/>
                <w:lang w:eastAsia="en-US"/>
              </w:rPr>
              <w:noBreakHyphen/>
            </w:r>
            <w:r w:rsidRPr="003331EF">
              <w:rPr>
                <w:i/>
                <w:iCs/>
                <w:sz w:val="20"/>
                <w:szCs w:val="20"/>
                <w:lang w:eastAsia="en-US"/>
              </w:rPr>
              <w:t xml:space="preserve">raha </w:t>
            </w:r>
            <w:proofErr w:type="spellStart"/>
            <w:r w:rsidRPr="003331EF">
              <w:rPr>
                <w:i/>
                <w:iCs/>
                <w:sz w:val="20"/>
                <w:szCs w:val="20"/>
                <w:lang w:eastAsia="en-US"/>
              </w:rPr>
              <w:t>tokeni</w:t>
            </w:r>
            <w:proofErr w:type="spellEnd"/>
            <w:r w:rsidRPr="003331EF">
              <w:rPr>
                <w:i/>
                <w:iCs/>
                <w:sz w:val="20"/>
                <w:szCs w:val="20"/>
                <w:lang w:eastAsia="en-US"/>
              </w:rPr>
              <w:t xml:space="preserve"> pakkumine või kauplemise võtmise taotlemine</w:t>
            </w:r>
          </w:p>
        </w:tc>
        <w:tc>
          <w:tcPr>
            <w:tcW w:w="2207" w:type="dxa"/>
          </w:tcPr>
          <w:p w14:paraId="5723E941" w14:textId="77777777" w:rsidR="001A4507" w:rsidRPr="003331EF" w:rsidRDefault="001A4507" w:rsidP="003331EF">
            <w:pPr>
              <w:pStyle w:val="Loendilik"/>
              <w:numPr>
                <w:ilvl w:val="0"/>
                <w:numId w:val="29"/>
              </w:numPr>
              <w:jc w:val="both"/>
              <w:rPr>
                <w:i/>
                <w:iCs/>
                <w:sz w:val="20"/>
                <w:szCs w:val="20"/>
              </w:rPr>
            </w:pPr>
            <w:r w:rsidRPr="003331EF">
              <w:rPr>
                <w:b/>
                <w:bCs/>
                <w:i/>
                <w:iCs/>
                <w:sz w:val="20"/>
                <w:szCs w:val="20"/>
              </w:rPr>
              <w:t>700 000 eurot</w:t>
            </w:r>
            <w:r w:rsidRPr="003331EF">
              <w:rPr>
                <w:i/>
                <w:iCs/>
                <w:sz w:val="20"/>
                <w:szCs w:val="20"/>
              </w:rPr>
              <w:t>;</w:t>
            </w:r>
          </w:p>
          <w:p w14:paraId="17B845AC" w14:textId="28E9CA14" w:rsidR="001A4507" w:rsidRPr="003331EF" w:rsidRDefault="00AD54BE" w:rsidP="003331EF">
            <w:pPr>
              <w:pStyle w:val="Loendilik"/>
              <w:numPr>
                <w:ilvl w:val="0"/>
                <w:numId w:val="29"/>
              </w:numPr>
              <w:jc w:val="both"/>
              <w:rPr>
                <w:i/>
                <w:iCs/>
                <w:sz w:val="20"/>
                <w:szCs w:val="20"/>
              </w:rPr>
            </w:pPr>
            <w:r>
              <w:rPr>
                <w:b/>
                <w:bCs/>
                <w:i/>
                <w:iCs/>
                <w:sz w:val="20"/>
                <w:szCs w:val="20"/>
              </w:rPr>
              <w:t>Kahe</w:t>
            </w:r>
            <w:r w:rsidR="001A4507" w:rsidRPr="003331EF">
              <w:rPr>
                <w:b/>
                <w:bCs/>
                <w:i/>
                <w:iCs/>
                <w:sz w:val="20"/>
                <w:szCs w:val="20"/>
              </w:rPr>
              <w:t>kordne</w:t>
            </w:r>
            <w:r w:rsidR="001A4507" w:rsidRPr="003331EF">
              <w:rPr>
                <w:i/>
                <w:iCs/>
                <w:sz w:val="20"/>
                <w:szCs w:val="20"/>
              </w:rPr>
              <w:t xml:space="preserve"> väärteo tulemusel teenitud kasule või ära hoitud kahjule vastav summa.</w:t>
            </w:r>
          </w:p>
        </w:tc>
        <w:tc>
          <w:tcPr>
            <w:tcW w:w="2207" w:type="dxa"/>
          </w:tcPr>
          <w:p w14:paraId="13558FE9" w14:textId="6045CBA4" w:rsidR="001A4507" w:rsidRPr="003331EF" w:rsidRDefault="001A4507" w:rsidP="003331EF">
            <w:pPr>
              <w:pStyle w:val="Loendilik"/>
              <w:numPr>
                <w:ilvl w:val="0"/>
                <w:numId w:val="29"/>
              </w:numPr>
              <w:jc w:val="both"/>
              <w:rPr>
                <w:i/>
                <w:iCs/>
                <w:sz w:val="20"/>
                <w:szCs w:val="20"/>
              </w:rPr>
            </w:pPr>
            <w:r w:rsidRPr="003331EF">
              <w:rPr>
                <w:b/>
                <w:bCs/>
                <w:i/>
                <w:iCs/>
                <w:sz w:val="20"/>
                <w:szCs w:val="20"/>
              </w:rPr>
              <w:t>5 mln eurot</w:t>
            </w:r>
            <w:r w:rsidRPr="003331EF">
              <w:rPr>
                <w:i/>
                <w:iCs/>
                <w:sz w:val="20"/>
                <w:szCs w:val="20"/>
              </w:rPr>
              <w:t>;</w:t>
            </w:r>
          </w:p>
          <w:p w14:paraId="547E8881" w14:textId="6D4572C5" w:rsidR="001A4507" w:rsidRPr="003331EF" w:rsidRDefault="00AD54BE" w:rsidP="003331EF">
            <w:pPr>
              <w:pStyle w:val="Loendilik"/>
              <w:numPr>
                <w:ilvl w:val="0"/>
                <w:numId w:val="29"/>
              </w:numPr>
              <w:jc w:val="both"/>
              <w:rPr>
                <w:i/>
                <w:iCs/>
                <w:sz w:val="20"/>
                <w:szCs w:val="20"/>
              </w:rPr>
            </w:pPr>
            <w:r>
              <w:rPr>
                <w:b/>
                <w:bCs/>
                <w:i/>
                <w:iCs/>
                <w:sz w:val="20"/>
                <w:szCs w:val="20"/>
              </w:rPr>
              <w:t>Kahe</w:t>
            </w:r>
            <w:r w:rsidR="001A4507" w:rsidRPr="003331EF">
              <w:rPr>
                <w:b/>
                <w:bCs/>
                <w:i/>
                <w:iCs/>
                <w:sz w:val="20"/>
                <w:szCs w:val="20"/>
              </w:rPr>
              <w:t>kordne</w:t>
            </w:r>
            <w:r w:rsidR="001A4507" w:rsidRPr="003331EF">
              <w:rPr>
                <w:i/>
                <w:iCs/>
                <w:sz w:val="20"/>
                <w:szCs w:val="20"/>
              </w:rPr>
              <w:t xml:space="preserve"> väärteo tulemusel teenitud kasule või ära hoitud kahjule vastav summa;</w:t>
            </w:r>
          </w:p>
          <w:p w14:paraId="154792CF" w14:textId="412CDDDF" w:rsidR="001A4507" w:rsidRPr="003331EF" w:rsidRDefault="001A4507" w:rsidP="003331EF">
            <w:pPr>
              <w:pStyle w:val="Loendilik"/>
              <w:numPr>
                <w:ilvl w:val="0"/>
                <w:numId w:val="29"/>
              </w:numPr>
              <w:jc w:val="both"/>
              <w:rPr>
                <w:i/>
                <w:sz w:val="20"/>
                <w:szCs w:val="20"/>
              </w:rPr>
            </w:pPr>
            <w:r w:rsidRPr="003331EF">
              <w:rPr>
                <w:b/>
                <w:bCs/>
                <w:i/>
                <w:sz w:val="20"/>
                <w:szCs w:val="20"/>
              </w:rPr>
              <w:t>3%</w:t>
            </w:r>
            <w:r w:rsidRPr="003331EF">
              <w:rPr>
                <w:i/>
                <w:sz w:val="20"/>
                <w:szCs w:val="20"/>
              </w:rPr>
              <w:t xml:space="preserve"> aastasest kogukäibest.</w:t>
            </w:r>
          </w:p>
        </w:tc>
      </w:tr>
      <w:tr w:rsidR="003331EF" w:rsidRPr="003331EF" w14:paraId="1165AECD" w14:textId="77777777" w:rsidTr="00E043AB">
        <w:tc>
          <w:tcPr>
            <w:tcW w:w="2441" w:type="dxa"/>
            <w:shd w:val="clear" w:color="auto" w:fill="D9E2F3" w:themeFill="accent5" w:themeFillTint="33"/>
          </w:tcPr>
          <w:p w14:paraId="734B41E2" w14:textId="77777777" w:rsidR="001A4507" w:rsidRPr="003331EF" w:rsidRDefault="001A4507" w:rsidP="003331EF">
            <w:pPr>
              <w:spacing w:before="0"/>
              <w:rPr>
                <w:b/>
                <w:bCs/>
                <w:i/>
                <w:iCs/>
                <w:sz w:val="20"/>
                <w:szCs w:val="20"/>
                <w:lang w:eastAsia="en-US"/>
              </w:rPr>
            </w:pPr>
            <w:r w:rsidRPr="003331EF">
              <w:rPr>
                <w:b/>
                <w:bCs/>
                <w:i/>
                <w:iCs/>
                <w:sz w:val="20"/>
                <w:szCs w:val="20"/>
                <w:lang w:eastAsia="en-US"/>
              </w:rPr>
              <w:t>Artiklite 16, 17, 19, 22, 23, 25, 27–41 ning 46 ja 47 rikkumine</w:t>
            </w:r>
          </w:p>
        </w:tc>
        <w:tc>
          <w:tcPr>
            <w:tcW w:w="2206" w:type="dxa"/>
          </w:tcPr>
          <w:p w14:paraId="292B82A6" w14:textId="7BC80BD3" w:rsidR="001A4507" w:rsidRPr="003331EF" w:rsidRDefault="001A4507" w:rsidP="003331EF">
            <w:pPr>
              <w:spacing w:before="0"/>
              <w:rPr>
                <w:i/>
                <w:iCs/>
                <w:sz w:val="20"/>
                <w:szCs w:val="20"/>
                <w:lang w:eastAsia="en-US"/>
              </w:rPr>
            </w:pPr>
            <w:r w:rsidRPr="003331EF">
              <w:rPr>
                <w:i/>
                <w:iCs/>
                <w:sz w:val="20"/>
                <w:szCs w:val="20"/>
                <w:lang w:eastAsia="en-US"/>
              </w:rPr>
              <w:t>Varapõhise</w:t>
            </w:r>
            <w:r w:rsidR="00220D67">
              <w:rPr>
                <w:i/>
                <w:iCs/>
                <w:sz w:val="20"/>
                <w:szCs w:val="20"/>
                <w:lang w:eastAsia="en-US"/>
              </w:rPr>
              <w:t> </w:t>
            </w:r>
            <w:proofErr w:type="spellStart"/>
            <w:r w:rsidRPr="003331EF">
              <w:rPr>
                <w:i/>
                <w:iCs/>
                <w:sz w:val="20"/>
                <w:szCs w:val="20"/>
                <w:lang w:eastAsia="en-US"/>
              </w:rPr>
              <w:t>tokeni</w:t>
            </w:r>
            <w:proofErr w:type="spellEnd"/>
            <w:r w:rsidRPr="003331EF">
              <w:rPr>
                <w:i/>
                <w:iCs/>
                <w:sz w:val="20"/>
                <w:szCs w:val="20"/>
                <w:lang w:eastAsia="en-US"/>
              </w:rPr>
              <w:t xml:space="preserve"> pakkumine või kauplemisele võtmise taotlemine</w:t>
            </w:r>
          </w:p>
        </w:tc>
        <w:tc>
          <w:tcPr>
            <w:tcW w:w="2207" w:type="dxa"/>
          </w:tcPr>
          <w:p w14:paraId="053FE46A" w14:textId="77777777" w:rsidR="001A4507" w:rsidRPr="003331EF" w:rsidRDefault="001A4507" w:rsidP="003331EF">
            <w:pPr>
              <w:pStyle w:val="Loendilik"/>
              <w:numPr>
                <w:ilvl w:val="0"/>
                <w:numId w:val="29"/>
              </w:numPr>
              <w:jc w:val="both"/>
              <w:rPr>
                <w:i/>
                <w:iCs/>
                <w:sz w:val="20"/>
                <w:szCs w:val="20"/>
              </w:rPr>
            </w:pPr>
            <w:r w:rsidRPr="003331EF">
              <w:rPr>
                <w:b/>
                <w:bCs/>
                <w:i/>
                <w:iCs/>
                <w:sz w:val="20"/>
                <w:szCs w:val="20"/>
              </w:rPr>
              <w:t>700 000 eurot</w:t>
            </w:r>
            <w:r w:rsidRPr="003331EF">
              <w:rPr>
                <w:i/>
                <w:iCs/>
                <w:sz w:val="20"/>
                <w:szCs w:val="20"/>
              </w:rPr>
              <w:t>;</w:t>
            </w:r>
          </w:p>
          <w:p w14:paraId="7F2A5C45" w14:textId="1AF011C6" w:rsidR="001A4507" w:rsidRPr="003331EF" w:rsidRDefault="00AD54BE" w:rsidP="003331EF">
            <w:pPr>
              <w:pStyle w:val="Loendilik"/>
              <w:numPr>
                <w:ilvl w:val="0"/>
                <w:numId w:val="29"/>
              </w:numPr>
              <w:jc w:val="both"/>
              <w:rPr>
                <w:i/>
                <w:iCs/>
                <w:sz w:val="20"/>
                <w:szCs w:val="20"/>
              </w:rPr>
            </w:pPr>
            <w:r>
              <w:rPr>
                <w:b/>
                <w:bCs/>
                <w:i/>
                <w:iCs/>
                <w:sz w:val="20"/>
                <w:szCs w:val="20"/>
              </w:rPr>
              <w:t>Kahe</w:t>
            </w:r>
            <w:r w:rsidR="001A4507" w:rsidRPr="003331EF">
              <w:rPr>
                <w:b/>
                <w:bCs/>
                <w:i/>
                <w:iCs/>
                <w:sz w:val="20"/>
                <w:szCs w:val="20"/>
              </w:rPr>
              <w:t>kordne</w:t>
            </w:r>
            <w:r w:rsidR="001A4507" w:rsidRPr="003331EF">
              <w:rPr>
                <w:i/>
                <w:iCs/>
                <w:sz w:val="20"/>
                <w:szCs w:val="20"/>
              </w:rPr>
              <w:t xml:space="preserve"> väärteo tulemusel teenitud kasule või ära hoitud kahjule vastav summa.</w:t>
            </w:r>
          </w:p>
        </w:tc>
        <w:tc>
          <w:tcPr>
            <w:tcW w:w="2207" w:type="dxa"/>
          </w:tcPr>
          <w:p w14:paraId="1722B1E3" w14:textId="77777777" w:rsidR="001A4507" w:rsidRPr="003331EF" w:rsidRDefault="001A4507" w:rsidP="003331EF">
            <w:pPr>
              <w:pStyle w:val="Loendilik"/>
              <w:numPr>
                <w:ilvl w:val="0"/>
                <w:numId w:val="29"/>
              </w:numPr>
              <w:jc w:val="both"/>
              <w:rPr>
                <w:i/>
                <w:iCs/>
                <w:sz w:val="20"/>
                <w:szCs w:val="20"/>
              </w:rPr>
            </w:pPr>
            <w:r w:rsidRPr="003331EF">
              <w:rPr>
                <w:b/>
                <w:bCs/>
                <w:i/>
                <w:iCs/>
                <w:sz w:val="20"/>
                <w:szCs w:val="20"/>
              </w:rPr>
              <w:t>5 mln eurot</w:t>
            </w:r>
            <w:r w:rsidRPr="003331EF">
              <w:rPr>
                <w:i/>
                <w:iCs/>
                <w:sz w:val="20"/>
                <w:szCs w:val="20"/>
              </w:rPr>
              <w:t>;</w:t>
            </w:r>
          </w:p>
          <w:p w14:paraId="290F1DD2" w14:textId="1D2E5887" w:rsidR="001A4507" w:rsidRPr="003331EF" w:rsidRDefault="00AD54BE" w:rsidP="003331EF">
            <w:pPr>
              <w:pStyle w:val="Loendilik"/>
              <w:numPr>
                <w:ilvl w:val="0"/>
                <w:numId w:val="29"/>
              </w:numPr>
              <w:jc w:val="both"/>
              <w:rPr>
                <w:i/>
                <w:iCs/>
                <w:sz w:val="20"/>
                <w:szCs w:val="20"/>
              </w:rPr>
            </w:pPr>
            <w:r>
              <w:rPr>
                <w:b/>
                <w:bCs/>
                <w:i/>
                <w:iCs/>
                <w:sz w:val="20"/>
                <w:szCs w:val="20"/>
              </w:rPr>
              <w:t>Kahe</w:t>
            </w:r>
            <w:r w:rsidR="001A4507" w:rsidRPr="003331EF">
              <w:rPr>
                <w:b/>
                <w:bCs/>
                <w:i/>
                <w:iCs/>
                <w:sz w:val="20"/>
                <w:szCs w:val="20"/>
              </w:rPr>
              <w:t>kordne</w:t>
            </w:r>
            <w:r w:rsidR="001A4507" w:rsidRPr="003331EF">
              <w:rPr>
                <w:i/>
                <w:iCs/>
                <w:sz w:val="20"/>
                <w:szCs w:val="20"/>
              </w:rPr>
              <w:t xml:space="preserve"> väärteo tulemusel teenitud kasule või ära hoitud kahjule vastav summa;</w:t>
            </w:r>
          </w:p>
          <w:p w14:paraId="43F7B849" w14:textId="323F4AFF" w:rsidR="001A4507" w:rsidRPr="003331EF" w:rsidRDefault="001A4507" w:rsidP="003331EF">
            <w:pPr>
              <w:pStyle w:val="Loendilik"/>
              <w:numPr>
                <w:ilvl w:val="0"/>
                <w:numId w:val="29"/>
              </w:numPr>
              <w:jc w:val="both"/>
              <w:rPr>
                <w:i/>
                <w:iCs/>
                <w:sz w:val="20"/>
                <w:szCs w:val="20"/>
              </w:rPr>
            </w:pPr>
            <w:r w:rsidRPr="003331EF">
              <w:rPr>
                <w:b/>
                <w:bCs/>
                <w:i/>
                <w:sz w:val="20"/>
                <w:szCs w:val="20"/>
              </w:rPr>
              <w:t>12,5%</w:t>
            </w:r>
            <w:r w:rsidRPr="003331EF">
              <w:rPr>
                <w:i/>
                <w:sz w:val="20"/>
                <w:szCs w:val="20"/>
              </w:rPr>
              <w:t xml:space="preserve"> aastasest kogukäibest.</w:t>
            </w:r>
          </w:p>
        </w:tc>
      </w:tr>
      <w:tr w:rsidR="003331EF" w:rsidRPr="003331EF" w14:paraId="0F6E3177" w14:textId="77777777" w:rsidTr="00E043AB">
        <w:tc>
          <w:tcPr>
            <w:tcW w:w="2441" w:type="dxa"/>
            <w:shd w:val="clear" w:color="auto" w:fill="D9E2F3" w:themeFill="accent5" w:themeFillTint="33"/>
          </w:tcPr>
          <w:p w14:paraId="04EF9FA1" w14:textId="77777777" w:rsidR="001A4507" w:rsidRPr="003331EF" w:rsidRDefault="001A4507" w:rsidP="003331EF">
            <w:pPr>
              <w:spacing w:before="0"/>
              <w:rPr>
                <w:b/>
                <w:bCs/>
                <w:i/>
                <w:iCs/>
                <w:sz w:val="20"/>
                <w:szCs w:val="20"/>
                <w:lang w:eastAsia="en-US"/>
              </w:rPr>
            </w:pPr>
            <w:r w:rsidRPr="003331EF">
              <w:rPr>
                <w:b/>
                <w:bCs/>
                <w:i/>
                <w:iCs/>
                <w:sz w:val="20"/>
                <w:szCs w:val="20"/>
                <w:lang w:eastAsia="en-US"/>
              </w:rPr>
              <w:t>Aartiklite 48–51, 53, 54 ja 55 rikkumine</w:t>
            </w:r>
          </w:p>
        </w:tc>
        <w:tc>
          <w:tcPr>
            <w:tcW w:w="2206" w:type="dxa"/>
          </w:tcPr>
          <w:p w14:paraId="77CB9CF5" w14:textId="53021BC0" w:rsidR="001A4507" w:rsidRPr="003331EF" w:rsidRDefault="001A4507" w:rsidP="003331EF">
            <w:pPr>
              <w:spacing w:before="0"/>
              <w:rPr>
                <w:i/>
                <w:iCs/>
                <w:sz w:val="20"/>
                <w:szCs w:val="20"/>
                <w:lang w:eastAsia="en-US"/>
              </w:rPr>
            </w:pPr>
            <w:r w:rsidRPr="003331EF">
              <w:rPr>
                <w:i/>
                <w:iCs/>
                <w:sz w:val="20"/>
                <w:szCs w:val="20"/>
                <w:lang w:eastAsia="en-US"/>
              </w:rPr>
              <w:t>E-raha</w:t>
            </w:r>
            <w:r w:rsidR="00104913">
              <w:rPr>
                <w:i/>
                <w:iCs/>
                <w:sz w:val="20"/>
                <w:szCs w:val="20"/>
                <w:lang w:eastAsia="en-US"/>
              </w:rPr>
              <w:t> </w:t>
            </w:r>
            <w:proofErr w:type="spellStart"/>
            <w:r w:rsidRPr="003331EF">
              <w:rPr>
                <w:i/>
                <w:iCs/>
                <w:sz w:val="20"/>
                <w:szCs w:val="20"/>
                <w:lang w:eastAsia="en-US"/>
              </w:rPr>
              <w:t>tokeni</w:t>
            </w:r>
            <w:proofErr w:type="spellEnd"/>
            <w:r w:rsidRPr="003331EF">
              <w:rPr>
                <w:i/>
                <w:iCs/>
                <w:sz w:val="20"/>
                <w:szCs w:val="20"/>
                <w:lang w:eastAsia="en-US"/>
              </w:rPr>
              <w:t xml:space="preserve"> pakkumine või kauplemisele võtmise taotlemine</w:t>
            </w:r>
          </w:p>
        </w:tc>
        <w:tc>
          <w:tcPr>
            <w:tcW w:w="2207" w:type="dxa"/>
          </w:tcPr>
          <w:p w14:paraId="5951490E" w14:textId="77777777" w:rsidR="001A4507" w:rsidRPr="003331EF" w:rsidRDefault="001A4507" w:rsidP="003331EF">
            <w:pPr>
              <w:pStyle w:val="Loendilik"/>
              <w:numPr>
                <w:ilvl w:val="0"/>
                <w:numId w:val="29"/>
              </w:numPr>
              <w:jc w:val="both"/>
              <w:rPr>
                <w:i/>
                <w:iCs/>
                <w:sz w:val="20"/>
                <w:szCs w:val="20"/>
              </w:rPr>
            </w:pPr>
            <w:r w:rsidRPr="003331EF">
              <w:rPr>
                <w:b/>
                <w:bCs/>
                <w:i/>
                <w:iCs/>
                <w:sz w:val="20"/>
                <w:szCs w:val="20"/>
              </w:rPr>
              <w:t>700 000 eurot</w:t>
            </w:r>
            <w:r w:rsidRPr="003331EF">
              <w:rPr>
                <w:i/>
                <w:iCs/>
                <w:sz w:val="20"/>
                <w:szCs w:val="20"/>
              </w:rPr>
              <w:t>;</w:t>
            </w:r>
          </w:p>
          <w:p w14:paraId="1E6C8736" w14:textId="7FC6A5C4" w:rsidR="001A4507" w:rsidRPr="003331EF" w:rsidRDefault="00AD54BE" w:rsidP="003331EF">
            <w:pPr>
              <w:pStyle w:val="Loendilik"/>
              <w:numPr>
                <w:ilvl w:val="0"/>
                <w:numId w:val="29"/>
              </w:numPr>
              <w:jc w:val="both"/>
              <w:rPr>
                <w:i/>
                <w:iCs/>
                <w:sz w:val="20"/>
                <w:szCs w:val="20"/>
              </w:rPr>
            </w:pPr>
            <w:r>
              <w:rPr>
                <w:b/>
                <w:bCs/>
                <w:i/>
                <w:iCs/>
                <w:sz w:val="20"/>
                <w:szCs w:val="20"/>
              </w:rPr>
              <w:t>Kahe</w:t>
            </w:r>
            <w:r w:rsidR="001A4507" w:rsidRPr="003331EF">
              <w:rPr>
                <w:b/>
                <w:bCs/>
                <w:i/>
                <w:iCs/>
                <w:sz w:val="20"/>
                <w:szCs w:val="20"/>
              </w:rPr>
              <w:t>kordne</w:t>
            </w:r>
            <w:r w:rsidR="001A4507" w:rsidRPr="003331EF">
              <w:rPr>
                <w:i/>
                <w:iCs/>
                <w:sz w:val="20"/>
                <w:szCs w:val="20"/>
              </w:rPr>
              <w:t xml:space="preserve"> väärteo tulemusel teenitud kasule või ära hoitud kahjule vastav summa.</w:t>
            </w:r>
          </w:p>
        </w:tc>
        <w:tc>
          <w:tcPr>
            <w:tcW w:w="2207" w:type="dxa"/>
          </w:tcPr>
          <w:p w14:paraId="448BF663" w14:textId="77777777" w:rsidR="001A4507" w:rsidRPr="003331EF" w:rsidRDefault="001A4507" w:rsidP="003331EF">
            <w:pPr>
              <w:pStyle w:val="Loendilik"/>
              <w:numPr>
                <w:ilvl w:val="0"/>
                <w:numId w:val="29"/>
              </w:numPr>
              <w:jc w:val="both"/>
              <w:rPr>
                <w:i/>
                <w:iCs/>
                <w:sz w:val="20"/>
                <w:szCs w:val="20"/>
              </w:rPr>
            </w:pPr>
            <w:r w:rsidRPr="003331EF">
              <w:rPr>
                <w:b/>
                <w:bCs/>
                <w:i/>
                <w:iCs/>
                <w:sz w:val="20"/>
                <w:szCs w:val="20"/>
              </w:rPr>
              <w:t>5 mln eurot</w:t>
            </w:r>
            <w:r w:rsidRPr="003331EF">
              <w:rPr>
                <w:i/>
                <w:iCs/>
                <w:sz w:val="20"/>
                <w:szCs w:val="20"/>
              </w:rPr>
              <w:t>;</w:t>
            </w:r>
          </w:p>
          <w:p w14:paraId="487810A7" w14:textId="22A98092" w:rsidR="001A4507" w:rsidRPr="003331EF" w:rsidRDefault="00AD54BE" w:rsidP="003331EF">
            <w:pPr>
              <w:pStyle w:val="Loendilik"/>
              <w:numPr>
                <w:ilvl w:val="0"/>
                <w:numId w:val="29"/>
              </w:numPr>
              <w:jc w:val="both"/>
              <w:rPr>
                <w:i/>
                <w:iCs/>
                <w:sz w:val="20"/>
                <w:szCs w:val="20"/>
              </w:rPr>
            </w:pPr>
            <w:r>
              <w:rPr>
                <w:b/>
                <w:bCs/>
                <w:i/>
                <w:iCs/>
                <w:sz w:val="20"/>
                <w:szCs w:val="20"/>
              </w:rPr>
              <w:t>Kahe</w:t>
            </w:r>
            <w:r w:rsidR="001A4507" w:rsidRPr="003331EF">
              <w:rPr>
                <w:b/>
                <w:bCs/>
                <w:i/>
                <w:iCs/>
                <w:sz w:val="20"/>
                <w:szCs w:val="20"/>
              </w:rPr>
              <w:t>kordne</w:t>
            </w:r>
            <w:r w:rsidR="001A4507" w:rsidRPr="003331EF">
              <w:rPr>
                <w:i/>
                <w:iCs/>
                <w:sz w:val="20"/>
                <w:szCs w:val="20"/>
              </w:rPr>
              <w:t xml:space="preserve"> väärteo tulemusel teenitud kasule või ära hoitud kahjule vastav summa;</w:t>
            </w:r>
          </w:p>
          <w:p w14:paraId="4123A498" w14:textId="5E93ED79" w:rsidR="001A4507" w:rsidRPr="003331EF" w:rsidRDefault="001A4507" w:rsidP="003331EF">
            <w:pPr>
              <w:pStyle w:val="Loendilik"/>
              <w:numPr>
                <w:ilvl w:val="0"/>
                <w:numId w:val="29"/>
              </w:numPr>
              <w:jc w:val="both"/>
              <w:rPr>
                <w:i/>
                <w:iCs/>
                <w:sz w:val="20"/>
                <w:szCs w:val="20"/>
              </w:rPr>
            </w:pPr>
            <w:r w:rsidRPr="003331EF">
              <w:rPr>
                <w:b/>
                <w:bCs/>
                <w:i/>
                <w:sz w:val="20"/>
                <w:szCs w:val="20"/>
              </w:rPr>
              <w:t>12,5%</w:t>
            </w:r>
            <w:r w:rsidRPr="003331EF">
              <w:rPr>
                <w:i/>
                <w:sz w:val="20"/>
                <w:szCs w:val="20"/>
              </w:rPr>
              <w:t xml:space="preserve"> aastasest kogukäibest.</w:t>
            </w:r>
          </w:p>
        </w:tc>
      </w:tr>
      <w:tr w:rsidR="003331EF" w:rsidRPr="003331EF" w14:paraId="50EAB490" w14:textId="77777777" w:rsidTr="00E043AB">
        <w:tc>
          <w:tcPr>
            <w:tcW w:w="2441" w:type="dxa"/>
            <w:shd w:val="clear" w:color="auto" w:fill="D9E2F3" w:themeFill="accent5" w:themeFillTint="33"/>
          </w:tcPr>
          <w:p w14:paraId="116C5855" w14:textId="77777777" w:rsidR="001A4507" w:rsidRPr="003331EF" w:rsidRDefault="001A4507" w:rsidP="003331EF">
            <w:pPr>
              <w:spacing w:before="0"/>
              <w:rPr>
                <w:b/>
                <w:bCs/>
                <w:i/>
                <w:iCs/>
                <w:sz w:val="20"/>
                <w:szCs w:val="20"/>
                <w:lang w:eastAsia="en-US"/>
              </w:rPr>
            </w:pPr>
            <w:r w:rsidRPr="003331EF">
              <w:rPr>
                <w:b/>
                <w:bCs/>
                <w:i/>
                <w:iCs/>
                <w:sz w:val="20"/>
                <w:szCs w:val="20"/>
                <w:lang w:eastAsia="en-US"/>
              </w:rPr>
              <w:t>Aartiklite 59, 60, 64 ja 65–83 rikkumine</w:t>
            </w:r>
          </w:p>
        </w:tc>
        <w:tc>
          <w:tcPr>
            <w:tcW w:w="2206" w:type="dxa"/>
          </w:tcPr>
          <w:p w14:paraId="04856DE7" w14:textId="77777777" w:rsidR="001A4507" w:rsidRPr="003331EF" w:rsidRDefault="001A4507" w:rsidP="003331EF">
            <w:pPr>
              <w:spacing w:before="0"/>
              <w:rPr>
                <w:i/>
                <w:iCs/>
                <w:sz w:val="20"/>
                <w:szCs w:val="20"/>
                <w:lang w:eastAsia="en-US"/>
              </w:rPr>
            </w:pPr>
            <w:proofErr w:type="spellStart"/>
            <w:r w:rsidRPr="003331EF">
              <w:rPr>
                <w:i/>
                <w:iCs/>
                <w:sz w:val="20"/>
                <w:szCs w:val="20"/>
                <w:lang w:eastAsia="en-US"/>
              </w:rPr>
              <w:t>Krüptovarateenuse</w:t>
            </w:r>
            <w:proofErr w:type="spellEnd"/>
            <w:r w:rsidRPr="003331EF">
              <w:rPr>
                <w:i/>
                <w:iCs/>
                <w:sz w:val="20"/>
                <w:szCs w:val="20"/>
                <w:lang w:eastAsia="en-US"/>
              </w:rPr>
              <w:t xml:space="preserve"> osutamine</w:t>
            </w:r>
          </w:p>
        </w:tc>
        <w:tc>
          <w:tcPr>
            <w:tcW w:w="2207" w:type="dxa"/>
          </w:tcPr>
          <w:p w14:paraId="0DD5F32A" w14:textId="77777777" w:rsidR="001A4507" w:rsidRPr="003331EF" w:rsidRDefault="001A4507" w:rsidP="003331EF">
            <w:pPr>
              <w:pStyle w:val="Loendilik"/>
              <w:numPr>
                <w:ilvl w:val="0"/>
                <w:numId w:val="29"/>
              </w:numPr>
              <w:jc w:val="both"/>
              <w:rPr>
                <w:i/>
                <w:iCs/>
                <w:sz w:val="20"/>
                <w:szCs w:val="20"/>
              </w:rPr>
            </w:pPr>
            <w:r w:rsidRPr="003331EF">
              <w:rPr>
                <w:b/>
                <w:bCs/>
                <w:i/>
                <w:iCs/>
                <w:sz w:val="20"/>
                <w:szCs w:val="20"/>
              </w:rPr>
              <w:t>700 000 eurot</w:t>
            </w:r>
            <w:r w:rsidRPr="003331EF">
              <w:rPr>
                <w:i/>
                <w:iCs/>
                <w:sz w:val="20"/>
                <w:szCs w:val="20"/>
              </w:rPr>
              <w:t>;</w:t>
            </w:r>
          </w:p>
          <w:p w14:paraId="63DE473B" w14:textId="7D9FE614" w:rsidR="001A4507" w:rsidRPr="003331EF" w:rsidRDefault="00AD54BE" w:rsidP="003331EF">
            <w:pPr>
              <w:pStyle w:val="Loendilik"/>
              <w:numPr>
                <w:ilvl w:val="0"/>
                <w:numId w:val="29"/>
              </w:numPr>
              <w:jc w:val="both"/>
              <w:rPr>
                <w:i/>
                <w:iCs/>
                <w:sz w:val="20"/>
                <w:szCs w:val="20"/>
              </w:rPr>
            </w:pPr>
            <w:r>
              <w:rPr>
                <w:b/>
                <w:bCs/>
                <w:i/>
                <w:iCs/>
                <w:sz w:val="20"/>
                <w:szCs w:val="20"/>
              </w:rPr>
              <w:t>Kahe</w:t>
            </w:r>
            <w:r w:rsidR="001A4507" w:rsidRPr="003331EF">
              <w:rPr>
                <w:b/>
                <w:bCs/>
                <w:i/>
                <w:iCs/>
                <w:sz w:val="20"/>
                <w:szCs w:val="20"/>
              </w:rPr>
              <w:t>kordne</w:t>
            </w:r>
            <w:r w:rsidR="001A4507" w:rsidRPr="003331EF">
              <w:rPr>
                <w:i/>
                <w:iCs/>
                <w:sz w:val="20"/>
                <w:szCs w:val="20"/>
              </w:rPr>
              <w:t xml:space="preserve"> väärteo tulemusel teenitud kasule või ära hoitud kahjule vastav summa.</w:t>
            </w:r>
          </w:p>
        </w:tc>
        <w:tc>
          <w:tcPr>
            <w:tcW w:w="2207" w:type="dxa"/>
          </w:tcPr>
          <w:p w14:paraId="615F8C61" w14:textId="77777777" w:rsidR="001A4507" w:rsidRPr="003331EF" w:rsidRDefault="001A4507" w:rsidP="003331EF">
            <w:pPr>
              <w:pStyle w:val="Loendilik"/>
              <w:numPr>
                <w:ilvl w:val="0"/>
                <w:numId w:val="29"/>
              </w:numPr>
              <w:jc w:val="both"/>
              <w:rPr>
                <w:i/>
                <w:iCs/>
                <w:sz w:val="20"/>
                <w:szCs w:val="20"/>
              </w:rPr>
            </w:pPr>
            <w:r w:rsidRPr="003331EF">
              <w:rPr>
                <w:b/>
                <w:bCs/>
                <w:i/>
                <w:iCs/>
                <w:sz w:val="20"/>
                <w:szCs w:val="20"/>
              </w:rPr>
              <w:t>5 mln eurot</w:t>
            </w:r>
            <w:r w:rsidRPr="003331EF">
              <w:rPr>
                <w:i/>
                <w:iCs/>
                <w:sz w:val="20"/>
                <w:szCs w:val="20"/>
              </w:rPr>
              <w:t>;</w:t>
            </w:r>
          </w:p>
          <w:p w14:paraId="29995F4C" w14:textId="5DDB0B6D" w:rsidR="001A4507" w:rsidRPr="003331EF" w:rsidRDefault="00AD54BE" w:rsidP="003331EF">
            <w:pPr>
              <w:pStyle w:val="Loendilik"/>
              <w:numPr>
                <w:ilvl w:val="0"/>
                <w:numId w:val="29"/>
              </w:numPr>
              <w:jc w:val="both"/>
              <w:rPr>
                <w:i/>
                <w:iCs/>
                <w:sz w:val="20"/>
                <w:szCs w:val="20"/>
              </w:rPr>
            </w:pPr>
            <w:r>
              <w:rPr>
                <w:b/>
                <w:bCs/>
                <w:i/>
                <w:iCs/>
                <w:sz w:val="20"/>
                <w:szCs w:val="20"/>
              </w:rPr>
              <w:t>Kahe</w:t>
            </w:r>
            <w:r w:rsidR="001A4507" w:rsidRPr="003331EF">
              <w:rPr>
                <w:b/>
                <w:bCs/>
                <w:i/>
                <w:iCs/>
                <w:sz w:val="20"/>
                <w:szCs w:val="20"/>
              </w:rPr>
              <w:t>kordne</w:t>
            </w:r>
            <w:r w:rsidR="001A4507" w:rsidRPr="003331EF">
              <w:rPr>
                <w:i/>
                <w:iCs/>
                <w:sz w:val="20"/>
                <w:szCs w:val="20"/>
              </w:rPr>
              <w:t xml:space="preserve"> väärteo tulemusel teenitud kasule või ära hoitud kahjule vastav summa;</w:t>
            </w:r>
          </w:p>
          <w:p w14:paraId="7BE9BC53" w14:textId="6C0A304B" w:rsidR="001A4507" w:rsidRPr="003331EF" w:rsidRDefault="001A4507" w:rsidP="003331EF">
            <w:pPr>
              <w:pStyle w:val="Loendilik"/>
              <w:numPr>
                <w:ilvl w:val="0"/>
                <w:numId w:val="29"/>
              </w:numPr>
              <w:jc w:val="both"/>
              <w:rPr>
                <w:i/>
                <w:iCs/>
                <w:sz w:val="20"/>
                <w:szCs w:val="20"/>
              </w:rPr>
            </w:pPr>
            <w:r w:rsidRPr="003331EF">
              <w:rPr>
                <w:b/>
                <w:bCs/>
                <w:i/>
                <w:sz w:val="20"/>
                <w:szCs w:val="20"/>
              </w:rPr>
              <w:t>5%</w:t>
            </w:r>
            <w:r w:rsidRPr="003331EF">
              <w:rPr>
                <w:i/>
                <w:sz w:val="20"/>
                <w:szCs w:val="20"/>
              </w:rPr>
              <w:t xml:space="preserve"> aastasest kogukäibest.</w:t>
            </w:r>
          </w:p>
        </w:tc>
      </w:tr>
      <w:tr w:rsidR="003331EF" w:rsidRPr="003331EF" w14:paraId="468D53AE" w14:textId="77777777" w:rsidTr="00E043AB">
        <w:tc>
          <w:tcPr>
            <w:tcW w:w="2441" w:type="dxa"/>
            <w:shd w:val="clear" w:color="auto" w:fill="D9E2F3" w:themeFill="accent5" w:themeFillTint="33"/>
          </w:tcPr>
          <w:p w14:paraId="571DCE41" w14:textId="77777777" w:rsidR="001A4507" w:rsidRPr="003331EF" w:rsidRDefault="001A4507" w:rsidP="003331EF">
            <w:pPr>
              <w:spacing w:before="0"/>
              <w:rPr>
                <w:b/>
                <w:bCs/>
                <w:i/>
                <w:iCs/>
                <w:sz w:val="20"/>
                <w:szCs w:val="20"/>
                <w:lang w:eastAsia="en-US"/>
              </w:rPr>
            </w:pPr>
            <w:r w:rsidRPr="003331EF">
              <w:rPr>
                <w:b/>
                <w:bCs/>
                <w:i/>
                <w:iCs/>
                <w:sz w:val="20"/>
                <w:szCs w:val="20"/>
                <w:lang w:eastAsia="en-US"/>
              </w:rPr>
              <w:t>Artikkel 88</w:t>
            </w:r>
          </w:p>
        </w:tc>
        <w:tc>
          <w:tcPr>
            <w:tcW w:w="2206" w:type="dxa"/>
          </w:tcPr>
          <w:p w14:paraId="2D7E7A91" w14:textId="77777777" w:rsidR="001A4507" w:rsidRPr="003331EF" w:rsidRDefault="001A4507" w:rsidP="003331EF">
            <w:pPr>
              <w:spacing w:before="0"/>
              <w:rPr>
                <w:i/>
                <w:iCs/>
                <w:sz w:val="20"/>
                <w:szCs w:val="20"/>
                <w:lang w:eastAsia="en-US"/>
              </w:rPr>
            </w:pPr>
            <w:r w:rsidRPr="003331EF">
              <w:rPr>
                <w:i/>
                <w:iCs/>
                <w:sz w:val="20"/>
                <w:szCs w:val="20"/>
                <w:lang w:eastAsia="en-US"/>
              </w:rPr>
              <w:t>Siseteabe avalikustamine</w:t>
            </w:r>
          </w:p>
        </w:tc>
        <w:tc>
          <w:tcPr>
            <w:tcW w:w="2207" w:type="dxa"/>
          </w:tcPr>
          <w:p w14:paraId="6830D62E" w14:textId="77777777" w:rsidR="001A4507" w:rsidRPr="003331EF" w:rsidRDefault="001A4507" w:rsidP="003331EF">
            <w:pPr>
              <w:pStyle w:val="Loendilik"/>
              <w:numPr>
                <w:ilvl w:val="0"/>
                <w:numId w:val="30"/>
              </w:numPr>
              <w:jc w:val="both"/>
              <w:rPr>
                <w:b/>
                <w:bCs/>
                <w:i/>
                <w:iCs/>
                <w:sz w:val="20"/>
                <w:szCs w:val="20"/>
              </w:rPr>
            </w:pPr>
            <w:r w:rsidRPr="003331EF">
              <w:rPr>
                <w:b/>
                <w:bCs/>
                <w:i/>
                <w:iCs/>
                <w:sz w:val="20"/>
                <w:szCs w:val="20"/>
              </w:rPr>
              <w:t>1 mln eurot</w:t>
            </w:r>
            <w:r w:rsidRPr="00220D67">
              <w:rPr>
                <w:sz w:val="20"/>
                <w:szCs w:val="20"/>
              </w:rPr>
              <w:t>;</w:t>
            </w:r>
          </w:p>
          <w:p w14:paraId="349583D2" w14:textId="797AE1FE" w:rsidR="001A4507" w:rsidRPr="003331EF" w:rsidRDefault="00AD54BE" w:rsidP="003331EF">
            <w:pPr>
              <w:pStyle w:val="Loendilik"/>
              <w:numPr>
                <w:ilvl w:val="0"/>
                <w:numId w:val="30"/>
              </w:numPr>
              <w:jc w:val="both"/>
              <w:rPr>
                <w:i/>
                <w:iCs/>
                <w:sz w:val="20"/>
                <w:szCs w:val="20"/>
              </w:rPr>
            </w:pPr>
            <w:r>
              <w:rPr>
                <w:b/>
                <w:bCs/>
                <w:i/>
                <w:iCs/>
                <w:sz w:val="20"/>
                <w:szCs w:val="20"/>
              </w:rPr>
              <w:t>Kolme</w:t>
            </w:r>
            <w:r w:rsidR="001A4507" w:rsidRPr="003331EF">
              <w:rPr>
                <w:b/>
                <w:bCs/>
                <w:i/>
                <w:iCs/>
                <w:sz w:val="20"/>
                <w:szCs w:val="20"/>
              </w:rPr>
              <w:t>kordne</w:t>
            </w:r>
            <w:r w:rsidR="001A4507" w:rsidRPr="003331EF">
              <w:rPr>
                <w:i/>
                <w:iCs/>
                <w:sz w:val="20"/>
                <w:szCs w:val="20"/>
              </w:rPr>
              <w:t xml:space="preserve"> väärteo tulemusel teenitud kasule või ära hoitud kahjule vastav summa.</w:t>
            </w:r>
          </w:p>
        </w:tc>
        <w:tc>
          <w:tcPr>
            <w:tcW w:w="2207" w:type="dxa"/>
          </w:tcPr>
          <w:p w14:paraId="66EED259" w14:textId="77777777" w:rsidR="001A4507" w:rsidRPr="003331EF" w:rsidRDefault="001A4507" w:rsidP="003331EF">
            <w:pPr>
              <w:pStyle w:val="Loendilik"/>
              <w:numPr>
                <w:ilvl w:val="0"/>
                <w:numId w:val="29"/>
              </w:numPr>
              <w:jc w:val="both"/>
              <w:rPr>
                <w:i/>
                <w:iCs/>
                <w:sz w:val="20"/>
                <w:szCs w:val="20"/>
              </w:rPr>
            </w:pPr>
            <w:r w:rsidRPr="003331EF">
              <w:rPr>
                <w:b/>
                <w:bCs/>
                <w:i/>
                <w:iCs/>
                <w:sz w:val="20"/>
                <w:szCs w:val="20"/>
              </w:rPr>
              <w:t>2,5 mln eurot</w:t>
            </w:r>
            <w:r w:rsidRPr="00220D67">
              <w:rPr>
                <w:sz w:val="20"/>
                <w:szCs w:val="20"/>
              </w:rPr>
              <w:t>;</w:t>
            </w:r>
          </w:p>
          <w:p w14:paraId="73088FF9" w14:textId="75E6A77D" w:rsidR="001A4507" w:rsidRPr="003331EF" w:rsidRDefault="00AD54BE" w:rsidP="003331EF">
            <w:pPr>
              <w:pStyle w:val="Loendilik"/>
              <w:numPr>
                <w:ilvl w:val="0"/>
                <w:numId w:val="29"/>
              </w:numPr>
              <w:jc w:val="both"/>
              <w:rPr>
                <w:i/>
                <w:iCs/>
                <w:sz w:val="20"/>
                <w:szCs w:val="20"/>
              </w:rPr>
            </w:pPr>
            <w:r>
              <w:rPr>
                <w:b/>
                <w:bCs/>
                <w:i/>
                <w:iCs/>
                <w:sz w:val="20"/>
                <w:szCs w:val="20"/>
              </w:rPr>
              <w:t>Kolme</w:t>
            </w:r>
            <w:r w:rsidR="001A4507" w:rsidRPr="003331EF">
              <w:rPr>
                <w:b/>
                <w:bCs/>
                <w:i/>
                <w:iCs/>
                <w:sz w:val="20"/>
                <w:szCs w:val="20"/>
              </w:rPr>
              <w:t>kordne</w:t>
            </w:r>
            <w:r w:rsidR="001A4507" w:rsidRPr="003331EF">
              <w:rPr>
                <w:i/>
                <w:iCs/>
                <w:sz w:val="20"/>
                <w:szCs w:val="20"/>
              </w:rPr>
              <w:t xml:space="preserve"> väärteo tulemusel teenitud kasule või ära hoitud kahjule vastav summa;</w:t>
            </w:r>
          </w:p>
          <w:p w14:paraId="2A883606" w14:textId="6596A063" w:rsidR="001A4507" w:rsidRPr="003331EF" w:rsidRDefault="001A4507" w:rsidP="003331EF">
            <w:pPr>
              <w:pStyle w:val="Loendilik"/>
              <w:numPr>
                <w:ilvl w:val="0"/>
                <w:numId w:val="29"/>
              </w:numPr>
              <w:jc w:val="both"/>
              <w:rPr>
                <w:i/>
                <w:iCs/>
                <w:sz w:val="20"/>
                <w:szCs w:val="20"/>
              </w:rPr>
            </w:pPr>
            <w:r w:rsidRPr="003331EF">
              <w:rPr>
                <w:b/>
                <w:bCs/>
                <w:i/>
                <w:sz w:val="20"/>
                <w:szCs w:val="20"/>
              </w:rPr>
              <w:t>2%</w:t>
            </w:r>
            <w:r w:rsidRPr="003331EF">
              <w:rPr>
                <w:i/>
                <w:sz w:val="20"/>
                <w:szCs w:val="20"/>
              </w:rPr>
              <w:t xml:space="preserve"> aastasest kogukäibest.</w:t>
            </w:r>
          </w:p>
        </w:tc>
      </w:tr>
      <w:tr w:rsidR="003331EF" w:rsidRPr="003331EF" w14:paraId="3CF03D78" w14:textId="77777777" w:rsidTr="00E043AB">
        <w:tc>
          <w:tcPr>
            <w:tcW w:w="2441" w:type="dxa"/>
            <w:shd w:val="clear" w:color="auto" w:fill="D9E2F3" w:themeFill="accent5" w:themeFillTint="33"/>
          </w:tcPr>
          <w:p w14:paraId="36D00956" w14:textId="77777777" w:rsidR="001A4507" w:rsidRPr="003331EF" w:rsidRDefault="001A4507" w:rsidP="003331EF">
            <w:pPr>
              <w:spacing w:before="0"/>
              <w:rPr>
                <w:b/>
                <w:sz w:val="20"/>
                <w:szCs w:val="20"/>
              </w:rPr>
            </w:pPr>
            <w:r w:rsidRPr="003331EF">
              <w:rPr>
                <w:b/>
                <w:bCs/>
                <w:i/>
                <w:iCs/>
                <w:sz w:val="20"/>
                <w:szCs w:val="20"/>
                <w:lang w:eastAsia="en-US"/>
              </w:rPr>
              <w:t>Artiklite 89–92 rikkumine</w:t>
            </w:r>
          </w:p>
        </w:tc>
        <w:tc>
          <w:tcPr>
            <w:tcW w:w="2206" w:type="dxa"/>
          </w:tcPr>
          <w:p w14:paraId="6602FAE3" w14:textId="2F00EC91" w:rsidR="001A4507" w:rsidRPr="003331EF" w:rsidRDefault="001A4507" w:rsidP="003331EF">
            <w:pPr>
              <w:spacing w:before="0"/>
              <w:rPr>
                <w:i/>
                <w:iCs/>
                <w:sz w:val="20"/>
                <w:szCs w:val="20"/>
                <w:lang w:eastAsia="en-US"/>
              </w:rPr>
            </w:pPr>
            <w:r w:rsidRPr="003331EF">
              <w:rPr>
                <w:i/>
                <w:iCs/>
                <w:sz w:val="20"/>
                <w:szCs w:val="20"/>
                <w:lang w:eastAsia="en-US"/>
              </w:rPr>
              <w:t>Turukuritarvituse ennetamise</w:t>
            </w:r>
            <w:r w:rsidR="00220D67">
              <w:rPr>
                <w:i/>
                <w:iCs/>
                <w:sz w:val="20"/>
                <w:szCs w:val="20"/>
                <w:lang w:eastAsia="en-US"/>
              </w:rPr>
              <w:t> </w:t>
            </w:r>
            <w:r w:rsidRPr="003331EF">
              <w:rPr>
                <w:i/>
                <w:iCs/>
                <w:sz w:val="20"/>
                <w:szCs w:val="20"/>
                <w:lang w:eastAsia="en-US"/>
              </w:rPr>
              <w:t>ja avastamise nõuded</w:t>
            </w:r>
          </w:p>
        </w:tc>
        <w:tc>
          <w:tcPr>
            <w:tcW w:w="2207" w:type="dxa"/>
          </w:tcPr>
          <w:p w14:paraId="1B5FBDB8" w14:textId="77777777" w:rsidR="001A4507" w:rsidRPr="003331EF" w:rsidRDefault="001A4507" w:rsidP="003331EF">
            <w:pPr>
              <w:pStyle w:val="Loendilik"/>
              <w:numPr>
                <w:ilvl w:val="0"/>
                <w:numId w:val="30"/>
              </w:numPr>
              <w:jc w:val="both"/>
              <w:rPr>
                <w:b/>
                <w:bCs/>
                <w:i/>
                <w:iCs/>
                <w:sz w:val="20"/>
                <w:szCs w:val="20"/>
              </w:rPr>
            </w:pPr>
            <w:r w:rsidRPr="003331EF">
              <w:rPr>
                <w:b/>
                <w:bCs/>
                <w:i/>
                <w:iCs/>
                <w:sz w:val="20"/>
                <w:szCs w:val="20"/>
              </w:rPr>
              <w:t>5 mln eurot</w:t>
            </w:r>
            <w:r w:rsidRPr="00220D67">
              <w:rPr>
                <w:sz w:val="20"/>
                <w:szCs w:val="20"/>
              </w:rPr>
              <w:t>;</w:t>
            </w:r>
          </w:p>
          <w:p w14:paraId="42FDFADC" w14:textId="6094F255" w:rsidR="001A4507" w:rsidRPr="003331EF" w:rsidRDefault="00AD54BE" w:rsidP="003331EF">
            <w:pPr>
              <w:pStyle w:val="Loendilik"/>
              <w:numPr>
                <w:ilvl w:val="0"/>
                <w:numId w:val="30"/>
              </w:numPr>
              <w:jc w:val="both"/>
              <w:rPr>
                <w:b/>
                <w:bCs/>
                <w:i/>
                <w:iCs/>
                <w:sz w:val="20"/>
                <w:szCs w:val="20"/>
              </w:rPr>
            </w:pPr>
            <w:r>
              <w:rPr>
                <w:b/>
                <w:bCs/>
                <w:i/>
                <w:iCs/>
                <w:sz w:val="20"/>
                <w:szCs w:val="20"/>
              </w:rPr>
              <w:t>Kolme</w:t>
            </w:r>
            <w:r w:rsidR="001A4507" w:rsidRPr="003331EF">
              <w:rPr>
                <w:b/>
                <w:bCs/>
                <w:i/>
                <w:iCs/>
                <w:sz w:val="20"/>
                <w:szCs w:val="20"/>
              </w:rPr>
              <w:t>kordne</w:t>
            </w:r>
            <w:r w:rsidR="001A4507" w:rsidRPr="003331EF">
              <w:rPr>
                <w:i/>
                <w:iCs/>
                <w:sz w:val="20"/>
                <w:szCs w:val="20"/>
              </w:rPr>
              <w:t xml:space="preserve"> väärteo tulemusel teenitud kasule või ära hoitud kahjule vastav summa.</w:t>
            </w:r>
          </w:p>
        </w:tc>
        <w:tc>
          <w:tcPr>
            <w:tcW w:w="2207" w:type="dxa"/>
          </w:tcPr>
          <w:p w14:paraId="248D9A8C" w14:textId="77777777" w:rsidR="001A4507" w:rsidRPr="003331EF" w:rsidRDefault="001A4507" w:rsidP="003331EF">
            <w:pPr>
              <w:pStyle w:val="Loendilik"/>
              <w:numPr>
                <w:ilvl w:val="0"/>
                <w:numId w:val="29"/>
              </w:numPr>
              <w:jc w:val="both"/>
              <w:rPr>
                <w:i/>
                <w:iCs/>
                <w:sz w:val="20"/>
                <w:szCs w:val="20"/>
              </w:rPr>
            </w:pPr>
            <w:r w:rsidRPr="003331EF">
              <w:rPr>
                <w:b/>
                <w:bCs/>
                <w:i/>
                <w:iCs/>
                <w:sz w:val="20"/>
                <w:szCs w:val="20"/>
              </w:rPr>
              <w:t>15 mln eurot</w:t>
            </w:r>
            <w:r w:rsidRPr="00220D67">
              <w:rPr>
                <w:sz w:val="20"/>
                <w:szCs w:val="20"/>
              </w:rPr>
              <w:t>;</w:t>
            </w:r>
          </w:p>
          <w:p w14:paraId="676EB16B" w14:textId="4D58C1F2" w:rsidR="001A4507" w:rsidRPr="003331EF" w:rsidRDefault="00AD54BE" w:rsidP="003331EF">
            <w:pPr>
              <w:pStyle w:val="Loendilik"/>
              <w:numPr>
                <w:ilvl w:val="0"/>
                <w:numId w:val="29"/>
              </w:numPr>
              <w:jc w:val="both"/>
              <w:rPr>
                <w:i/>
                <w:iCs/>
                <w:sz w:val="20"/>
                <w:szCs w:val="20"/>
              </w:rPr>
            </w:pPr>
            <w:r>
              <w:rPr>
                <w:b/>
                <w:bCs/>
                <w:i/>
                <w:iCs/>
                <w:sz w:val="20"/>
                <w:szCs w:val="20"/>
              </w:rPr>
              <w:t>Kolme</w:t>
            </w:r>
            <w:r w:rsidR="001A4507" w:rsidRPr="003331EF">
              <w:rPr>
                <w:b/>
                <w:bCs/>
                <w:i/>
                <w:iCs/>
                <w:sz w:val="20"/>
                <w:szCs w:val="20"/>
              </w:rPr>
              <w:t>kordne</w:t>
            </w:r>
            <w:r w:rsidR="001A4507" w:rsidRPr="003331EF">
              <w:rPr>
                <w:i/>
                <w:iCs/>
                <w:sz w:val="20"/>
                <w:szCs w:val="20"/>
              </w:rPr>
              <w:t xml:space="preserve"> väärteo tulemusel teenitud kasule või ära hoitud kahjule vastav summa;</w:t>
            </w:r>
          </w:p>
          <w:p w14:paraId="1C99376E" w14:textId="6115514E" w:rsidR="001A4507" w:rsidRPr="003331EF" w:rsidRDefault="001A4507" w:rsidP="003331EF">
            <w:pPr>
              <w:pStyle w:val="Loendilik"/>
              <w:numPr>
                <w:ilvl w:val="0"/>
                <w:numId w:val="29"/>
              </w:numPr>
              <w:jc w:val="both"/>
              <w:rPr>
                <w:i/>
                <w:iCs/>
                <w:sz w:val="20"/>
                <w:szCs w:val="20"/>
              </w:rPr>
            </w:pPr>
            <w:r w:rsidRPr="003331EF">
              <w:rPr>
                <w:b/>
                <w:bCs/>
                <w:i/>
                <w:sz w:val="20"/>
                <w:szCs w:val="20"/>
              </w:rPr>
              <w:t>15%</w:t>
            </w:r>
            <w:r w:rsidRPr="003331EF">
              <w:rPr>
                <w:i/>
                <w:sz w:val="20"/>
                <w:szCs w:val="20"/>
              </w:rPr>
              <w:t xml:space="preserve"> aastasest kogukäibest.</w:t>
            </w:r>
          </w:p>
        </w:tc>
      </w:tr>
    </w:tbl>
    <w:p w14:paraId="0EBB351A" w14:textId="77777777" w:rsidR="00537D4E" w:rsidRPr="003331EF" w:rsidRDefault="00537D4E" w:rsidP="003331EF">
      <w:pPr>
        <w:spacing w:before="0"/>
        <w:rPr>
          <w:b/>
        </w:rPr>
      </w:pPr>
    </w:p>
    <w:p w14:paraId="517C314C" w14:textId="77777777" w:rsidR="00436C79" w:rsidRPr="003331EF" w:rsidRDefault="00436C79" w:rsidP="003331EF">
      <w:pPr>
        <w:spacing w:before="0"/>
        <w:rPr>
          <w:b/>
        </w:rPr>
      </w:pPr>
    </w:p>
    <w:p w14:paraId="555C2385" w14:textId="23BABAFB" w:rsidR="008D72CB" w:rsidRPr="003331EF" w:rsidRDefault="008D72CB" w:rsidP="003331EF">
      <w:pPr>
        <w:spacing w:before="0"/>
        <w:rPr>
          <w:b/>
        </w:rPr>
      </w:pPr>
      <w:r w:rsidRPr="003331EF">
        <w:rPr>
          <w:b/>
        </w:rPr>
        <w:t>Paragrahv 4</w:t>
      </w:r>
      <w:r w:rsidR="00C85B2B" w:rsidRPr="003331EF">
        <w:rPr>
          <w:b/>
        </w:rPr>
        <w:t>3</w:t>
      </w:r>
      <w:r w:rsidRPr="003331EF">
        <w:rPr>
          <w:b/>
        </w:rPr>
        <w:t xml:space="preserve">. </w:t>
      </w:r>
      <w:r w:rsidRPr="003331EF">
        <w:rPr>
          <w:rFonts w:asciiTheme="majorBidi" w:hAnsiTheme="majorBidi" w:cstheme="majorBidi"/>
          <w:b/>
          <w:bCs/>
        </w:rPr>
        <w:t>Teabe esitamise kohustuse rikkumine</w:t>
      </w:r>
    </w:p>
    <w:p w14:paraId="71B6BBA4" w14:textId="77777777" w:rsidR="008D72CB" w:rsidRPr="003331EF" w:rsidRDefault="008D72CB" w:rsidP="003331EF">
      <w:pPr>
        <w:spacing w:before="0"/>
        <w:rPr>
          <w:b/>
        </w:rPr>
      </w:pPr>
    </w:p>
    <w:p w14:paraId="087F34EE" w14:textId="0DA65D3E" w:rsidR="00DC3F24" w:rsidRPr="003331EF" w:rsidRDefault="001A4507" w:rsidP="003331EF">
      <w:pPr>
        <w:spacing w:before="0"/>
        <w:rPr>
          <w:iCs/>
          <w:spacing w:val="-5"/>
          <w:lang w:eastAsia="en-US"/>
        </w:rPr>
      </w:pPr>
      <w:r w:rsidRPr="003331EF">
        <w:rPr>
          <w:b/>
        </w:rPr>
        <w:t xml:space="preserve">Paragrahv </w:t>
      </w:r>
      <w:r w:rsidR="002E4BB8" w:rsidRPr="003331EF">
        <w:rPr>
          <w:b/>
        </w:rPr>
        <w:t>4</w:t>
      </w:r>
      <w:r w:rsidR="00C85B2B" w:rsidRPr="003331EF">
        <w:rPr>
          <w:b/>
        </w:rPr>
        <w:t>3</w:t>
      </w:r>
      <w:r w:rsidRPr="003331EF">
        <w:rPr>
          <w:b/>
        </w:rPr>
        <w:t xml:space="preserve">. </w:t>
      </w:r>
      <w:r w:rsidRPr="003331EF">
        <w:rPr>
          <w:iCs/>
          <w:spacing w:val="-5"/>
          <w:lang w:eastAsia="en-US"/>
        </w:rPr>
        <w:t xml:space="preserve">Kuna seaduses on sätestatud </w:t>
      </w:r>
      <w:r w:rsidR="00836F70" w:rsidRPr="003331EF">
        <w:rPr>
          <w:iCs/>
          <w:spacing w:val="-5"/>
          <w:lang w:eastAsia="en-US"/>
        </w:rPr>
        <w:t xml:space="preserve">mh </w:t>
      </w:r>
      <w:r w:rsidR="002E4BB8" w:rsidRPr="003331EF">
        <w:rPr>
          <w:iCs/>
          <w:spacing w:val="-5"/>
          <w:lang w:eastAsia="en-US"/>
        </w:rPr>
        <w:t xml:space="preserve">Finantsinspektsioonile sellise teabe ja aruannete esitamise kohustus, mis ei tulene </w:t>
      </w:r>
      <w:proofErr w:type="spellStart"/>
      <w:r w:rsidR="002E4BB8" w:rsidRPr="003331EF">
        <w:rPr>
          <w:iCs/>
          <w:spacing w:val="-5"/>
          <w:lang w:eastAsia="en-US"/>
        </w:rPr>
        <w:t>M</w:t>
      </w:r>
      <w:r w:rsidR="00197240" w:rsidRPr="003331EF">
        <w:rPr>
          <w:iCs/>
          <w:spacing w:val="-5"/>
          <w:lang w:eastAsia="en-US"/>
        </w:rPr>
        <w:t>i</w:t>
      </w:r>
      <w:r w:rsidR="002E4BB8" w:rsidRPr="003331EF">
        <w:rPr>
          <w:iCs/>
          <w:spacing w:val="-5"/>
          <w:lang w:eastAsia="en-US"/>
        </w:rPr>
        <w:t>CA</w:t>
      </w:r>
      <w:proofErr w:type="spellEnd"/>
      <w:r w:rsidR="000063B4" w:rsidRPr="003331EF">
        <w:rPr>
          <w:iCs/>
          <w:spacing w:val="-5"/>
          <w:lang w:eastAsia="en-US"/>
        </w:rPr>
        <w:t xml:space="preserve"> või DORA</w:t>
      </w:r>
      <w:r w:rsidR="002E4BB8" w:rsidRPr="003331EF">
        <w:rPr>
          <w:iCs/>
          <w:spacing w:val="-5"/>
          <w:lang w:eastAsia="en-US"/>
        </w:rPr>
        <w:t xml:space="preserve"> määrusest </w:t>
      </w:r>
      <w:r w:rsidR="00DC3F24" w:rsidRPr="003331EF">
        <w:rPr>
          <w:iCs/>
          <w:spacing w:val="-5"/>
          <w:lang w:eastAsia="en-US"/>
        </w:rPr>
        <w:t xml:space="preserve">(selline </w:t>
      </w:r>
      <w:r w:rsidRPr="003331EF">
        <w:rPr>
          <w:iCs/>
          <w:spacing w:val="-5"/>
          <w:lang w:eastAsia="en-US"/>
        </w:rPr>
        <w:t>teave on vajalik Finantsinspektsioonile järelevalve teostamiseks), siis paragrahv näeb ette vastutuse juhuks</w:t>
      </w:r>
      <w:r w:rsidR="00C85B2B" w:rsidRPr="003331EF">
        <w:rPr>
          <w:iCs/>
          <w:spacing w:val="-5"/>
          <w:lang w:eastAsia="en-US"/>
        </w:rPr>
        <w:t>,</w:t>
      </w:r>
      <w:r w:rsidR="0092501F" w:rsidRPr="003331EF">
        <w:rPr>
          <w:iCs/>
          <w:spacing w:val="-5"/>
          <w:lang w:eastAsia="en-US"/>
        </w:rPr>
        <w:t xml:space="preserve"> kui seaduses sätestatud aruande, dokumendi, selgituse või muu teabe (mille esitamise ja avalikustamise </w:t>
      </w:r>
      <w:r w:rsidR="0092501F" w:rsidRPr="003331EF">
        <w:rPr>
          <w:iCs/>
          <w:spacing w:val="-5"/>
          <w:lang w:eastAsia="en-US"/>
        </w:rPr>
        <w:lastRenderedPageBreak/>
        <w:t xml:space="preserve">kohustus ei tulene </w:t>
      </w:r>
      <w:proofErr w:type="spellStart"/>
      <w:r w:rsidR="0092501F" w:rsidRPr="003331EF">
        <w:rPr>
          <w:iCs/>
          <w:spacing w:val="-5"/>
          <w:lang w:eastAsia="en-US"/>
        </w:rPr>
        <w:t>M</w:t>
      </w:r>
      <w:r w:rsidR="00197240" w:rsidRPr="003331EF">
        <w:rPr>
          <w:iCs/>
          <w:spacing w:val="-5"/>
          <w:lang w:eastAsia="en-US"/>
        </w:rPr>
        <w:t>i</w:t>
      </w:r>
      <w:r w:rsidR="0092501F" w:rsidRPr="003331EF">
        <w:rPr>
          <w:iCs/>
          <w:spacing w:val="-5"/>
          <w:lang w:eastAsia="en-US"/>
        </w:rPr>
        <w:t>CA</w:t>
      </w:r>
      <w:proofErr w:type="spellEnd"/>
      <w:r w:rsidR="0092501F" w:rsidRPr="003331EF">
        <w:rPr>
          <w:iCs/>
          <w:spacing w:val="-5"/>
          <w:lang w:eastAsia="en-US"/>
        </w:rPr>
        <w:t xml:space="preserve"> </w:t>
      </w:r>
      <w:r w:rsidR="000063B4" w:rsidRPr="003331EF">
        <w:rPr>
          <w:iCs/>
          <w:spacing w:val="-5"/>
          <w:lang w:eastAsia="en-US"/>
        </w:rPr>
        <w:t xml:space="preserve">või DORA </w:t>
      </w:r>
      <w:r w:rsidR="0092501F" w:rsidRPr="003331EF">
        <w:rPr>
          <w:iCs/>
          <w:spacing w:val="-5"/>
          <w:lang w:eastAsia="en-US"/>
        </w:rPr>
        <w:t xml:space="preserve">määrusest), esitamisest keeldutakse või ei esitata õigeaegselt või esitatakse ebaõige või puudulik teave. </w:t>
      </w:r>
      <w:r w:rsidR="00DC3F24" w:rsidRPr="003331EF">
        <w:rPr>
          <w:iCs/>
          <w:spacing w:val="-5"/>
          <w:lang w:eastAsia="en-US"/>
        </w:rPr>
        <w:t xml:space="preserve">Näiteks on selliseks teabeks §-s 15 sätestatud aruanded ja sama paragrahvi lõike 6 alusel küsitavad täiendavad andmed. </w:t>
      </w:r>
    </w:p>
    <w:p w14:paraId="255C01C6" w14:textId="77777777" w:rsidR="00DC3F24" w:rsidRPr="003331EF" w:rsidRDefault="00DC3F24" w:rsidP="003331EF">
      <w:pPr>
        <w:spacing w:before="0"/>
        <w:rPr>
          <w:iCs/>
          <w:spacing w:val="-5"/>
          <w:lang w:eastAsia="en-US"/>
        </w:rPr>
      </w:pPr>
    </w:p>
    <w:p w14:paraId="063E3A25" w14:textId="4253D696" w:rsidR="0092501F" w:rsidRPr="003331EF" w:rsidRDefault="0092501F" w:rsidP="003331EF">
      <w:pPr>
        <w:spacing w:before="0"/>
        <w:rPr>
          <w:iCs/>
          <w:spacing w:val="-5"/>
          <w:lang w:eastAsia="en-US"/>
        </w:rPr>
      </w:pPr>
      <w:proofErr w:type="spellStart"/>
      <w:r w:rsidRPr="003331EF">
        <w:rPr>
          <w:iCs/>
          <w:spacing w:val="-5"/>
          <w:lang w:eastAsia="en-US"/>
        </w:rPr>
        <w:t>M</w:t>
      </w:r>
      <w:r w:rsidR="00197240"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määrusest tulenevate aruannete ja teabe esitamise kohustuse rikkumine on kaetud eelpool olevate vastutuse paragrahvidega viitega </w:t>
      </w:r>
      <w:proofErr w:type="spellStart"/>
      <w:r w:rsidRPr="003331EF">
        <w:rPr>
          <w:iCs/>
          <w:spacing w:val="-5"/>
          <w:lang w:eastAsia="en-US"/>
        </w:rPr>
        <w:t>M</w:t>
      </w:r>
      <w:r w:rsidR="00197240"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 nõuete rikkumisele</w:t>
      </w:r>
      <w:r w:rsidR="00F055EB" w:rsidRPr="003331EF">
        <w:rPr>
          <w:iCs/>
          <w:spacing w:val="-5"/>
          <w:lang w:eastAsia="en-US"/>
        </w:rPr>
        <w:t xml:space="preserve"> (§-d 3</w:t>
      </w:r>
      <w:r w:rsidR="00C85B2B" w:rsidRPr="003331EF">
        <w:rPr>
          <w:iCs/>
          <w:spacing w:val="-5"/>
          <w:lang w:eastAsia="en-US"/>
        </w:rPr>
        <w:t>7</w:t>
      </w:r>
      <w:r w:rsidR="00F055EB" w:rsidRPr="003331EF">
        <w:rPr>
          <w:iCs/>
          <w:spacing w:val="-5"/>
          <w:lang w:eastAsia="en-US"/>
        </w:rPr>
        <w:t>–4</w:t>
      </w:r>
      <w:r w:rsidR="00C85B2B" w:rsidRPr="003331EF">
        <w:rPr>
          <w:iCs/>
          <w:spacing w:val="-5"/>
          <w:lang w:eastAsia="en-US"/>
        </w:rPr>
        <w:t>2</w:t>
      </w:r>
      <w:r w:rsidR="00F055EB" w:rsidRPr="003331EF">
        <w:rPr>
          <w:iCs/>
          <w:spacing w:val="-5"/>
          <w:lang w:eastAsia="en-US"/>
        </w:rPr>
        <w:t>)</w:t>
      </w:r>
      <w:r w:rsidRPr="003331EF">
        <w:rPr>
          <w:iCs/>
          <w:spacing w:val="-5"/>
          <w:lang w:eastAsia="en-US"/>
        </w:rPr>
        <w:t xml:space="preserve">. </w:t>
      </w:r>
    </w:p>
    <w:p w14:paraId="6B105CF8" w14:textId="77777777" w:rsidR="00836F70" w:rsidRPr="003331EF" w:rsidRDefault="00836F70" w:rsidP="003331EF">
      <w:pPr>
        <w:spacing w:before="0"/>
        <w:rPr>
          <w:bCs/>
        </w:rPr>
      </w:pPr>
    </w:p>
    <w:p w14:paraId="41279F0A" w14:textId="6D3F5320" w:rsidR="001A4507" w:rsidRPr="003331EF" w:rsidRDefault="006B4C2E" w:rsidP="003331EF">
      <w:pPr>
        <w:spacing w:before="0"/>
        <w:rPr>
          <w:iCs/>
          <w:spacing w:val="-5"/>
          <w:lang w:eastAsia="en-US"/>
        </w:rPr>
      </w:pPr>
      <w:r w:rsidRPr="003331EF">
        <w:rPr>
          <w:iCs/>
          <w:spacing w:val="-5"/>
          <w:lang w:eastAsia="en-US"/>
        </w:rPr>
        <w:t>Kuigi m</w:t>
      </w:r>
      <w:r w:rsidR="001A4507" w:rsidRPr="003331EF">
        <w:rPr>
          <w:iCs/>
          <w:spacing w:val="-5"/>
          <w:lang w:eastAsia="en-US"/>
        </w:rPr>
        <w:t xml:space="preserve">aksimum karistussuuruse määramisel on lähtutud samadest suurustest, mis on ette nähtud </w:t>
      </w:r>
      <w:proofErr w:type="spellStart"/>
      <w:r w:rsidR="001A4507" w:rsidRPr="003331EF">
        <w:rPr>
          <w:iCs/>
          <w:spacing w:val="-5"/>
          <w:lang w:eastAsia="en-US"/>
        </w:rPr>
        <w:t>krüptovarateenuse</w:t>
      </w:r>
      <w:proofErr w:type="spellEnd"/>
      <w:r w:rsidR="001A4507" w:rsidRPr="003331EF">
        <w:rPr>
          <w:iCs/>
          <w:spacing w:val="-5"/>
          <w:lang w:eastAsia="en-US"/>
        </w:rPr>
        <w:t xml:space="preserve"> osutajale MICA määruse nõuete rikkumise eest</w:t>
      </w:r>
      <w:r w:rsidRPr="003331EF">
        <w:rPr>
          <w:iCs/>
          <w:spacing w:val="-5"/>
          <w:lang w:eastAsia="en-US"/>
        </w:rPr>
        <w:t xml:space="preserve">, siis kohaldub </w:t>
      </w:r>
      <w:r w:rsidR="00460520" w:rsidRPr="003331EF">
        <w:rPr>
          <w:iCs/>
          <w:spacing w:val="-5"/>
          <w:lang w:eastAsia="en-US"/>
        </w:rPr>
        <w:t>käesolev</w:t>
      </w:r>
      <w:r w:rsidRPr="003331EF">
        <w:rPr>
          <w:iCs/>
          <w:spacing w:val="-5"/>
          <w:lang w:eastAsia="en-US"/>
        </w:rPr>
        <w:t xml:space="preserve"> paragrahv kõikide </w:t>
      </w:r>
      <w:proofErr w:type="spellStart"/>
      <w:r w:rsidRPr="003331EF">
        <w:rPr>
          <w:iCs/>
          <w:spacing w:val="-5"/>
          <w:lang w:eastAsia="en-US"/>
        </w:rPr>
        <w:t>krüptovaraturu</w:t>
      </w:r>
      <w:proofErr w:type="spellEnd"/>
      <w:r w:rsidRPr="003331EF">
        <w:rPr>
          <w:iCs/>
          <w:spacing w:val="-5"/>
          <w:lang w:eastAsia="en-US"/>
        </w:rPr>
        <w:t xml:space="preserve"> osaliste ja lepinguriigi filiaalide suhtes (nt aruanded, mis käesoleva seaduse alusel neile </w:t>
      </w:r>
      <w:r w:rsidR="00A06E57" w:rsidRPr="003331EF">
        <w:rPr>
          <w:iCs/>
          <w:spacing w:val="-5"/>
          <w:lang w:eastAsia="en-US"/>
        </w:rPr>
        <w:t xml:space="preserve">koostamiseks ja Finantsinspektsioonile esitamiseks </w:t>
      </w:r>
      <w:r w:rsidRPr="003331EF">
        <w:rPr>
          <w:iCs/>
          <w:spacing w:val="-5"/>
          <w:lang w:eastAsia="en-US"/>
        </w:rPr>
        <w:t>kehtestatakse).</w:t>
      </w:r>
    </w:p>
    <w:p w14:paraId="280D234B" w14:textId="77777777" w:rsidR="001A4507" w:rsidRPr="003331EF" w:rsidRDefault="001A4507" w:rsidP="003331EF">
      <w:pPr>
        <w:spacing w:before="0"/>
        <w:rPr>
          <w:bCs/>
        </w:rPr>
      </w:pPr>
    </w:p>
    <w:p w14:paraId="765DD8B4" w14:textId="55BCD521" w:rsidR="008D72CB" w:rsidRPr="003331EF" w:rsidRDefault="008D72CB" w:rsidP="003331EF">
      <w:pPr>
        <w:spacing w:before="0"/>
        <w:rPr>
          <w:b/>
        </w:rPr>
      </w:pPr>
      <w:r w:rsidRPr="003331EF">
        <w:rPr>
          <w:b/>
        </w:rPr>
        <w:t>Paragrahv 4</w:t>
      </w:r>
      <w:r w:rsidR="00825536" w:rsidRPr="003331EF">
        <w:rPr>
          <w:b/>
        </w:rPr>
        <w:t>4</w:t>
      </w:r>
      <w:r w:rsidRPr="003331EF">
        <w:rPr>
          <w:b/>
        </w:rPr>
        <w:t>. Digitaalse tegevuskerksuse nõuete rikkumine</w:t>
      </w:r>
    </w:p>
    <w:p w14:paraId="3C3B937F" w14:textId="77777777" w:rsidR="008D72CB" w:rsidRPr="003331EF" w:rsidRDefault="008D72CB" w:rsidP="003331EF">
      <w:pPr>
        <w:spacing w:before="0"/>
        <w:rPr>
          <w:b/>
        </w:rPr>
      </w:pPr>
    </w:p>
    <w:p w14:paraId="1B0FB3DD" w14:textId="3E79C273" w:rsidR="001A4507" w:rsidRPr="003331EF" w:rsidRDefault="001A4507" w:rsidP="003331EF">
      <w:pPr>
        <w:spacing w:before="0"/>
        <w:rPr>
          <w:iCs/>
          <w:spacing w:val="-5"/>
          <w:lang w:eastAsia="en-US"/>
        </w:rPr>
      </w:pPr>
      <w:r w:rsidRPr="003331EF">
        <w:rPr>
          <w:b/>
        </w:rPr>
        <w:t xml:space="preserve">Paragrahv </w:t>
      </w:r>
      <w:r w:rsidR="008D72CB" w:rsidRPr="003331EF">
        <w:rPr>
          <w:b/>
        </w:rPr>
        <w:t>4</w:t>
      </w:r>
      <w:r w:rsidR="00825536" w:rsidRPr="003331EF">
        <w:rPr>
          <w:b/>
        </w:rPr>
        <w:t>4</w:t>
      </w:r>
      <w:r w:rsidR="008D72CB" w:rsidRPr="003331EF">
        <w:rPr>
          <w:bCs/>
        </w:rPr>
        <w:t xml:space="preserve"> </w:t>
      </w:r>
      <w:r w:rsidRPr="003331EF">
        <w:rPr>
          <w:iCs/>
          <w:spacing w:val="-5"/>
          <w:lang w:eastAsia="en-US"/>
        </w:rPr>
        <w:t>võimaldab karistada DORA määruse nõuete rikkumise eest. Nimelt on DORA määruse art 50 lõikes 3 sätestatud, et  liikmesriigid kehtestavad õigusnormid, milles sätestatakse asjakohased karistused ja parandusmeetmed määruse rikkumise puhuks, ning tagavad nende tulemusliku rakendamise. Sama artikli lõike 4 punktis c on sätestatud, et  liikmesriigid annavad pädevatele asutustele õiguse võtta mis tahes liiki meetmeid, sealhulgas rahalisi meetmeid, tagamaks, et finantssektori ettevõtjad jätkavad õigusnormide järgimist.</w:t>
      </w:r>
    </w:p>
    <w:p w14:paraId="4473E0EE" w14:textId="77777777" w:rsidR="001A4507" w:rsidRPr="003331EF" w:rsidRDefault="001A4507" w:rsidP="003331EF">
      <w:pPr>
        <w:spacing w:before="0"/>
        <w:rPr>
          <w:bCs/>
        </w:rPr>
      </w:pPr>
    </w:p>
    <w:p w14:paraId="2C88D46B" w14:textId="77777777" w:rsidR="001A4507" w:rsidRPr="003331EF" w:rsidRDefault="001A4507" w:rsidP="003331EF">
      <w:pPr>
        <w:spacing w:before="0"/>
        <w:rPr>
          <w:iCs/>
          <w:spacing w:val="-5"/>
          <w:lang w:eastAsia="en-US"/>
        </w:rPr>
      </w:pPr>
      <w:r w:rsidRPr="003331EF">
        <w:rPr>
          <w:iCs/>
          <w:spacing w:val="-5"/>
          <w:lang w:eastAsia="en-US"/>
        </w:rPr>
        <w:t>Lõike 1 sõnastuses on viidatud järgmistele DORA määruse nõuete rikkumistele:</w:t>
      </w:r>
    </w:p>
    <w:p w14:paraId="1849CB10" w14:textId="77777777" w:rsidR="001A4507" w:rsidRPr="003331EF" w:rsidRDefault="001A4507" w:rsidP="003331EF">
      <w:pPr>
        <w:pStyle w:val="Loendilik"/>
        <w:numPr>
          <w:ilvl w:val="0"/>
          <w:numId w:val="31"/>
        </w:numPr>
        <w:jc w:val="both"/>
        <w:rPr>
          <w:iCs/>
          <w:spacing w:val="-5"/>
        </w:rPr>
      </w:pPr>
      <w:r w:rsidRPr="003331EF">
        <w:rPr>
          <w:iCs/>
          <w:spacing w:val="-5"/>
        </w:rPr>
        <w:t>art 5–14: IKT- riski juhtimine;</w:t>
      </w:r>
    </w:p>
    <w:p w14:paraId="61FFF582" w14:textId="7F79EFB5" w:rsidR="001A4507" w:rsidRPr="003331EF" w:rsidRDefault="001A4507" w:rsidP="003331EF">
      <w:pPr>
        <w:pStyle w:val="Loendilik"/>
        <w:numPr>
          <w:ilvl w:val="0"/>
          <w:numId w:val="31"/>
        </w:numPr>
        <w:jc w:val="both"/>
        <w:rPr>
          <w:iCs/>
          <w:spacing w:val="-5"/>
        </w:rPr>
      </w:pPr>
      <w:r w:rsidRPr="003331EF">
        <w:rPr>
          <w:iCs/>
          <w:spacing w:val="-5"/>
        </w:rPr>
        <w:t>art 16–18, art 19 lõiked 1</w:t>
      </w:r>
      <w:r w:rsidR="00A35898">
        <w:rPr>
          <w:iCs/>
          <w:spacing w:val="-5"/>
        </w:rPr>
        <w:t>, 3</w:t>
      </w:r>
      <w:r w:rsidRPr="003331EF">
        <w:rPr>
          <w:iCs/>
          <w:spacing w:val="-5"/>
        </w:rPr>
        <w:t>–5: IKT intsidentide haldamine ja liigitamine ning nendest teavitamine;</w:t>
      </w:r>
    </w:p>
    <w:p w14:paraId="337A6E1E" w14:textId="77777777" w:rsidR="001A4507" w:rsidRPr="003331EF" w:rsidRDefault="001A4507" w:rsidP="003331EF">
      <w:pPr>
        <w:pStyle w:val="Loendilik"/>
        <w:numPr>
          <w:ilvl w:val="0"/>
          <w:numId w:val="31"/>
        </w:numPr>
        <w:jc w:val="both"/>
        <w:rPr>
          <w:iCs/>
          <w:spacing w:val="-5"/>
        </w:rPr>
      </w:pPr>
      <w:r w:rsidRPr="003331EF">
        <w:rPr>
          <w:iCs/>
          <w:spacing w:val="-5"/>
        </w:rPr>
        <w:t>art 24, 25, art 27 lõiked 1–8: digitaalse tegevuskerksuse testimine;</w:t>
      </w:r>
    </w:p>
    <w:p w14:paraId="7ADF5255" w14:textId="77777777" w:rsidR="001A4507" w:rsidRPr="003331EF" w:rsidRDefault="001A4507" w:rsidP="003331EF">
      <w:pPr>
        <w:pStyle w:val="Loendilik"/>
        <w:numPr>
          <w:ilvl w:val="0"/>
          <w:numId w:val="31"/>
        </w:numPr>
        <w:jc w:val="both"/>
        <w:rPr>
          <w:iCs/>
          <w:spacing w:val="-5"/>
        </w:rPr>
      </w:pPr>
      <w:r w:rsidRPr="003331EF">
        <w:rPr>
          <w:iCs/>
          <w:spacing w:val="-5"/>
        </w:rPr>
        <w:t>art 28 lõiked 1–8, art 29, art 30 lõiked 1–4: kolmandast isikust tuleneva IKT-riski juhtimine;</w:t>
      </w:r>
    </w:p>
    <w:p w14:paraId="6466741F" w14:textId="77777777" w:rsidR="001A4507" w:rsidRDefault="001A4507" w:rsidP="003331EF">
      <w:pPr>
        <w:pStyle w:val="Loendilik"/>
        <w:numPr>
          <w:ilvl w:val="0"/>
          <w:numId w:val="31"/>
        </w:numPr>
        <w:jc w:val="both"/>
        <w:rPr>
          <w:iCs/>
          <w:spacing w:val="-5"/>
        </w:rPr>
      </w:pPr>
      <w:r w:rsidRPr="003331EF">
        <w:rPr>
          <w:iCs/>
          <w:spacing w:val="-5"/>
        </w:rPr>
        <w:t xml:space="preserve">art 42 lg 3: kolmanda isikuga seotud riskide arvesse võtmine.   </w:t>
      </w:r>
    </w:p>
    <w:p w14:paraId="5226D77E" w14:textId="77777777" w:rsidR="001A4507" w:rsidRDefault="001A4507" w:rsidP="003331EF">
      <w:pPr>
        <w:spacing w:before="0"/>
        <w:rPr>
          <w:b/>
        </w:rPr>
      </w:pPr>
    </w:p>
    <w:p w14:paraId="30A8F1FC" w14:textId="60258C8B" w:rsidR="008D72CB" w:rsidRPr="003331EF" w:rsidRDefault="008D72CB" w:rsidP="003331EF">
      <w:pPr>
        <w:spacing w:before="0"/>
        <w:rPr>
          <w:b/>
        </w:rPr>
      </w:pPr>
      <w:r w:rsidRPr="003331EF">
        <w:rPr>
          <w:b/>
        </w:rPr>
        <w:t>Paragrahv 4</w:t>
      </w:r>
      <w:r w:rsidR="00C85B2B" w:rsidRPr="003331EF">
        <w:rPr>
          <w:b/>
        </w:rPr>
        <w:t>5</w:t>
      </w:r>
      <w:r w:rsidRPr="003331EF">
        <w:rPr>
          <w:b/>
        </w:rPr>
        <w:t xml:space="preserve">. </w:t>
      </w:r>
      <w:proofErr w:type="spellStart"/>
      <w:r w:rsidRPr="003331EF">
        <w:rPr>
          <w:b/>
        </w:rPr>
        <w:t>Krüptovarateenuse</w:t>
      </w:r>
      <w:proofErr w:type="spellEnd"/>
      <w:r w:rsidRPr="003331EF">
        <w:rPr>
          <w:b/>
        </w:rPr>
        <w:t xml:space="preserve"> osutaja ja varapõhise </w:t>
      </w:r>
      <w:proofErr w:type="spellStart"/>
      <w:r w:rsidRPr="003331EF">
        <w:rPr>
          <w:b/>
        </w:rPr>
        <w:t>tokeni</w:t>
      </w:r>
      <w:proofErr w:type="spellEnd"/>
      <w:r w:rsidRPr="003331EF">
        <w:rPr>
          <w:b/>
        </w:rPr>
        <w:t xml:space="preserve"> emitendi jagunemise, ümberkujundamise, ühinemise või lõpetamisega seotud nõuete rikkumine</w:t>
      </w:r>
    </w:p>
    <w:p w14:paraId="0DC700CD" w14:textId="5C581A5A" w:rsidR="008D72CB" w:rsidRPr="003331EF" w:rsidRDefault="008D72CB" w:rsidP="003331EF">
      <w:pPr>
        <w:spacing w:before="0"/>
        <w:rPr>
          <w:b/>
        </w:rPr>
      </w:pPr>
    </w:p>
    <w:p w14:paraId="3725D1E5" w14:textId="245F3CE6" w:rsidR="001A4507" w:rsidRPr="003331EF" w:rsidRDefault="001A4507" w:rsidP="003331EF">
      <w:pPr>
        <w:spacing w:before="0"/>
      </w:pPr>
      <w:r w:rsidRPr="003331EF">
        <w:rPr>
          <w:b/>
        </w:rPr>
        <w:t>Paragrahv 4</w:t>
      </w:r>
      <w:r w:rsidR="00C85B2B" w:rsidRPr="003331EF">
        <w:rPr>
          <w:b/>
        </w:rPr>
        <w:t>5</w:t>
      </w:r>
      <w:r w:rsidRPr="003331EF">
        <w:t xml:space="preserve"> </w:t>
      </w:r>
      <w:r w:rsidRPr="003331EF">
        <w:rPr>
          <w:iCs/>
          <w:spacing w:val="-5"/>
          <w:lang w:eastAsia="en-US"/>
        </w:rPr>
        <w:t xml:space="preserve">kehtestab karistamise võimaluse </w:t>
      </w:r>
      <w:proofErr w:type="spellStart"/>
      <w:r w:rsidR="00A06E57" w:rsidRPr="003331EF">
        <w:rPr>
          <w:iCs/>
          <w:spacing w:val="-5"/>
          <w:lang w:eastAsia="en-US"/>
        </w:rPr>
        <w:t>krüptovaraturu</w:t>
      </w:r>
      <w:proofErr w:type="spellEnd"/>
      <w:r w:rsidR="00A06E57" w:rsidRPr="003331EF">
        <w:rPr>
          <w:iCs/>
          <w:spacing w:val="-5"/>
          <w:lang w:eastAsia="en-US"/>
        </w:rPr>
        <w:t xml:space="preserve"> osalise</w:t>
      </w:r>
      <w:r w:rsidRPr="003331EF">
        <w:rPr>
          <w:iCs/>
          <w:spacing w:val="-5"/>
          <w:lang w:eastAsia="en-US"/>
        </w:rPr>
        <w:t xml:space="preserve"> ümberkujundamise, ühinemise ja lõpetamisega seotud nõuete rikkumise korral</w:t>
      </w:r>
      <w:r w:rsidR="00DC3F24" w:rsidRPr="003331EF">
        <w:rPr>
          <w:iCs/>
          <w:spacing w:val="-5"/>
          <w:lang w:eastAsia="en-US"/>
        </w:rPr>
        <w:t xml:space="preserve"> (ehk </w:t>
      </w:r>
      <w:r w:rsidR="00DC3F24" w:rsidRPr="003331EF">
        <w:t>§-des 19–23 sätestatud nõuete rikkumise korral</w:t>
      </w:r>
      <w:r w:rsidR="00DC3F24" w:rsidRPr="003331EF">
        <w:rPr>
          <w:iCs/>
          <w:spacing w:val="-5"/>
          <w:lang w:eastAsia="en-US"/>
        </w:rPr>
        <w:t>)</w:t>
      </w:r>
      <w:r w:rsidRPr="003331EF">
        <w:rPr>
          <w:iCs/>
          <w:spacing w:val="-5"/>
          <w:lang w:eastAsia="en-US"/>
        </w:rPr>
        <w:t xml:space="preserve">. Kuna karistamise alus ei tulene </w:t>
      </w:r>
      <w:proofErr w:type="spellStart"/>
      <w:r w:rsidRPr="003331EF">
        <w:rPr>
          <w:iCs/>
          <w:spacing w:val="-5"/>
          <w:lang w:eastAsia="en-US"/>
        </w:rPr>
        <w:t>M</w:t>
      </w:r>
      <w:r w:rsidR="00DC3F24"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määrusest ja lähtudes rikkumise laadist, on ette nähtud </w:t>
      </w:r>
      <w:commentRangeStart w:id="75"/>
      <w:r w:rsidRPr="003331EF">
        <w:rPr>
          <w:iCs/>
          <w:spacing w:val="-5"/>
          <w:lang w:eastAsia="en-US"/>
        </w:rPr>
        <w:t>rahaline karistus</w:t>
      </w:r>
      <w:commentRangeEnd w:id="75"/>
      <w:r w:rsidR="00FF3444">
        <w:rPr>
          <w:rStyle w:val="Kommentaariviide"/>
          <w:lang w:val="en-GB" w:eastAsia="en-US"/>
        </w:rPr>
        <w:commentReference w:id="75"/>
      </w:r>
      <w:r w:rsidRPr="003331EF">
        <w:rPr>
          <w:iCs/>
          <w:spacing w:val="-5"/>
          <w:lang w:eastAsia="en-US"/>
        </w:rPr>
        <w:t xml:space="preserve"> kuni 300 trahviühikut ja juriidilise isiku puhul kuni 400 000 eurot.</w:t>
      </w:r>
    </w:p>
    <w:p w14:paraId="40F1FEDB" w14:textId="77777777" w:rsidR="001A4507" w:rsidRPr="003331EF" w:rsidRDefault="001A4507" w:rsidP="003331EF">
      <w:pPr>
        <w:spacing w:before="0"/>
      </w:pPr>
    </w:p>
    <w:p w14:paraId="634104A6" w14:textId="74B00BA2" w:rsidR="008D72CB" w:rsidRPr="003331EF" w:rsidRDefault="008D72CB" w:rsidP="003331EF">
      <w:pPr>
        <w:spacing w:before="0"/>
        <w:rPr>
          <w:rFonts w:asciiTheme="majorBidi" w:hAnsiTheme="majorBidi" w:cstheme="majorBidi"/>
          <w:b/>
          <w:bCs/>
        </w:rPr>
      </w:pPr>
      <w:r w:rsidRPr="003331EF">
        <w:rPr>
          <w:rFonts w:asciiTheme="majorBidi" w:hAnsiTheme="majorBidi" w:cstheme="majorBidi"/>
          <w:b/>
          <w:bCs/>
        </w:rPr>
        <w:t>Paragrahv 4</w:t>
      </w:r>
      <w:r w:rsidR="00836A91" w:rsidRPr="003331EF">
        <w:rPr>
          <w:rFonts w:asciiTheme="majorBidi" w:hAnsiTheme="majorBidi" w:cstheme="majorBidi"/>
          <w:b/>
          <w:bCs/>
        </w:rPr>
        <w:t>6</w:t>
      </w:r>
      <w:r w:rsidRPr="003331EF">
        <w:rPr>
          <w:rFonts w:asciiTheme="majorBidi" w:hAnsiTheme="majorBidi" w:cstheme="majorBidi"/>
          <w:b/>
          <w:bCs/>
        </w:rPr>
        <w:t>. Juriidilise isiku ja konsolideerimisgrupi käive</w:t>
      </w:r>
    </w:p>
    <w:p w14:paraId="04BC781A" w14:textId="77777777" w:rsidR="008D72CB" w:rsidRPr="003331EF" w:rsidRDefault="008D72CB" w:rsidP="003331EF">
      <w:pPr>
        <w:spacing w:before="0"/>
        <w:rPr>
          <w:b/>
          <w:bCs/>
        </w:rPr>
      </w:pPr>
    </w:p>
    <w:p w14:paraId="39462A89" w14:textId="342B1BAE" w:rsidR="00D63DBD" w:rsidRPr="003331EF" w:rsidRDefault="001A4507" w:rsidP="003331EF">
      <w:pPr>
        <w:spacing w:before="0"/>
      </w:pPr>
      <w:r w:rsidRPr="003331EF">
        <w:rPr>
          <w:b/>
          <w:bCs/>
        </w:rPr>
        <w:t>Paragrahvi</w:t>
      </w:r>
      <w:r w:rsidR="00DC3F24" w:rsidRPr="003331EF">
        <w:rPr>
          <w:b/>
          <w:bCs/>
        </w:rPr>
        <w:t>s</w:t>
      </w:r>
      <w:r w:rsidRPr="003331EF">
        <w:rPr>
          <w:b/>
          <w:bCs/>
        </w:rPr>
        <w:t xml:space="preserve"> 4</w:t>
      </w:r>
      <w:r w:rsidR="00836A91" w:rsidRPr="003331EF">
        <w:rPr>
          <w:b/>
          <w:bCs/>
        </w:rPr>
        <w:t>6</w:t>
      </w:r>
      <w:r w:rsidRPr="003331EF">
        <w:t xml:space="preserve"> </w:t>
      </w:r>
      <w:r w:rsidRPr="003331EF">
        <w:rPr>
          <w:iCs/>
          <w:spacing w:val="-5"/>
          <w:lang w:eastAsia="en-US"/>
        </w:rPr>
        <w:t>on selgitatud, kuidas leida juriidilise isiku ja konsolideerimisgrupi käive.</w:t>
      </w:r>
      <w:r w:rsidR="00671729" w:rsidRPr="003331EF">
        <w:rPr>
          <w:iCs/>
          <w:spacing w:val="-5"/>
          <w:lang w:eastAsia="en-US"/>
        </w:rPr>
        <w:t xml:space="preserve"> </w:t>
      </w:r>
      <w:r w:rsidR="005C4C44" w:rsidRPr="003331EF">
        <w:rPr>
          <w:iCs/>
          <w:spacing w:val="-5"/>
          <w:lang w:eastAsia="en-US"/>
        </w:rPr>
        <w:t>Täpsustuse a</w:t>
      </w:r>
      <w:r w:rsidR="00671729" w:rsidRPr="003331EF">
        <w:rPr>
          <w:iCs/>
          <w:spacing w:val="-5"/>
          <w:lang w:eastAsia="en-US"/>
        </w:rPr>
        <w:t xml:space="preserve">luseks on </w:t>
      </w:r>
      <w:proofErr w:type="spellStart"/>
      <w:r w:rsidR="00671729" w:rsidRPr="003331EF">
        <w:rPr>
          <w:iCs/>
          <w:spacing w:val="-5"/>
          <w:lang w:eastAsia="en-US"/>
        </w:rPr>
        <w:t>MiCA</w:t>
      </w:r>
      <w:proofErr w:type="spellEnd"/>
      <w:r w:rsidR="00671729" w:rsidRPr="003331EF">
        <w:rPr>
          <w:iCs/>
          <w:spacing w:val="-5"/>
          <w:lang w:eastAsia="en-US"/>
        </w:rPr>
        <w:t xml:space="preserve"> määruse artikli 111 lõike 3 viimane alalõik. </w:t>
      </w:r>
      <w:r w:rsidR="00D63DBD" w:rsidRPr="003331EF">
        <w:t>Valdavalt on EL</w:t>
      </w:r>
      <w:r w:rsidR="00DC2A7A">
        <w:noBreakHyphen/>
        <w:t>i</w:t>
      </w:r>
      <w:r w:rsidR="00D63DBD" w:rsidRPr="003331EF">
        <w:t xml:space="preserve"> õigusaktides käibepõhise rahatrahvi arvutamisel lähtutud põhimõttest, et juhul, kui rahatrahvi suurus on kuni 5% käibest, arvutatakse see juriidilise isiku kogukäibe järgi ning juhul, kui rahatrahvi saab määrata kuni 10 % käibest, arvutatakse see vastavalt netokäibele. Käesoleval juhul ei ole sellist lähenemist rakendatud, kuivõrd kõikide rahatrahvide puhul arvutatakse see kogukäibe järgi (näiteks varapõhise </w:t>
      </w:r>
      <w:proofErr w:type="spellStart"/>
      <w:r w:rsidR="00D63DBD" w:rsidRPr="003331EF">
        <w:t>tokeni</w:t>
      </w:r>
      <w:proofErr w:type="spellEnd"/>
      <w:r w:rsidR="00D63DBD" w:rsidRPr="003331EF">
        <w:t xml:space="preserve"> emitendile ja e-raha </w:t>
      </w:r>
      <w:proofErr w:type="spellStart"/>
      <w:r w:rsidR="00D63DBD" w:rsidRPr="003331EF">
        <w:t>tokeni</w:t>
      </w:r>
      <w:proofErr w:type="spellEnd"/>
      <w:r w:rsidR="00D63DBD" w:rsidRPr="003331EF">
        <w:t xml:space="preserve"> emitendile kohalduvate nõuete rikkumisel on rahatrahv 12,5 % juriidilise isiku aastasest kogukäibest). </w:t>
      </w:r>
    </w:p>
    <w:p w14:paraId="1F8A7940" w14:textId="77777777" w:rsidR="001A4507" w:rsidRPr="003331EF" w:rsidRDefault="001A4507" w:rsidP="003331EF">
      <w:pPr>
        <w:spacing w:before="0"/>
        <w:rPr>
          <w:bCs/>
        </w:rPr>
      </w:pPr>
    </w:p>
    <w:p w14:paraId="05B65831" w14:textId="1E3B0752" w:rsidR="008D72CB" w:rsidRPr="003331EF" w:rsidRDefault="008D72CB" w:rsidP="003331EF">
      <w:pPr>
        <w:pStyle w:val="Normal2"/>
        <w:rPr>
          <w:b/>
          <w:sz w:val="24"/>
        </w:rPr>
      </w:pPr>
      <w:r w:rsidRPr="003331EF">
        <w:rPr>
          <w:b/>
          <w:sz w:val="24"/>
        </w:rPr>
        <w:t>Paragrahv 4</w:t>
      </w:r>
      <w:r w:rsidR="00836A91" w:rsidRPr="003331EF">
        <w:rPr>
          <w:b/>
          <w:sz w:val="24"/>
        </w:rPr>
        <w:t>7</w:t>
      </w:r>
      <w:r w:rsidRPr="003331EF">
        <w:rPr>
          <w:b/>
          <w:sz w:val="24"/>
        </w:rPr>
        <w:t>. Menetlus</w:t>
      </w:r>
    </w:p>
    <w:p w14:paraId="025F808F" w14:textId="77777777" w:rsidR="008D72CB" w:rsidRPr="003331EF" w:rsidRDefault="008D72CB" w:rsidP="003331EF">
      <w:pPr>
        <w:pStyle w:val="Normal2"/>
        <w:rPr>
          <w:b/>
          <w:sz w:val="24"/>
        </w:rPr>
      </w:pPr>
    </w:p>
    <w:p w14:paraId="1E5A43D9" w14:textId="59949779" w:rsidR="001A4507" w:rsidRPr="003331EF" w:rsidRDefault="001A4507" w:rsidP="003331EF">
      <w:pPr>
        <w:pStyle w:val="Normal2"/>
        <w:rPr>
          <w:sz w:val="24"/>
        </w:rPr>
      </w:pPr>
      <w:r w:rsidRPr="003331EF">
        <w:rPr>
          <w:b/>
          <w:sz w:val="24"/>
        </w:rPr>
        <w:lastRenderedPageBreak/>
        <w:t>Paragrahviga 4</w:t>
      </w:r>
      <w:r w:rsidR="00836A91" w:rsidRPr="003331EF">
        <w:rPr>
          <w:b/>
          <w:sz w:val="24"/>
        </w:rPr>
        <w:t>7</w:t>
      </w:r>
      <w:r w:rsidRPr="003331EF">
        <w:rPr>
          <w:sz w:val="24"/>
        </w:rPr>
        <w:t xml:space="preserve"> </w:t>
      </w:r>
      <w:r w:rsidRPr="003331EF">
        <w:rPr>
          <w:rFonts w:eastAsia="Times New Roman"/>
          <w:bCs w:val="0"/>
          <w:iCs/>
          <w:spacing w:val="-5"/>
          <w:sz w:val="24"/>
          <w:lang w:eastAsia="en-US"/>
        </w:rPr>
        <w:t xml:space="preserve">täpsustatakse, et </w:t>
      </w:r>
      <w:r w:rsidR="008D72CB" w:rsidRPr="003331EF">
        <w:rPr>
          <w:rFonts w:eastAsia="Times New Roman"/>
          <w:bCs w:val="0"/>
          <w:iCs/>
          <w:spacing w:val="-5"/>
          <w:sz w:val="24"/>
          <w:lang w:eastAsia="en-US"/>
        </w:rPr>
        <w:t>8</w:t>
      </w:r>
      <w:r w:rsidRPr="003331EF">
        <w:rPr>
          <w:rFonts w:eastAsia="Times New Roman"/>
          <w:bCs w:val="0"/>
          <w:iCs/>
          <w:spacing w:val="-5"/>
          <w:sz w:val="24"/>
          <w:lang w:eastAsia="en-US"/>
        </w:rPr>
        <w:t xml:space="preserve">. peatükis sätestatud väärtegude kohtuväline </w:t>
      </w:r>
      <w:proofErr w:type="spellStart"/>
      <w:r w:rsidRPr="003331EF">
        <w:rPr>
          <w:rFonts w:eastAsia="Times New Roman"/>
          <w:bCs w:val="0"/>
          <w:iCs/>
          <w:spacing w:val="-5"/>
          <w:sz w:val="24"/>
          <w:lang w:eastAsia="en-US"/>
        </w:rPr>
        <w:t>menetleja</w:t>
      </w:r>
      <w:proofErr w:type="spellEnd"/>
      <w:r w:rsidRPr="003331EF">
        <w:rPr>
          <w:rFonts w:eastAsia="Times New Roman"/>
          <w:bCs w:val="0"/>
          <w:iCs/>
          <w:spacing w:val="-5"/>
          <w:sz w:val="24"/>
          <w:lang w:eastAsia="en-US"/>
        </w:rPr>
        <w:t xml:space="preserve"> on Finantsinspektsioon. Tegemist on tavapärase finantsjärelevalvesubjekti normiga, mis sisaldub ka kõikides teistes finantssektori eriseadustes.</w:t>
      </w:r>
    </w:p>
    <w:bookmarkEnd w:id="73"/>
    <w:bookmarkEnd w:id="74"/>
    <w:p w14:paraId="07E9AD22" w14:textId="77777777" w:rsidR="001A4507" w:rsidRPr="003331EF" w:rsidRDefault="001A4507" w:rsidP="003331EF">
      <w:pPr>
        <w:spacing w:before="0"/>
      </w:pPr>
    </w:p>
    <w:p w14:paraId="1160EB33" w14:textId="53FF65BA" w:rsidR="00FA1880" w:rsidRPr="003331EF" w:rsidRDefault="00FA1880" w:rsidP="003331EF">
      <w:pPr>
        <w:spacing w:before="0"/>
        <w:rPr>
          <w:iCs/>
          <w:spacing w:val="-5"/>
          <w:lang w:eastAsia="en-US"/>
        </w:rPr>
      </w:pPr>
      <w:r w:rsidRPr="003331EF">
        <w:rPr>
          <w:iCs/>
          <w:spacing w:val="-5"/>
          <w:lang w:eastAsia="en-US"/>
        </w:rPr>
        <w:t>Väärtegude aegumistähtaeg on kolm aastat, mis on analoogne ka teisest finantssektori seadustes (nt</w:t>
      </w:r>
      <w:r w:rsidR="004146CD">
        <w:rPr>
          <w:iCs/>
          <w:spacing w:val="-5"/>
          <w:lang w:eastAsia="en-US"/>
        </w:rPr>
        <w:t> </w:t>
      </w:r>
      <w:r w:rsidRPr="003331EF">
        <w:rPr>
          <w:iCs/>
          <w:spacing w:val="-5"/>
          <w:lang w:eastAsia="en-US"/>
        </w:rPr>
        <w:t xml:space="preserve">KAS, </w:t>
      </w:r>
      <w:proofErr w:type="spellStart"/>
      <w:r w:rsidRPr="003331EF">
        <w:rPr>
          <w:iCs/>
          <w:spacing w:val="-5"/>
          <w:lang w:eastAsia="en-US"/>
        </w:rPr>
        <w:t>KindlTS</w:t>
      </w:r>
      <w:proofErr w:type="spellEnd"/>
      <w:r w:rsidRPr="003331EF">
        <w:rPr>
          <w:iCs/>
          <w:spacing w:val="-5"/>
          <w:lang w:eastAsia="en-US"/>
        </w:rPr>
        <w:t xml:space="preserve">, MERAS, IFS, </w:t>
      </w:r>
      <w:proofErr w:type="spellStart"/>
      <w:r w:rsidRPr="003331EF">
        <w:rPr>
          <w:iCs/>
          <w:spacing w:val="-5"/>
          <w:lang w:eastAsia="en-US"/>
        </w:rPr>
        <w:t>VpTS</w:t>
      </w:r>
      <w:proofErr w:type="spellEnd"/>
      <w:r w:rsidRPr="003331EF">
        <w:rPr>
          <w:iCs/>
          <w:spacing w:val="-5"/>
          <w:lang w:eastAsia="en-US"/>
        </w:rPr>
        <w:t>) sätestatud aegumistähtajaga.</w:t>
      </w:r>
      <w:r w:rsidRPr="003331EF">
        <w:t xml:space="preserve"> Väärtegude nn üldine aegumise tähtaeg on kaks aastat. </w:t>
      </w:r>
      <w:proofErr w:type="spellStart"/>
      <w:r w:rsidRPr="003331EF">
        <w:t>KarS</w:t>
      </w:r>
      <w:proofErr w:type="spellEnd"/>
      <w:r w:rsidRPr="003331EF">
        <w:t xml:space="preserve"> § 81 lõige 3 võimaldab väärtegude kaheaastase aegumistähtaja asemel ette näha ka kolmeaastase aegumistähtaja.</w:t>
      </w:r>
      <w:r w:rsidR="001C6F6D">
        <w:t xml:space="preserve"> </w:t>
      </w:r>
      <w:r w:rsidRPr="003331EF">
        <w:t xml:space="preserve">Finantsinspektsioon on korduvalt tähelepanu juhtinud, et üldine aegumise tähtaeg ei ole finantsvaldkonnas toimepandud väärtegude keerukuse tõttu menetluse läbiviimiseks piisav. </w:t>
      </w:r>
    </w:p>
    <w:p w14:paraId="664C676B" w14:textId="77777777" w:rsidR="00FA1880" w:rsidRPr="003331EF" w:rsidRDefault="00FA1880" w:rsidP="003331EF">
      <w:pPr>
        <w:spacing w:before="0"/>
      </w:pPr>
    </w:p>
    <w:p w14:paraId="2AA3A7E7" w14:textId="5030CBDF" w:rsidR="001A4507" w:rsidRPr="003331EF" w:rsidRDefault="001A4507" w:rsidP="003331EF">
      <w:pPr>
        <w:spacing w:before="0"/>
        <w:rPr>
          <w:iCs/>
          <w:spacing w:val="-5"/>
          <w:lang w:eastAsia="en-US"/>
        </w:rPr>
      </w:pPr>
      <w:r w:rsidRPr="003331EF">
        <w:rPr>
          <w:b/>
        </w:rPr>
        <w:t xml:space="preserve">Seaduse </w:t>
      </w:r>
      <w:r w:rsidR="008D72CB" w:rsidRPr="003331EF">
        <w:rPr>
          <w:b/>
        </w:rPr>
        <w:t>9</w:t>
      </w:r>
      <w:r w:rsidRPr="003331EF">
        <w:rPr>
          <w:b/>
        </w:rPr>
        <w:t>. peatükk</w:t>
      </w:r>
      <w:r w:rsidRPr="003331EF">
        <w:t xml:space="preserve"> </w:t>
      </w:r>
      <w:r w:rsidRPr="003331EF">
        <w:rPr>
          <w:iCs/>
          <w:spacing w:val="-5"/>
          <w:lang w:eastAsia="en-US"/>
        </w:rPr>
        <w:t>kehtestab rakendussätted.</w:t>
      </w:r>
    </w:p>
    <w:p w14:paraId="636D0562" w14:textId="77777777" w:rsidR="001A4507" w:rsidRPr="003331EF" w:rsidRDefault="001A4507" w:rsidP="003331EF">
      <w:pPr>
        <w:spacing w:before="0"/>
        <w:rPr>
          <w:i/>
          <w:iCs/>
        </w:rPr>
      </w:pPr>
    </w:p>
    <w:p w14:paraId="0DF12A0B" w14:textId="3483F01F" w:rsidR="008D72CB" w:rsidRPr="003331EF" w:rsidRDefault="008D72CB" w:rsidP="003331EF">
      <w:pPr>
        <w:spacing w:before="0"/>
        <w:rPr>
          <w:b/>
          <w:bCs/>
        </w:rPr>
      </w:pPr>
      <w:r w:rsidRPr="003331EF">
        <w:rPr>
          <w:b/>
          <w:bCs/>
        </w:rPr>
        <w:t>Paragrahv 4</w:t>
      </w:r>
      <w:r w:rsidR="003C3321" w:rsidRPr="003331EF">
        <w:rPr>
          <w:b/>
          <w:bCs/>
        </w:rPr>
        <w:t>8</w:t>
      </w:r>
      <w:r w:rsidRPr="003331EF">
        <w:rPr>
          <w:b/>
          <w:bCs/>
        </w:rPr>
        <w:t>. Rakendussätted ja üleminekusätted</w:t>
      </w:r>
    </w:p>
    <w:p w14:paraId="017C4B1C" w14:textId="77777777" w:rsidR="008D72CB" w:rsidRPr="003331EF" w:rsidRDefault="008D72CB" w:rsidP="003331EF">
      <w:pPr>
        <w:spacing w:before="0"/>
        <w:rPr>
          <w:b/>
          <w:bCs/>
        </w:rPr>
      </w:pPr>
    </w:p>
    <w:p w14:paraId="687470D8" w14:textId="449FB612" w:rsidR="001A4507" w:rsidRPr="003331EF" w:rsidRDefault="001A4507" w:rsidP="003331EF">
      <w:pPr>
        <w:spacing w:before="0"/>
        <w:rPr>
          <w:b/>
          <w:bCs/>
        </w:rPr>
      </w:pPr>
      <w:r w:rsidRPr="003331EF">
        <w:rPr>
          <w:b/>
          <w:bCs/>
        </w:rPr>
        <w:t>Paragrahv 4</w:t>
      </w:r>
      <w:r w:rsidR="00836A91" w:rsidRPr="003331EF">
        <w:rPr>
          <w:b/>
          <w:bCs/>
        </w:rPr>
        <w:t>8</w:t>
      </w:r>
      <w:r w:rsidRPr="003331EF">
        <w:rPr>
          <w:b/>
          <w:bCs/>
        </w:rPr>
        <w:t xml:space="preserve"> </w:t>
      </w:r>
      <w:r w:rsidRPr="003331EF">
        <w:rPr>
          <w:bCs/>
        </w:rPr>
        <w:t xml:space="preserve">kehtestab rakendussätted, üleminekusätted ja tegevuse kooskõlla viimise nõuded. </w:t>
      </w:r>
    </w:p>
    <w:p w14:paraId="5619EC0E" w14:textId="77777777" w:rsidR="001A4507" w:rsidRPr="003331EF" w:rsidRDefault="001A4507" w:rsidP="003331EF">
      <w:pPr>
        <w:spacing w:before="0"/>
        <w:rPr>
          <w:i/>
          <w:iCs/>
        </w:rPr>
      </w:pPr>
    </w:p>
    <w:p w14:paraId="3B81A9E8" w14:textId="61AA11F3" w:rsidR="001A4507" w:rsidRDefault="001A4507" w:rsidP="003331EF">
      <w:pPr>
        <w:spacing w:before="0"/>
        <w:rPr>
          <w:iCs/>
          <w:spacing w:val="-5"/>
          <w:lang w:eastAsia="en-US"/>
        </w:rPr>
      </w:pPr>
      <w:r w:rsidRPr="003331EF">
        <w:rPr>
          <w:b/>
          <w:bCs/>
        </w:rPr>
        <w:t>Lõiked 1–3.</w:t>
      </w:r>
      <w:r w:rsidRPr="003331EF">
        <w:t xml:space="preserve"> </w:t>
      </w:r>
      <w:proofErr w:type="spellStart"/>
      <w:r w:rsidRPr="003331EF">
        <w:rPr>
          <w:iCs/>
          <w:spacing w:val="-5"/>
          <w:lang w:eastAsia="en-US"/>
        </w:rPr>
        <w:t>Krüptovaraturu</w:t>
      </w:r>
      <w:proofErr w:type="spellEnd"/>
      <w:r w:rsidRPr="003331EF">
        <w:rPr>
          <w:iCs/>
          <w:spacing w:val="-5"/>
          <w:lang w:eastAsia="en-US"/>
        </w:rPr>
        <w:t xml:space="preserve"> osalised </w:t>
      </w:r>
      <w:r w:rsidR="00A06E57" w:rsidRPr="003331EF">
        <w:rPr>
          <w:iCs/>
          <w:spacing w:val="-5"/>
          <w:lang w:eastAsia="en-US"/>
        </w:rPr>
        <w:t>peavad</w:t>
      </w:r>
      <w:r w:rsidRPr="003331EF">
        <w:rPr>
          <w:iCs/>
          <w:spacing w:val="-5"/>
          <w:lang w:eastAsia="en-US"/>
        </w:rPr>
        <w:t xml:space="preserve"> </w:t>
      </w:r>
      <w:proofErr w:type="spellStart"/>
      <w:r w:rsidRPr="003331EF">
        <w:rPr>
          <w:iCs/>
          <w:spacing w:val="-5"/>
          <w:lang w:eastAsia="en-US"/>
        </w:rPr>
        <w:t>M</w:t>
      </w:r>
      <w:r w:rsidR="00D3149A" w:rsidRPr="003331EF">
        <w:rPr>
          <w:iCs/>
          <w:spacing w:val="-5"/>
          <w:lang w:eastAsia="en-US"/>
        </w:rPr>
        <w:t>i</w:t>
      </w:r>
      <w:r w:rsidRPr="003331EF">
        <w:rPr>
          <w:iCs/>
          <w:spacing w:val="-5"/>
          <w:lang w:eastAsia="en-US"/>
        </w:rPr>
        <w:t>CA</w:t>
      </w:r>
      <w:proofErr w:type="spellEnd"/>
      <w:r w:rsidRPr="003331EF">
        <w:rPr>
          <w:iCs/>
          <w:spacing w:val="-5"/>
          <w:lang w:eastAsia="en-US"/>
        </w:rPr>
        <w:t xml:space="preserve"> määrust rakendama hakkama erinevatel kuupäeval. Näiteks varapõhise </w:t>
      </w:r>
      <w:proofErr w:type="spellStart"/>
      <w:r w:rsidRPr="003331EF">
        <w:rPr>
          <w:iCs/>
          <w:spacing w:val="-5"/>
          <w:lang w:eastAsia="en-US"/>
        </w:rPr>
        <w:t>tokeni</w:t>
      </w:r>
      <w:proofErr w:type="spellEnd"/>
      <w:r w:rsidRPr="003331EF">
        <w:rPr>
          <w:iCs/>
          <w:spacing w:val="-5"/>
          <w:lang w:eastAsia="en-US"/>
        </w:rPr>
        <w:t xml:space="preserve"> emitendi ja e-raha </w:t>
      </w:r>
      <w:proofErr w:type="spellStart"/>
      <w:r w:rsidRPr="003331EF">
        <w:rPr>
          <w:iCs/>
          <w:spacing w:val="-5"/>
          <w:lang w:eastAsia="en-US"/>
        </w:rPr>
        <w:t>tokeni</w:t>
      </w:r>
      <w:proofErr w:type="spellEnd"/>
      <w:r w:rsidRPr="003331EF">
        <w:rPr>
          <w:iCs/>
          <w:spacing w:val="-5"/>
          <w:lang w:eastAsia="en-US"/>
        </w:rPr>
        <w:t xml:space="preserve"> emitendi tegevust reguleerivaid </w:t>
      </w:r>
      <w:proofErr w:type="spellStart"/>
      <w:r w:rsidRPr="003331EF">
        <w:rPr>
          <w:iCs/>
          <w:spacing w:val="-5"/>
          <w:lang w:eastAsia="en-US"/>
        </w:rPr>
        <w:t>M</w:t>
      </w:r>
      <w:r w:rsidR="00D3149A"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 jaotisi 3 ja 4 tuleb rakendama hakata 12 kuud pärast MICA jõustumisest</w:t>
      </w:r>
      <w:r w:rsidR="008809A8" w:rsidRPr="003331EF">
        <w:rPr>
          <w:iCs/>
          <w:spacing w:val="-5"/>
          <w:lang w:eastAsia="en-US"/>
        </w:rPr>
        <w:t xml:space="preserve"> (2024. aasta 30. juunist)</w:t>
      </w:r>
      <w:r w:rsidRPr="003331EF">
        <w:rPr>
          <w:iCs/>
          <w:spacing w:val="-5"/>
          <w:lang w:eastAsia="en-US"/>
        </w:rPr>
        <w:t xml:space="preserve">. Muus osas tuleb </w:t>
      </w:r>
      <w:proofErr w:type="spellStart"/>
      <w:r w:rsidRPr="003331EF">
        <w:rPr>
          <w:iCs/>
          <w:spacing w:val="-5"/>
          <w:lang w:eastAsia="en-US"/>
        </w:rPr>
        <w:t>M</w:t>
      </w:r>
      <w:r w:rsidR="00D3149A" w:rsidRPr="003331EF">
        <w:rPr>
          <w:iCs/>
          <w:spacing w:val="-5"/>
          <w:lang w:eastAsia="en-US"/>
        </w:rPr>
        <w:t>i</w:t>
      </w:r>
      <w:r w:rsidRPr="003331EF">
        <w:rPr>
          <w:iCs/>
          <w:spacing w:val="-5"/>
          <w:lang w:eastAsia="en-US"/>
        </w:rPr>
        <w:t>CA</w:t>
      </w:r>
      <w:proofErr w:type="spellEnd"/>
      <w:r w:rsidRPr="003331EF">
        <w:rPr>
          <w:iCs/>
          <w:spacing w:val="-5"/>
          <w:lang w:eastAsia="en-US"/>
        </w:rPr>
        <w:t xml:space="preserve"> määrust rakendama hakata 18 kuud pärast </w:t>
      </w:r>
      <w:proofErr w:type="spellStart"/>
      <w:r w:rsidRPr="003331EF">
        <w:rPr>
          <w:iCs/>
          <w:spacing w:val="-5"/>
          <w:lang w:eastAsia="en-US"/>
        </w:rPr>
        <w:t>M</w:t>
      </w:r>
      <w:r w:rsidR="00D3149A" w:rsidRPr="003331EF">
        <w:rPr>
          <w:iCs/>
          <w:spacing w:val="-5"/>
          <w:lang w:eastAsia="en-US"/>
        </w:rPr>
        <w:t>i</w:t>
      </w:r>
      <w:r w:rsidRPr="003331EF">
        <w:rPr>
          <w:iCs/>
          <w:spacing w:val="-5"/>
          <w:lang w:eastAsia="en-US"/>
        </w:rPr>
        <w:t>CA</w:t>
      </w:r>
      <w:proofErr w:type="spellEnd"/>
      <w:r w:rsidRPr="003331EF">
        <w:rPr>
          <w:iCs/>
          <w:spacing w:val="-5"/>
          <w:lang w:eastAsia="en-US"/>
        </w:rPr>
        <w:t xml:space="preserve"> jõustumist</w:t>
      </w:r>
      <w:r w:rsidR="008809A8" w:rsidRPr="003331EF">
        <w:rPr>
          <w:iCs/>
          <w:spacing w:val="-5"/>
          <w:lang w:eastAsia="en-US"/>
        </w:rPr>
        <w:t xml:space="preserve"> (2024. aasta 30. detsembrist)</w:t>
      </w:r>
      <w:r w:rsidRPr="003331EF">
        <w:rPr>
          <w:iCs/>
          <w:spacing w:val="-5"/>
          <w:lang w:eastAsia="en-US"/>
        </w:rPr>
        <w:t xml:space="preserve">. Lisaks on </w:t>
      </w:r>
      <w:proofErr w:type="spellStart"/>
      <w:r w:rsidRPr="003331EF">
        <w:rPr>
          <w:iCs/>
          <w:spacing w:val="-5"/>
          <w:lang w:eastAsia="en-US"/>
        </w:rPr>
        <w:t>M</w:t>
      </w:r>
      <w:r w:rsidR="00D3149A"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 artiklis 143 rakendus- ja üleminekusätted, millega </w:t>
      </w:r>
      <w:proofErr w:type="spellStart"/>
      <w:r w:rsidRPr="003331EF">
        <w:rPr>
          <w:iCs/>
          <w:spacing w:val="-5"/>
          <w:lang w:eastAsia="en-US"/>
        </w:rPr>
        <w:t>krüptovaraturu</w:t>
      </w:r>
      <w:proofErr w:type="spellEnd"/>
      <w:r w:rsidRPr="003331EF">
        <w:rPr>
          <w:iCs/>
          <w:spacing w:val="-5"/>
          <w:lang w:eastAsia="en-US"/>
        </w:rPr>
        <w:t xml:space="preserve"> osalised peaksid arvestama</w:t>
      </w:r>
      <w:r w:rsidR="00A06E57" w:rsidRPr="003331EF">
        <w:rPr>
          <w:iCs/>
          <w:spacing w:val="-5"/>
          <w:lang w:eastAsia="en-US"/>
        </w:rPr>
        <w:t xml:space="preserve"> (vt tabel </w:t>
      </w:r>
      <w:r w:rsidR="00C27922" w:rsidRPr="003331EF">
        <w:rPr>
          <w:iCs/>
          <w:spacing w:val="-5"/>
          <w:lang w:eastAsia="en-US"/>
        </w:rPr>
        <w:t>4</w:t>
      </w:r>
      <w:r w:rsidR="00A06E57" w:rsidRPr="003331EF">
        <w:rPr>
          <w:iCs/>
          <w:spacing w:val="-5"/>
          <w:lang w:eastAsia="en-US"/>
        </w:rPr>
        <w:t>)</w:t>
      </w:r>
      <w:r w:rsidRPr="003331EF">
        <w:rPr>
          <w:iCs/>
          <w:spacing w:val="-5"/>
          <w:lang w:eastAsia="en-US"/>
        </w:rPr>
        <w:t>.</w:t>
      </w:r>
    </w:p>
    <w:p w14:paraId="547F857F" w14:textId="3B313A65" w:rsidR="001C6F6D" w:rsidRDefault="001C6F6D" w:rsidP="003331EF">
      <w:pPr>
        <w:spacing w:before="0"/>
        <w:rPr>
          <w:iCs/>
          <w:spacing w:val="-5"/>
          <w:lang w:eastAsia="en-US"/>
        </w:rPr>
      </w:pPr>
    </w:p>
    <w:p w14:paraId="6A9A05B0" w14:textId="70878E8E" w:rsidR="001C6F6D" w:rsidRPr="003331EF" w:rsidRDefault="001C6F6D" w:rsidP="003331EF">
      <w:pPr>
        <w:spacing w:before="0"/>
        <w:rPr>
          <w:iCs/>
          <w:spacing w:val="-5"/>
          <w:lang w:eastAsia="en-US"/>
        </w:rPr>
      </w:pPr>
      <w:r w:rsidRPr="003331EF">
        <w:rPr>
          <w:b/>
          <w:bCs/>
        </w:rPr>
        <w:t xml:space="preserve">Tabel 5. </w:t>
      </w:r>
      <w:proofErr w:type="spellStart"/>
      <w:r w:rsidRPr="003331EF">
        <w:rPr>
          <w:iCs/>
          <w:spacing w:val="-5"/>
          <w:lang w:eastAsia="en-US"/>
        </w:rPr>
        <w:t>M</w:t>
      </w:r>
      <w:r>
        <w:rPr>
          <w:iCs/>
          <w:spacing w:val="-5"/>
          <w:lang w:eastAsia="en-US"/>
        </w:rPr>
        <w:t>i</w:t>
      </w:r>
      <w:r w:rsidRPr="003331EF">
        <w:rPr>
          <w:iCs/>
          <w:spacing w:val="-5"/>
          <w:lang w:eastAsia="en-US"/>
        </w:rPr>
        <w:t>CA</w:t>
      </w:r>
      <w:proofErr w:type="spellEnd"/>
      <w:r w:rsidRPr="003331EF">
        <w:rPr>
          <w:iCs/>
          <w:spacing w:val="-5"/>
          <w:lang w:eastAsia="en-US"/>
        </w:rPr>
        <w:t xml:space="preserve"> määruse rakendus- ja üleminekusätted</w:t>
      </w:r>
    </w:p>
    <w:p w14:paraId="785FF46E" w14:textId="77777777" w:rsidR="001A4507" w:rsidRPr="003331EF" w:rsidRDefault="001A4507" w:rsidP="003331EF">
      <w:pPr>
        <w:spacing w:before="0"/>
      </w:pPr>
    </w:p>
    <w:tbl>
      <w:tblPr>
        <w:tblStyle w:val="Kontuurtabel"/>
        <w:tblW w:w="0" w:type="auto"/>
        <w:tblLook w:val="04A0" w:firstRow="1" w:lastRow="0" w:firstColumn="1" w:lastColumn="0" w:noHBand="0" w:noVBand="1"/>
      </w:tblPr>
      <w:tblGrid>
        <w:gridCol w:w="988"/>
        <w:gridCol w:w="7938"/>
      </w:tblGrid>
      <w:tr w:rsidR="003331EF" w:rsidRPr="003331EF" w14:paraId="32A2DB35" w14:textId="77777777" w:rsidTr="00E043AB">
        <w:tc>
          <w:tcPr>
            <w:tcW w:w="988" w:type="dxa"/>
            <w:shd w:val="clear" w:color="auto" w:fill="D9E2F3" w:themeFill="accent5" w:themeFillTint="33"/>
          </w:tcPr>
          <w:p w14:paraId="14312749" w14:textId="77777777" w:rsidR="001A4507" w:rsidRPr="003331EF" w:rsidRDefault="001A4507" w:rsidP="003331EF">
            <w:pPr>
              <w:spacing w:before="0"/>
              <w:rPr>
                <w:b/>
                <w:bCs/>
                <w:i/>
                <w:iCs/>
                <w:sz w:val="20"/>
                <w:szCs w:val="20"/>
                <w:lang w:eastAsia="en-US"/>
              </w:rPr>
            </w:pPr>
            <w:r w:rsidRPr="003331EF">
              <w:rPr>
                <w:b/>
                <w:bCs/>
                <w:i/>
                <w:iCs/>
                <w:sz w:val="20"/>
                <w:szCs w:val="20"/>
                <w:lang w:eastAsia="en-US"/>
              </w:rPr>
              <w:t>Art 143</w:t>
            </w:r>
          </w:p>
        </w:tc>
        <w:tc>
          <w:tcPr>
            <w:tcW w:w="7938" w:type="dxa"/>
            <w:shd w:val="clear" w:color="auto" w:fill="D9E2F3" w:themeFill="accent5" w:themeFillTint="33"/>
          </w:tcPr>
          <w:p w14:paraId="3CBCD0CB" w14:textId="77777777" w:rsidR="001A4507" w:rsidRPr="003331EF" w:rsidRDefault="001A4507" w:rsidP="003331EF">
            <w:pPr>
              <w:spacing w:before="0"/>
              <w:rPr>
                <w:sz w:val="20"/>
                <w:szCs w:val="20"/>
              </w:rPr>
            </w:pPr>
          </w:p>
        </w:tc>
      </w:tr>
      <w:tr w:rsidR="003331EF" w:rsidRPr="003331EF" w14:paraId="143616BE" w14:textId="77777777" w:rsidTr="00E043AB">
        <w:tc>
          <w:tcPr>
            <w:tcW w:w="988" w:type="dxa"/>
            <w:shd w:val="clear" w:color="auto" w:fill="D9E2F3" w:themeFill="accent5" w:themeFillTint="33"/>
          </w:tcPr>
          <w:p w14:paraId="2CC04377" w14:textId="77777777" w:rsidR="001A4507" w:rsidRPr="003331EF" w:rsidRDefault="001A4507" w:rsidP="003331EF">
            <w:pPr>
              <w:spacing w:before="0"/>
              <w:rPr>
                <w:b/>
                <w:bCs/>
                <w:i/>
                <w:iCs/>
                <w:sz w:val="20"/>
                <w:szCs w:val="20"/>
                <w:lang w:eastAsia="en-US"/>
              </w:rPr>
            </w:pPr>
            <w:r w:rsidRPr="003331EF">
              <w:rPr>
                <w:b/>
                <w:bCs/>
                <w:i/>
                <w:iCs/>
                <w:sz w:val="20"/>
                <w:szCs w:val="20"/>
                <w:lang w:eastAsia="en-US"/>
              </w:rPr>
              <w:t xml:space="preserve">Lg 1 </w:t>
            </w:r>
          </w:p>
        </w:tc>
        <w:tc>
          <w:tcPr>
            <w:tcW w:w="7938" w:type="dxa"/>
          </w:tcPr>
          <w:p w14:paraId="66E90372" w14:textId="6A97E187" w:rsidR="001A4507" w:rsidRPr="003331EF" w:rsidRDefault="001A4507" w:rsidP="003331EF">
            <w:pPr>
              <w:spacing w:before="0"/>
              <w:rPr>
                <w:sz w:val="20"/>
                <w:szCs w:val="20"/>
              </w:rPr>
            </w:pPr>
            <w:r w:rsidRPr="003331EF">
              <w:rPr>
                <w:i/>
                <w:iCs/>
                <w:sz w:val="20"/>
                <w:szCs w:val="20"/>
                <w:lang w:eastAsia="en-US"/>
              </w:rPr>
              <w:t xml:space="preserve">Kui </w:t>
            </w:r>
            <w:proofErr w:type="spellStart"/>
            <w:r w:rsidRPr="003331EF">
              <w:rPr>
                <w:i/>
                <w:iCs/>
                <w:sz w:val="20"/>
                <w:szCs w:val="20"/>
                <w:lang w:eastAsia="en-US"/>
              </w:rPr>
              <w:t>krüptovara</w:t>
            </w:r>
            <w:proofErr w:type="spellEnd"/>
            <w:r w:rsidRPr="003331EF">
              <w:rPr>
                <w:i/>
                <w:iCs/>
                <w:sz w:val="20"/>
                <w:szCs w:val="20"/>
                <w:lang w:eastAsia="en-US"/>
              </w:rPr>
              <w:t xml:space="preserve"> (avalik) pakkumine lõppeb 18 kuud enne </w:t>
            </w:r>
            <w:proofErr w:type="spellStart"/>
            <w:r w:rsidRPr="003331EF">
              <w:rPr>
                <w:i/>
                <w:iCs/>
                <w:sz w:val="20"/>
                <w:szCs w:val="20"/>
                <w:lang w:eastAsia="en-US"/>
              </w:rPr>
              <w:t>M</w:t>
            </w:r>
            <w:r w:rsidR="003C3321" w:rsidRPr="003331EF">
              <w:rPr>
                <w:i/>
                <w:iCs/>
                <w:sz w:val="20"/>
                <w:szCs w:val="20"/>
                <w:lang w:eastAsia="en-US"/>
              </w:rPr>
              <w:t>i</w:t>
            </w:r>
            <w:r w:rsidRPr="003331EF">
              <w:rPr>
                <w:i/>
                <w:iCs/>
                <w:sz w:val="20"/>
                <w:szCs w:val="20"/>
                <w:lang w:eastAsia="en-US"/>
              </w:rPr>
              <w:t>CA</w:t>
            </w:r>
            <w:proofErr w:type="spellEnd"/>
            <w:r w:rsidRPr="003331EF">
              <w:rPr>
                <w:i/>
                <w:iCs/>
                <w:sz w:val="20"/>
                <w:szCs w:val="20"/>
                <w:lang w:eastAsia="en-US"/>
              </w:rPr>
              <w:t xml:space="preserve"> rakendamist, siis sellele pakkumisele </w:t>
            </w:r>
            <w:proofErr w:type="spellStart"/>
            <w:r w:rsidRPr="003331EF">
              <w:rPr>
                <w:i/>
                <w:iCs/>
                <w:sz w:val="20"/>
                <w:szCs w:val="20"/>
                <w:lang w:eastAsia="en-US"/>
              </w:rPr>
              <w:t>M</w:t>
            </w:r>
            <w:r w:rsidR="003C3321" w:rsidRPr="003331EF">
              <w:rPr>
                <w:i/>
                <w:iCs/>
                <w:sz w:val="20"/>
                <w:szCs w:val="20"/>
                <w:lang w:eastAsia="en-US"/>
              </w:rPr>
              <w:t>i</w:t>
            </w:r>
            <w:r w:rsidRPr="003331EF">
              <w:rPr>
                <w:i/>
                <w:iCs/>
                <w:sz w:val="20"/>
                <w:szCs w:val="20"/>
                <w:lang w:eastAsia="en-US"/>
              </w:rPr>
              <w:t>CA</w:t>
            </w:r>
            <w:proofErr w:type="spellEnd"/>
            <w:r w:rsidRPr="003331EF">
              <w:rPr>
                <w:i/>
                <w:iCs/>
                <w:sz w:val="20"/>
                <w:szCs w:val="20"/>
                <w:lang w:eastAsia="en-US"/>
              </w:rPr>
              <w:t xml:space="preserve"> sätteid ei kohaldata.</w:t>
            </w:r>
          </w:p>
        </w:tc>
      </w:tr>
      <w:tr w:rsidR="003331EF" w:rsidRPr="003331EF" w14:paraId="79460F8D" w14:textId="77777777" w:rsidTr="00E043AB">
        <w:tc>
          <w:tcPr>
            <w:tcW w:w="988" w:type="dxa"/>
            <w:shd w:val="clear" w:color="auto" w:fill="D9E2F3" w:themeFill="accent5" w:themeFillTint="33"/>
          </w:tcPr>
          <w:p w14:paraId="7A1320D5" w14:textId="77777777" w:rsidR="001A4507" w:rsidRPr="003331EF" w:rsidRDefault="001A4507" w:rsidP="003331EF">
            <w:pPr>
              <w:spacing w:before="0"/>
              <w:rPr>
                <w:b/>
                <w:bCs/>
                <w:i/>
                <w:iCs/>
                <w:sz w:val="20"/>
                <w:szCs w:val="20"/>
                <w:lang w:eastAsia="en-US"/>
              </w:rPr>
            </w:pPr>
            <w:r w:rsidRPr="003331EF">
              <w:rPr>
                <w:b/>
                <w:bCs/>
                <w:i/>
                <w:iCs/>
                <w:sz w:val="20"/>
                <w:szCs w:val="20"/>
                <w:lang w:eastAsia="en-US"/>
              </w:rPr>
              <w:t xml:space="preserve">Lg 2 </w:t>
            </w:r>
          </w:p>
        </w:tc>
        <w:tc>
          <w:tcPr>
            <w:tcW w:w="7938" w:type="dxa"/>
          </w:tcPr>
          <w:p w14:paraId="4ADF72DB" w14:textId="7AC20C9A" w:rsidR="001A4507" w:rsidRPr="003331EF" w:rsidRDefault="001A4507" w:rsidP="003331EF">
            <w:pPr>
              <w:pStyle w:val="pf0"/>
              <w:spacing w:before="0" w:beforeAutospacing="0" w:after="0" w:afterAutospacing="0"/>
              <w:jc w:val="both"/>
              <w:rPr>
                <w:sz w:val="20"/>
                <w:szCs w:val="20"/>
              </w:rPr>
            </w:pPr>
            <w:r w:rsidRPr="003331EF">
              <w:rPr>
                <w:i/>
                <w:iCs/>
                <w:sz w:val="20"/>
                <w:szCs w:val="20"/>
                <w:lang w:eastAsia="en-US"/>
              </w:rPr>
              <w:t xml:space="preserve">Väikesed </w:t>
            </w:r>
            <w:proofErr w:type="spellStart"/>
            <w:r w:rsidRPr="003331EF">
              <w:rPr>
                <w:i/>
                <w:iCs/>
                <w:sz w:val="20"/>
                <w:szCs w:val="20"/>
                <w:lang w:eastAsia="en-US"/>
              </w:rPr>
              <w:t>krüptovara</w:t>
            </w:r>
            <w:proofErr w:type="spellEnd"/>
            <w:r w:rsidRPr="003331EF">
              <w:rPr>
                <w:i/>
                <w:iCs/>
                <w:sz w:val="20"/>
                <w:szCs w:val="20"/>
                <w:lang w:eastAsia="en-US"/>
              </w:rPr>
              <w:t xml:space="preserve"> emissioonid, mis on võetud kauplemisele enne </w:t>
            </w:r>
            <w:proofErr w:type="spellStart"/>
            <w:r w:rsidRPr="003331EF">
              <w:rPr>
                <w:i/>
                <w:iCs/>
                <w:sz w:val="20"/>
                <w:szCs w:val="20"/>
                <w:lang w:eastAsia="en-US"/>
              </w:rPr>
              <w:t>M</w:t>
            </w:r>
            <w:r w:rsidR="00EE7782" w:rsidRPr="003331EF">
              <w:rPr>
                <w:i/>
                <w:iCs/>
                <w:sz w:val="20"/>
                <w:szCs w:val="20"/>
                <w:lang w:eastAsia="en-US"/>
              </w:rPr>
              <w:t>i</w:t>
            </w:r>
            <w:r w:rsidRPr="003331EF">
              <w:rPr>
                <w:i/>
                <w:iCs/>
                <w:sz w:val="20"/>
                <w:szCs w:val="20"/>
                <w:lang w:eastAsia="en-US"/>
              </w:rPr>
              <w:t>CA</w:t>
            </w:r>
            <w:proofErr w:type="spellEnd"/>
            <w:r w:rsidRPr="003331EF">
              <w:rPr>
                <w:i/>
                <w:iCs/>
                <w:sz w:val="20"/>
                <w:szCs w:val="20"/>
                <w:lang w:eastAsia="en-US"/>
              </w:rPr>
              <w:t xml:space="preserve"> rakend</w:t>
            </w:r>
            <w:r w:rsidR="00EE7782" w:rsidRPr="003331EF">
              <w:rPr>
                <w:i/>
                <w:iCs/>
                <w:sz w:val="20"/>
                <w:szCs w:val="20"/>
                <w:lang w:eastAsia="en-US"/>
              </w:rPr>
              <w:t>a</w:t>
            </w:r>
            <w:r w:rsidRPr="003331EF">
              <w:rPr>
                <w:i/>
                <w:iCs/>
                <w:sz w:val="20"/>
                <w:szCs w:val="20"/>
                <w:lang w:eastAsia="en-US"/>
              </w:rPr>
              <w:t xml:space="preserve">mist (nn 18 kuud peale </w:t>
            </w:r>
            <w:proofErr w:type="spellStart"/>
            <w:r w:rsidRPr="003331EF">
              <w:rPr>
                <w:i/>
                <w:iCs/>
                <w:sz w:val="20"/>
                <w:szCs w:val="20"/>
                <w:lang w:eastAsia="en-US"/>
              </w:rPr>
              <w:t>M</w:t>
            </w:r>
            <w:r w:rsidR="003C3321" w:rsidRPr="003331EF">
              <w:rPr>
                <w:i/>
                <w:iCs/>
                <w:sz w:val="20"/>
                <w:szCs w:val="20"/>
                <w:lang w:eastAsia="en-US"/>
              </w:rPr>
              <w:t>i</w:t>
            </w:r>
            <w:r w:rsidRPr="003331EF">
              <w:rPr>
                <w:i/>
                <w:iCs/>
                <w:sz w:val="20"/>
                <w:szCs w:val="20"/>
                <w:lang w:eastAsia="en-US"/>
              </w:rPr>
              <w:t>CA</w:t>
            </w:r>
            <w:proofErr w:type="spellEnd"/>
            <w:r w:rsidRPr="003331EF">
              <w:rPr>
                <w:i/>
                <w:iCs/>
                <w:sz w:val="20"/>
                <w:szCs w:val="20"/>
                <w:lang w:eastAsia="en-US"/>
              </w:rPr>
              <w:t xml:space="preserve"> jõustumist) peavad täitma algul üksnes artiklit 7 ja 9 kohaseid turustamise nõuded ja hiljem - 36 kuud peale </w:t>
            </w:r>
            <w:proofErr w:type="spellStart"/>
            <w:r w:rsidRPr="003331EF">
              <w:rPr>
                <w:i/>
                <w:iCs/>
                <w:sz w:val="20"/>
                <w:szCs w:val="20"/>
                <w:lang w:eastAsia="en-US"/>
              </w:rPr>
              <w:t>M</w:t>
            </w:r>
            <w:r w:rsidR="003A12E0">
              <w:rPr>
                <w:i/>
                <w:iCs/>
                <w:sz w:val="20"/>
                <w:szCs w:val="20"/>
                <w:lang w:eastAsia="en-US"/>
              </w:rPr>
              <w:t>i</w:t>
            </w:r>
            <w:r w:rsidRPr="003331EF">
              <w:rPr>
                <w:i/>
                <w:iCs/>
                <w:sz w:val="20"/>
                <w:szCs w:val="20"/>
                <w:lang w:eastAsia="en-US"/>
              </w:rPr>
              <w:t>CA</w:t>
            </w:r>
            <w:proofErr w:type="spellEnd"/>
            <w:r w:rsidRPr="003331EF">
              <w:rPr>
                <w:i/>
                <w:iCs/>
                <w:sz w:val="20"/>
                <w:szCs w:val="20"/>
                <w:lang w:eastAsia="en-US"/>
              </w:rPr>
              <w:t xml:space="preserve"> rakendumist peab turukorraldaja tagama, et valge paber on koostatud vastavalt </w:t>
            </w:r>
            <w:proofErr w:type="spellStart"/>
            <w:r w:rsidRPr="003331EF">
              <w:rPr>
                <w:i/>
                <w:iCs/>
                <w:sz w:val="20"/>
                <w:szCs w:val="20"/>
                <w:lang w:eastAsia="en-US"/>
              </w:rPr>
              <w:t>M</w:t>
            </w:r>
            <w:r w:rsidR="003A12E0">
              <w:rPr>
                <w:i/>
                <w:iCs/>
                <w:sz w:val="20"/>
                <w:szCs w:val="20"/>
                <w:lang w:eastAsia="en-US"/>
              </w:rPr>
              <w:t>i</w:t>
            </w:r>
            <w:r w:rsidRPr="003331EF">
              <w:rPr>
                <w:i/>
                <w:iCs/>
                <w:sz w:val="20"/>
                <w:szCs w:val="20"/>
                <w:lang w:eastAsia="en-US"/>
              </w:rPr>
              <w:t>CA</w:t>
            </w:r>
            <w:proofErr w:type="spellEnd"/>
            <w:r w:rsidRPr="003331EF">
              <w:rPr>
                <w:i/>
                <w:iCs/>
                <w:sz w:val="20"/>
                <w:szCs w:val="20"/>
                <w:lang w:eastAsia="en-US"/>
              </w:rPr>
              <w:t xml:space="preserve"> nõuetele.</w:t>
            </w:r>
          </w:p>
        </w:tc>
      </w:tr>
      <w:tr w:rsidR="003331EF" w:rsidRPr="003331EF" w14:paraId="5F14E6C6" w14:textId="77777777" w:rsidTr="00E043AB">
        <w:tc>
          <w:tcPr>
            <w:tcW w:w="988" w:type="dxa"/>
            <w:shd w:val="clear" w:color="auto" w:fill="D9E2F3" w:themeFill="accent5" w:themeFillTint="33"/>
          </w:tcPr>
          <w:p w14:paraId="0FCF85D1" w14:textId="77777777" w:rsidR="001A4507" w:rsidRPr="003331EF" w:rsidRDefault="001A4507" w:rsidP="003331EF">
            <w:pPr>
              <w:spacing w:before="0"/>
              <w:rPr>
                <w:b/>
                <w:bCs/>
                <w:i/>
                <w:iCs/>
                <w:sz w:val="20"/>
                <w:szCs w:val="20"/>
                <w:lang w:eastAsia="en-US"/>
              </w:rPr>
            </w:pPr>
            <w:r w:rsidRPr="003331EF">
              <w:rPr>
                <w:b/>
                <w:bCs/>
                <w:i/>
                <w:iCs/>
                <w:sz w:val="20"/>
                <w:szCs w:val="20"/>
                <w:lang w:eastAsia="en-US"/>
              </w:rPr>
              <w:t>Lg 3</w:t>
            </w:r>
          </w:p>
        </w:tc>
        <w:tc>
          <w:tcPr>
            <w:tcW w:w="7938" w:type="dxa"/>
          </w:tcPr>
          <w:p w14:paraId="274D647D" w14:textId="26A9320C" w:rsidR="001A4507" w:rsidRPr="003331EF" w:rsidRDefault="001A4507" w:rsidP="003331EF">
            <w:pPr>
              <w:spacing w:before="0"/>
              <w:rPr>
                <w:i/>
                <w:iCs/>
                <w:sz w:val="20"/>
                <w:szCs w:val="20"/>
                <w:lang w:eastAsia="en-US"/>
              </w:rPr>
            </w:pPr>
            <w:r w:rsidRPr="003331EF">
              <w:rPr>
                <w:i/>
                <w:iCs/>
                <w:sz w:val="20"/>
                <w:szCs w:val="20"/>
                <w:lang w:eastAsia="en-US"/>
              </w:rPr>
              <w:t xml:space="preserve">On seadusesse üle võetud lõikega </w:t>
            </w:r>
            <w:r w:rsidR="00FA614C" w:rsidRPr="003331EF">
              <w:rPr>
                <w:i/>
                <w:iCs/>
                <w:sz w:val="20"/>
                <w:szCs w:val="20"/>
                <w:lang w:eastAsia="en-US"/>
              </w:rPr>
              <w:t>4</w:t>
            </w:r>
            <w:r w:rsidRPr="003331EF">
              <w:rPr>
                <w:i/>
                <w:iCs/>
                <w:sz w:val="20"/>
                <w:szCs w:val="20"/>
                <w:lang w:eastAsia="en-US"/>
              </w:rPr>
              <w:t xml:space="preserve"> ja </w:t>
            </w:r>
            <w:proofErr w:type="spellStart"/>
            <w:r w:rsidRPr="003331EF">
              <w:rPr>
                <w:i/>
                <w:iCs/>
                <w:sz w:val="20"/>
                <w:szCs w:val="20"/>
                <w:lang w:eastAsia="en-US"/>
              </w:rPr>
              <w:t>RahaPTS</w:t>
            </w:r>
            <w:proofErr w:type="spellEnd"/>
            <w:r w:rsidRPr="003331EF">
              <w:rPr>
                <w:i/>
                <w:iCs/>
                <w:sz w:val="20"/>
                <w:szCs w:val="20"/>
                <w:lang w:eastAsia="en-US"/>
              </w:rPr>
              <w:t xml:space="preserve"> muudatusega, mille kohaselt </w:t>
            </w:r>
            <w:proofErr w:type="spellStart"/>
            <w:r w:rsidRPr="003331EF">
              <w:rPr>
                <w:i/>
                <w:iCs/>
                <w:sz w:val="20"/>
                <w:szCs w:val="20"/>
                <w:lang w:eastAsia="en-US"/>
              </w:rPr>
              <w:t>RahaPTS</w:t>
            </w:r>
            <w:proofErr w:type="spellEnd"/>
            <w:r w:rsidRPr="003331EF">
              <w:rPr>
                <w:i/>
                <w:iCs/>
                <w:sz w:val="20"/>
                <w:szCs w:val="20"/>
                <w:lang w:eastAsia="en-US"/>
              </w:rPr>
              <w:t xml:space="preserve"> alusel saadud </w:t>
            </w:r>
            <w:r w:rsidR="00446C37" w:rsidRPr="003331EF">
              <w:rPr>
                <w:i/>
                <w:iCs/>
                <w:sz w:val="20"/>
                <w:szCs w:val="20"/>
                <w:lang w:eastAsia="en-US"/>
              </w:rPr>
              <w:t>VASP</w:t>
            </w:r>
            <w:r w:rsidRPr="003331EF">
              <w:rPr>
                <w:i/>
                <w:iCs/>
                <w:sz w:val="20"/>
                <w:szCs w:val="20"/>
                <w:lang w:eastAsia="en-US"/>
              </w:rPr>
              <w:t xml:space="preserve"> tegevusluba kehtib kas 202</w:t>
            </w:r>
            <w:r w:rsidR="003C3321" w:rsidRPr="003331EF">
              <w:rPr>
                <w:i/>
                <w:iCs/>
                <w:sz w:val="20"/>
                <w:szCs w:val="20"/>
                <w:lang w:eastAsia="en-US"/>
              </w:rPr>
              <w:t>6</w:t>
            </w:r>
            <w:r w:rsidRPr="003331EF">
              <w:rPr>
                <w:i/>
                <w:iCs/>
                <w:sz w:val="20"/>
                <w:szCs w:val="20"/>
                <w:lang w:eastAsia="en-US"/>
              </w:rPr>
              <w:t>. aasta 1. j</w:t>
            </w:r>
            <w:r w:rsidR="003C3321" w:rsidRPr="003331EF">
              <w:rPr>
                <w:i/>
                <w:iCs/>
                <w:sz w:val="20"/>
                <w:szCs w:val="20"/>
                <w:lang w:eastAsia="en-US"/>
              </w:rPr>
              <w:t>aanuarini</w:t>
            </w:r>
            <w:r w:rsidRPr="003331EF">
              <w:rPr>
                <w:i/>
                <w:iCs/>
                <w:sz w:val="20"/>
                <w:szCs w:val="20"/>
                <w:lang w:eastAsia="en-US"/>
              </w:rPr>
              <w:t xml:space="preserve"> või </w:t>
            </w:r>
            <w:proofErr w:type="spellStart"/>
            <w:r w:rsidRPr="003331EF">
              <w:rPr>
                <w:i/>
                <w:iCs/>
                <w:sz w:val="20"/>
                <w:szCs w:val="20"/>
                <w:lang w:eastAsia="en-US"/>
              </w:rPr>
              <w:t>M</w:t>
            </w:r>
            <w:r w:rsidR="003C3321" w:rsidRPr="003331EF">
              <w:rPr>
                <w:i/>
                <w:iCs/>
                <w:sz w:val="20"/>
                <w:szCs w:val="20"/>
                <w:lang w:eastAsia="en-US"/>
              </w:rPr>
              <w:t>i</w:t>
            </w:r>
            <w:r w:rsidRPr="003331EF">
              <w:rPr>
                <w:i/>
                <w:iCs/>
                <w:sz w:val="20"/>
                <w:szCs w:val="20"/>
                <w:lang w:eastAsia="en-US"/>
              </w:rPr>
              <w:t>CA</w:t>
            </w:r>
            <w:proofErr w:type="spellEnd"/>
            <w:r w:rsidRPr="003331EF">
              <w:rPr>
                <w:i/>
                <w:iCs/>
                <w:sz w:val="20"/>
                <w:szCs w:val="20"/>
                <w:lang w:eastAsia="en-US"/>
              </w:rPr>
              <w:t xml:space="preserve"> alusel tegevusloa saamiseni. </w:t>
            </w:r>
          </w:p>
        </w:tc>
      </w:tr>
      <w:tr w:rsidR="003331EF" w:rsidRPr="003331EF" w14:paraId="5AB97328" w14:textId="77777777" w:rsidTr="00E043AB">
        <w:tc>
          <w:tcPr>
            <w:tcW w:w="988" w:type="dxa"/>
            <w:shd w:val="clear" w:color="auto" w:fill="D9E2F3" w:themeFill="accent5" w:themeFillTint="33"/>
          </w:tcPr>
          <w:p w14:paraId="3FE63231" w14:textId="77777777" w:rsidR="001A4507" w:rsidRPr="003331EF" w:rsidRDefault="001A4507" w:rsidP="003331EF">
            <w:pPr>
              <w:spacing w:before="0"/>
              <w:rPr>
                <w:b/>
                <w:bCs/>
                <w:i/>
                <w:iCs/>
                <w:sz w:val="20"/>
                <w:szCs w:val="20"/>
                <w:lang w:eastAsia="en-US"/>
              </w:rPr>
            </w:pPr>
            <w:r w:rsidRPr="003331EF">
              <w:rPr>
                <w:b/>
                <w:bCs/>
                <w:i/>
                <w:iCs/>
                <w:sz w:val="20"/>
                <w:szCs w:val="20"/>
                <w:lang w:eastAsia="en-US"/>
              </w:rPr>
              <w:t>Lg 4</w:t>
            </w:r>
          </w:p>
        </w:tc>
        <w:tc>
          <w:tcPr>
            <w:tcW w:w="7938" w:type="dxa"/>
          </w:tcPr>
          <w:p w14:paraId="7D2049BB" w14:textId="69AB2701" w:rsidR="001A4507" w:rsidRPr="003331EF" w:rsidRDefault="001A4507" w:rsidP="003331EF">
            <w:pPr>
              <w:pStyle w:val="pf0"/>
              <w:spacing w:before="0" w:beforeAutospacing="0" w:after="0" w:afterAutospacing="0"/>
              <w:jc w:val="both"/>
              <w:rPr>
                <w:i/>
                <w:iCs/>
                <w:sz w:val="20"/>
                <w:szCs w:val="20"/>
                <w:lang w:eastAsia="en-US"/>
              </w:rPr>
            </w:pPr>
            <w:r w:rsidRPr="003331EF">
              <w:rPr>
                <w:i/>
                <w:iCs/>
                <w:sz w:val="20"/>
                <w:szCs w:val="20"/>
                <w:lang w:eastAsia="en-US"/>
              </w:rPr>
              <w:t xml:space="preserve">Tegutsev varapõhiste </w:t>
            </w:r>
            <w:proofErr w:type="spellStart"/>
            <w:r w:rsidRPr="003331EF">
              <w:rPr>
                <w:i/>
                <w:iCs/>
                <w:sz w:val="20"/>
                <w:szCs w:val="20"/>
                <w:lang w:eastAsia="en-US"/>
              </w:rPr>
              <w:t>tokenite</w:t>
            </w:r>
            <w:proofErr w:type="spellEnd"/>
            <w:r w:rsidRPr="003331EF">
              <w:rPr>
                <w:i/>
                <w:iCs/>
                <w:sz w:val="20"/>
                <w:szCs w:val="20"/>
                <w:lang w:eastAsia="en-US"/>
              </w:rPr>
              <w:t xml:space="preserve"> emitent, kes pole krediidiasutus, peab 1 kuu jooksul alates </w:t>
            </w:r>
            <w:proofErr w:type="spellStart"/>
            <w:r w:rsidRPr="003331EF">
              <w:rPr>
                <w:i/>
                <w:iCs/>
                <w:sz w:val="20"/>
                <w:szCs w:val="20"/>
                <w:lang w:eastAsia="en-US"/>
              </w:rPr>
              <w:t>M</w:t>
            </w:r>
            <w:r w:rsidR="003C3321" w:rsidRPr="003331EF">
              <w:rPr>
                <w:i/>
                <w:iCs/>
                <w:sz w:val="20"/>
                <w:szCs w:val="20"/>
                <w:lang w:eastAsia="en-US"/>
              </w:rPr>
              <w:t>i</w:t>
            </w:r>
            <w:r w:rsidRPr="003331EF">
              <w:rPr>
                <w:i/>
                <w:iCs/>
                <w:sz w:val="20"/>
                <w:szCs w:val="20"/>
                <w:lang w:eastAsia="en-US"/>
              </w:rPr>
              <w:t>CA</w:t>
            </w:r>
            <w:proofErr w:type="spellEnd"/>
            <w:r w:rsidRPr="003331EF">
              <w:rPr>
                <w:i/>
                <w:iCs/>
                <w:sz w:val="20"/>
                <w:szCs w:val="20"/>
                <w:lang w:eastAsia="en-US"/>
              </w:rPr>
              <w:t xml:space="preserve"> rakend</w:t>
            </w:r>
            <w:r w:rsidR="003825E3" w:rsidRPr="003331EF">
              <w:rPr>
                <w:i/>
                <w:iCs/>
                <w:sz w:val="20"/>
                <w:szCs w:val="20"/>
                <w:lang w:eastAsia="en-US"/>
              </w:rPr>
              <w:t>u</w:t>
            </w:r>
            <w:r w:rsidRPr="003331EF">
              <w:rPr>
                <w:i/>
                <w:iCs/>
                <w:sz w:val="20"/>
                <w:szCs w:val="20"/>
                <w:lang w:eastAsia="en-US"/>
              </w:rPr>
              <w:t xml:space="preserve">misest (13 kuu jooksul </w:t>
            </w:r>
            <w:proofErr w:type="spellStart"/>
            <w:r w:rsidRPr="003331EF">
              <w:rPr>
                <w:i/>
                <w:iCs/>
                <w:sz w:val="20"/>
                <w:szCs w:val="20"/>
                <w:lang w:eastAsia="en-US"/>
              </w:rPr>
              <w:t>M</w:t>
            </w:r>
            <w:r w:rsidR="003A12E0">
              <w:rPr>
                <w:i/>
                <w:iCs/>
                <w:sz w:val="20"/>
                <w:szCs w:val="20"/>
                <w:lang w:eastAsia="en-US"/>
              </w:rPr>
              <w:t>i</w:t>
            </w:r>
            <w:r w:rsidRPr="003331EF">
              <w:rPr>
                <w:i/>
                <w:iCs/>
                <w:sz w:val="20"/>
                <w:szCs w:val="20"/>
                <w:lang w:eastAsia="en-US"/>
              </w:rPr>
              <w:t>CA</w:t>
            </w:r>
            <w:proofErr w:type="spellEnd"/>
            <w:r w:rsidRPr="003331EF">
              <w:rPr>
                <w:i/>
                <w:iCs/>
                <w:sz w:val="20"/>
                <w:szCs w:val="20"/>
                <w:lang w:eastAsia="en-US"/>
              </w:rPr>
              <w:t xml:space="preserve"> jõustumisest) esitama tegevusloa taotluse. </w:t>
            </w:r>
          </w:p>
        </w:tc>
      </w:tr>
      <w:tr w:rsidR="003331EF" w:rsidRPr="003331EF" w14:paraId="313B744A" w14:textId="77777777" w:rsidTr="00E043AB">
        <w:tc>
          <w:tcPr>
            <w:tcW w:w="988" w:type="dxa"/>
            <w:shd w:val="clear" w:color="auto" w:fill="D9E2F3" w:themeFill="accent5" w:themeFillTint="33"/>
          </w:tcPr>
          <w:p w14:paraId="1783B8D9" w14:textId="77777777" w:rsidR="001A4507" w:rsidRPr="003331EF" w:rsidRDefault="001A4507" w:rsidP="003331EF">
            <w:pPr>
              <w:spacing w:before="0"/>
              <w:rPr>
                <w:b/>
                <w:bCs/>
                <w:i/>
                <w:iCs/>
                <w:sz w:val="20"/>
                <w:szCs w:val="20"/>
                <w:lang w:eastAsia="en-US"/>
              </w:rPr>
            </w:pPr>
            <w:r w:rsidRPr="003331EF">
              <w:rPr>
                <w:b/>
                <w:bCs/>
                <w:i/>
                <w:iCs/>
                <w:sz w:val="20"/>
                <w:szCs w:val="20"/>
                <w:lang w:eastAsia="en-US"/>
              </w:rPr>
              <w:t>Lg 5</w:t>
            </w:r>
          </w:p>
        </w:tc>
        <w:tc>
          <w:tcPr>
            <w:tcW w:w="7938" w:type="dxa"/>
          </w:tcPr>
          <w:p w14:paraId="33572537" w14:textId="4A2DD930" w:rsidR="001A4507" w:rsidRPr="003331EF" w:rsidRDefault="001A4507" w:rsidP="003331EF">
            <w:pPr>
              <w:spacing w:before="0"/>
              <w:rPr>
                <w:i/>
                <w:iCs/>
                <w:sz w:val="20"/>
                <w:szCs w:val="20"/>
                <w:lang w:eastAsia="en-US"/>
              </w:rPr>
            </w:pPr>
            <w:r w:rsidRPr="003331EF">
              <w:rPr>
                <w:i/>
                <w:iCs/>
                <w:sz w:val="20"/>
                <w:szCs w:val="20"/>
                <w:lang w:eastAsia="en-US"/>
              </w:rPr>
              <w:t xml:space="preserve">Tegutsev krediidiasutusest varapõhiste </w:t>
            </w:r>
            <w:proofErr w:type="spellStart"/>
            <w:r w:rsidRPr="003331EF">
              <w:rPr>
                <w:i/>
                <w:iCs/>
                <w:sz w:val="20"/>
                <w:szCs w:val="20"/>
                <w:lang w:eastAsia="en-US"/>
              </w:rPr>
              <w:t>tokenite</w:t>
            </w:r>
            <w:proofErr w:type="spellEnd"/>
            <w:r w:rsidRPr="003331EF">
              <w:rPr>
                <w:i/>
                <w:iCs/>
                <w:sz w:val="20"/>
                <w:szCs w:val="20"/>
                <w:lang w:eastAsia="en-US"/>
              </w:rPr>
              <w:t xml:space="preserve"> emitent peab 1 </w:t>
            </w:r>
            <w:r w:rsidR="003C3321" w:rsidRPr="003331EF">
              <w:rPr>
                <w:i/>
                <w:iCs/>
                <w:sz w:val="20"/>
                <w:szCs w:val="20"/>
                <w:lang w:eastAsia="en-US"/>
              </w:rPr>
              <w:t xml:space="preserve">kuu </w:t>
            </w:r>
            <w:r w:rsidRPr="003331EF">
              <w:rPr>
                <w:i/>
                <w:iCs/>
                <w:sz w:val="20"/>
                <w:szCs w:val="20"/>
                <w:lang w:eastAsia="en-US"/>
              </w:rPr>
              <w:t xml:space="preserve">jooksul alates </w:t>
            </w:r>
            <w:proofErr w:type="spellStart"/>
            <w:r w:rsidRPr="003331EF">
              <w:rPr>
                <w:i/>
                <w:iCs/>
                <w:sz w:val="20"/>
                <w:szCs w:val="20"/>
                <w:lang w:eastAsia="en-US"/>
              </w:rPr>
              <w:t>M</w:t>
            </w:r>
            <w:r w:rsidR="003C3321" w:rsidRPr="003331EF">
              <w:rPr>
                <w:i/>
                <w:iCs/>
                <w:sz w:val="20"/>
                <w:szCs w:val="20"/>
                <w:lang w:eastAsia="en-US"/>
              </w:rPr>
              <w:t>i</w:t>
            </w:r>
            <w:r w:rsidRPr="003331EF">
              <w:rPr>
                <w:i/>
                <w:iCs/>
                <w:sz w:val="20"/>
                <w:szCs w:val="20"/>
                <w:lang w:eastAsia="en-US"/>
              </w:rPr>
              <w:t>CA</w:t>
            </w:r>
            <w:proofErr w:type="spellEnd"/>
            <w:r w:rsidRPr="003331EF">
              <w:rPr>
                <w:i/>
                <w:iCs/>
                <w:sz w:val="20"/>
                <w:szCs w:val="20"/>
                <w:lang w:eastAsia="en-US"/>
              </w:rPr>
              <w:t xml:space="preserve"> rakend</w:t>
            </w:r>
            <w:r w:rsidR="003825E3" w:rsidRPr="003331EF">
              <w:rPr>
                <w:i/>
                <w:iCs/>
                <w:sz w:val="20"/>
                <w:szCs w:val="20"/>
                <w:lang w:eastAsia="en-US"/>
              </w:rPr>
              <w:t>u</w:t>
            </w:r>
            <w:r w:rsidRPr="003331EF">
              <w:rPr>
                <w:i/>
                <w:iCs/>
                <w:sz w:val="20"/>
                <w:szCs w:val="20"/>
                <w:lang w:eastAsia="en-US"/>
              </w:rPr>
              <w:t xml:space="preserve">misest (13 kuu jooksul </w:t>
            </w:r>
            <w:proofErr w:type="spellStart"/>
            <w:r w:rsidRPr="003331EF">
              <w:rPr>
                <w:i/>
                <w:iCs/>
                <w:sz w:val="20"/>
                <w:szCs w:val="20"/>
                <w:lang w:eastAsia="en-US"/>
              </w:rPr>
              <w:t>M</w:t>
            </w:r>
            <w:r w:rsidR="003A12E0">
              <w:rPr>
                <w:i/>
                <w:iCs/>
                <w:sz w:val="20"/>
                <w:szCs w:val="20"/>
                <w:lang w:eastAsia="en-US"/>
              </w:rPr>
              <w:t>i</w:t>
            </w:r>
            <w:r w:rsidRPr="003331EF">
              <w:rPr>
                <w:i/>
                <w:iCs/>
                <w:sz w:val="20"/>
                <w:szCs w:val="20"/>
                <w:lang w:eastAsia="en-US"/>
              </w:rPr>
              <w:t>CA</w:t>
            </w:r>
            <w:proofErr w:type="spellEnd"/>
            <w:r w:rsidRPr="003331EF">
              <w:rPr>
                <w:i/>
                <w:iCs/>
                <w:sz w:val="20"/>
                <w:szCs w:val="20"/>
                <w:lang w:eastAsia="en-US"/>
              </w:rPr>
              <w:t xml:space="preserve"> jõustumisest) esitama Finantsinspektsioonile valge raamatu heakskiitmiseks.</w:t>
            </w:r>
          </w:p>
        </w:tc>
      </w:tr>
      <w:tr w:rsidR="003331EF" w:rsidRPr="003331EF" w14:paraId="64A32024" w14:textId="77777777" w:rsidTr="00E043AB">
        <w:tc>
          <w:tcPr>
            <w:tcW w:w="988" w:type="dxa"/>
            <w:shd w:val="clear" w:color="auto" w:fill="D9E2F3" w:themeFill="accent5" w:themeFillTint="33"/>
          </w:tcPr>
          <w:p w14:paraId="50E91565" w14:textId="77777777" w:rsidR="001A4507" w:rsidRPr="003331EF" w:rsidRDefault="001A4507" w:rsidP="003331EF">
            <w:pPr>
              <w:spacing w:before="0"/>
              <w:rPr>
                <w:b/>
                <w:bCs/>
                <w:sz w:val="20"/>
                <w:szCs w:val="20"/>
              </w:rPr>
            </w:pPr>
            <w:r w:rsidRPr="003331EF">
              <w:rPr>
                <w:b/>
                <w:bCs/>
                <w:i/>
                <w:iCs/>
                <w:sz w:val="20"/>
                <w:szCs w:val="20"/>
                <w:lang w:eastAsia="en-US"/>
              </w:rPr>
              <w:t>Lg 6</w:t>
            </w:r>
          </w:p>
        </w:tc>
        <w:tc>
          <w:tcPr>
            <w:tcW w:w="7938" w:type="dxa"/>
          </w:tcPr>
          <w:p w14:paraId="18E6ADB8" w14:textId="78BA15CE" w:rsidR="001A4507" w:rsidRPr="003331EF" w:rsidRDefault="003825E3" w:rsidP="003331EF">
            <w:pPr>
              <w:spacing w:before="0"/>
              <w:rPr>
                <w:i/>
                <w:iCs/>
                <w:sz w:val="20"/>
                <w:szCs w:val="20"/>
              </w:rPr>
            </w:pPr>
            <w:r w:rsidRPr="003331EF">
              <w:rPr>
                <w:i/>
                <w:iCs/>
                <w:sz w:val="20"/>
                <w:szCs w:val="20"/>
              </w:rPr>
              <w:t>L</w:t>
            </w:r>
            <w:r w:rsidR="00446C37" w:rsidRPr="003331EF">
              <w:rPr>
                <w:i/>
                <w:iCs/>
                <w:sz w:val="20"/>
                <w:szCs w:val="20"/>
              </w:rPr>
              <w:t xml:space="preserve">ihtsustatud kord </w:t>
            </w:r>
            <w:proofErr w:type="spellStart"/>
            <w:r w:rsidR="00446C37" w:rsidRPr="003331EF">
              <w:rPr>
                <w:i/>
                <w:iCs/>
                <w:sz w:val="20"/>
                <w:szCs w:val="20"/>
              </w:rPr>
              <w:t>M</w:t>
            </w:r>
            <w:r w:rsidR="003C3321" w:rsidRPr="003331EF">
              <w:rPr>
                <w:i/>
                <w:iCs/>
                <w:sz w:val="20"/>
                <w:szCs w:val="20"/>
              </w:rPr>
              <w:t>i</w:t>
            </w:r>
            <w:r w:rsidR="00446C37" w:rsidRPr="003331EF">
              <w:rPr>
                <w:i/>
                <w:iCs/>
                <w:sz w:val="20"/>
                <w:szCs w:val="20"/>
              </w:rPr>
              <w:t>CA</w:t>
            </w:r>
            <w:proofErr w:type="spellEnd"/>
            <w:r w:rsidR="00446C37" w:rsidRPr="003331EF">
              <w:rPr>
                <w:i/>
                <w:iCs/>
                <w:sz w:val="20"/>
                <w:szCs w:val="20"/>
              </w:rPr>
              <w:t xml:space="preserve"> alusel uue tegevusloa menetlemisele.</w:t>
            </w:r>
            <w:r w:rsidRPr="003331EF">
              <w:rPr>
                <w:i/>
                <w:iCs/>
                <w:sz w:val="20"/>
                <w:szCs w:val="20"/>
              </w:rPr>
              <w:t xml:space="preserve"> Eelnõus ei ole seda võimalust ette nähtud.</w:t>
            </w:r>
          </w:p>
        </w:tc>
      </w:tr>
    </w:tbl>
    <w:p w14:paraId="3094BF81" w14:textId="77777777" w:rsidR="007256D3" w:rsidRPr="003331EF" w:rsidRDefault="007256D3" w:rsidP="003331EF">
      <w:pPr>
        <w:spacing w:before="0"/>
        <w:rPr>
          <w:b/>
          <w:bCs/>
        </w:rPr>
      </w:pPr>
    </w:p>
    <w:p w14:paraId="58F443AC" w14:textId="77777777" w:rsidR="006374B1" w:rsidRPr="003331EF" w:rsidRDefault="006374B1" w:rsidP="003331EF">
      <w:pPr>
        <w:spacing w:before="0"/>
      </w:pPr>
    </w:p>
    <w:p w14:paraId="7D3C3B0D" w14:textId="2BCBCBE1" w:rsidR="001A4507" w:rsidRPr="003331EF" w:rsidRDefault="001A4507" w:rsidP="003331EF">
      <w:pPr>
        <w:spacing w:before="0"/>
      </w:pPr>
      <w:r w:rsidRPr="003331EF">
        <w:rPr>
          <w:b/>
        </w:rPr>
        <w:t>Lõike 4</w:t>
      </w:r>
      <w:r w:rsidRPr="003331EF">
        <w:t xml:space="preserve"> </w:t>
      </w:r>
      <w:r w:rsidRPr="003331EF">
        <w:rPr>
          <w:iCs/>
          <w:spacing w:val="-5"/>
          <w:lang w:eastAsia="en-US"/>
        </w:rPr>
        <w:t xml:space="preserve">kohaselt peab </w:t>
      </w:r>
      <w:r w:rsidR="005E7406" w:rsidRPr="003331EF">
        <w:rPr>
          <w:iCs/>
          <w:spacing w:val="-5"/>
          <w:lang w:eastAsia="en-US"/>
        </w:rPr>
        <w:t>VASP</w:t>
      </w:r>
      <w:r w:rsidRPr="003331EF">
        <w:rPr>
          <w:iCs/>
          <w:spacing w:val="-5"/>
          <w:lang w:eastAsia="en-US"/>
        </w:rPr>
        <w:t xml:space="preserve">, kellele on enne käesoleva seaduse jõustumist väljastatud rahapesu ja terrorismi rahastamise tõkestamise seaduse alusel </w:t>
      </w:r>
      <w:r w:rsidR="00A06E57" w:rsidRPr="003331EF">
        <w:rPr>
          <w:iCs/>
          <w:spacing w:val="-5"/>
          <w:lang w:eastAsia="en-US"/>
        </w:rPr>
        <w:t xml:space="preserve">VASP </w:t>
      </w:r>
      <w:r w:rsidRPr="003331EF">
        <w:rPr>
          <w:iCs/>
          <w:spacing w:val="-5"/>
          <w:lang w:eastAsia="en-US"/>
        </w:rPr>
        <w:t xml:space="preserve">tegevusluba ning kes soovib osutada </w:t>
      </w:r>
      <w:proofErr w:type="spellStart"/>
      <w:r w:rsidRPr="003331EF">
        <w:rPr>
          <w:iCs/>
          <w:spacing w:val="-5"/>
          <w:lang w:eastAsia="en-US"/>
        </w:rPr>
        <w:t>krüptovarateenuseid</w:t>
      </w:r>
      <w:proofErr w:type="spellEnd"/>
      <w:r w:rsidRPr="003331EF">
        <w:rPr>
          <w:iCs/>
          <w:spacing w:val="-5"/>
          <w:lang w:eastAsia="en-US"/>
        </w:rPr>
        <w:t xml:space="preserve"> käesoleva seaduse ja </w:t>
      </w:r>
      <w:proofErr w:type="spellStart"/>
      <w:r w:rsidRPr="003331EF">
        <w:rPr>
          <w:iCs/>
          <w:spacing w:val="-5"/>
          <w:lang w:eastAsia="en-US"/>
        </w:rPr>
        <w:t>M</w:t>
      </w:r>
      <w:r w:rsidR="00D3149A"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 alusel, peab hiljemalt 202</w:t>
      </w:r>
      <w:r w:rsidR="003C3321" w:rsidRPr="003331EF">
        <w:rPr>
          <w:iCs/>
          <w:spacing w:val="-5"/>
          <w:lang w:eastAsia="en-US"/>
        </w:rPr>
        <w:t>6</w:t>
      </w:r>
      <w:r w:rsidRPr="003331EF">
        <w:rPr>
          <w:iCs/>
          <w:spacing w:val="-5"/>
          <w:lang w:eastAsia="en-US"/>
        </w:rPr>
        <w:t xml:space="preserve">. aasta 1. </w:t>
      </w:r>
      <w:r w:rsidR="003C3321" w:rsidRPr="003331EF">
        <w:rPr>
          <w:iCs/>
          <w:spacing w:val="-5"/>
          <w:lang w:eastAsia="en-US"/>
        </w:rPr>
        <w:t xml:space="preserve">jaanuariks </w:t>
      </w:r>
      <w:r w:rsidRPr="003331EF">
        <w:rPr>
          <w:iCs/>
          <w:spacing w:val="-5"/>
          <w:lang w:eastAsia="en-US"/>
        </w:rPr>
        <w:t xml:space="preserve">oma tegevuse kookõlla viima </w:t>
      </w:r>
      <w:proofErr w:type="spellStart"/>
      <w:r w:rsidRPr="003331EF">
        <w:rPr>
          <w:iCs/>
          <w:spacing w:val="-5"/>
          <w:lang w:eastAsia="en-US"/>
        </w:rPr>
        <w:t>M</w:t>
      </w:r>
      <w:r w:rsidR="003C3321"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 nõuetega.  </w:t>
      </w:r>
    </w:p>
    <w:p w14:paraId="0AB25A70" w14:textId="77777777" w:rsidR="001A4507" w:rsidRPr="003331EF" w:rsidRDefault="001A4507" w:rsidP="003331EF">
      <w:pPr>
        <w:spacing w:before="0"/>
        <w:rPr>
          <w:i/>
          <w:iCs/>
        </w:rPr>
      </w:pPr>
    </w:p>
    <w:p w14:paraId="77441FC6" w14:textId="69DA9C2F" w:rsidR="001A4507" w:rsidRPr="003331EF" w:rsidRDefault="001A4507" w:rsidP="003331EF">
      <w:pPr>
        <w:spacing w:before="0"/>
        <w:rPr>
          <w:iCs/>
          <w:spacing w:val="-5"/>
          <w:lang w:eastAsia="en-US"/>
        </w:rPr>
      </w:pPr>
      <w:r w:rsidRPr="003331EF">
        <w:rPr>
          <w:b/>
        </w:rPr>
        <w:t>Lõike 5</w:t>
      </w:r>
      <w:r w:rsidRPr="003331EF">
        <w:t xml:space="preserve"> </w:t>
      </w:r>
      <w:r w:rsidRPr="003331EF">
        <w:rPr>
          <w:iCs/>
          <w:spacing w:val="-5"/>
          <w:lang w:eastAsia="en-US"/>
        </w:rPr>
        <w:t xml:space="preserve">kohaselt, kui </w:t>
      </w:r>
      <w:proofErr w:type="spellStart"/>
      <w:r w:rsidRPr="003331EF">
        <w:rPr>
          <w:iCs/>
          <w:spacing w:val="-5"/>
          <w:lang w:eastAsia="en-US"/>
        </w:rPr>
        <w:t>krüptovarateenuse</w:t>
      </w:r>
      <w:proofErr w:type="spellEnd"/>
      <w:r w:rsidRPr="003331EF">
        <w:rPr>
          <w:iCs/>
          <w:spacing w:val="-5"/>
          <w:lang w:eastAsia="en-US"/>
        </w:rPr>
        <w:t xml:space="preserve"> osutaja on esitanud tegevusloa taotluse enne 202</w:t>
      </w:r>
      <w:r w:rsidR="003C3321" w:rsidRPr="003331EF">
        <w:rPr>
          <w:iCs/>
          <w:spacing w:val="-5"/>
          <w:lang w:eastAsia="en-US"/>
        </w:rPr>
        <w:t>6</w:t>
      </w:r>
      <w:r w:rsidRPr="003331EF">
        <w:rPr>
          <w:iCs/>
          <w:spacing w:val="-5"/>
          <w:lang w:eastAsia="en-US"/>
        </w:rPr>
        <w:t xml:space="preserve">. aasta 1. </w:t>
      </w:r>
      <w:r w:rsidR="003C3321" w:rsidRPr="003331EF">
        <w:rPr>
          <w:iCs/>
          <w:spacing w:val="-5"/>
          <w:lang w:eastAsia="en-US"/>
        </w:rPr>
        <w:t xml:space="preserve">jaanuari </w:t>
      </w:r>
      <w:r w:rsidRPr="003331EF">
        <w:rPr>
          <w:iCs/>
          <w:spacing w:val="-5"/>
          <w:lang w:eastAsia="en-US"/>
        </w:rPr>
        <w:t xml:space="preserve">ja Finantsinspektsioon ei ole nimetatud kuupäevaks otsustanud tegevusloa andmist või sellest keeldumist, ei loeta </w:t>
      </w:r>
      <w:r w:rsidR="00A06E57" w:rsidRPr="003331EF">
        <w:rPr>
          <w:iCs/>
          <w:spacing w:val="-5"/>
          <w:lang w:eastAsia="en-US"/>
        </w:rPr>
        <w:t>VASP</w:t>
      </w:r>
      <w:r w:rsidRPr="003331EF">
        <w:rPr>
          <w:iCs/>
          <w:spacing w:val="-5"/>
          <w:lang w:eastAsia="en-US"/>
        </w:rPr>
        <w:t xml:space="preserve"> tegevust tegevusloata tegevuseks karistusseadustiku </w:t>
      </w:r>
      <w:r w:rsidR="00EE7782" w:rsidRPr="003331EF">
        <w:rPr>
          <w:iCs/>
          <w:spacing w:val="-5"/>
          <w:lang w:eastAsia="en-US"/>
        </w:rPr>
        <w:t xml:space="preserve">§ 372 </w:t>
      </w:r>
      <w:r w:rsidRPr="003331EF">
        <w:rPr>
          <w:iCs/>
          <w:spacing w:val="-5"/>
          <w:lang w:eastAsia="en-US"/>
        </w:rPr>
        <w:lastRenderedPageBreak/>
        <w:t>tähenduses</w:t>
      </w:r>
      <w:r w:rsidR="00EE7782" w:rsidRPr="003331EF">
        <w:rPr>
          <w:iCs/>
          <w:spacing w:val="-5"/>
          <w:lang w:eastAsia="en-US"/>
        </w:rPr>
        <w:t xml:space="preserve"> (tegevusloata ja keelatud majandustegevus)</w:t>
      </w:r>
      <w:r w:rsidRPr="003331EF">
        <w:rPr>
          <w:iCs/>
          <w:spacing w:val="-5"/>
          <w:lang w:eastAsia="en-US"/>
        </w:rPr>
        <w:t xml:space="preserve">. Sellisel juhul ei ole teenuseosutajal lubatud alates vastavatest kuupäevadest kuni tegevusloa andmise või sellest keeldumise otsustamiseni </w:t>
      </w:r>
      <w:r w:rsidR="00EE7782" w:rsidRPr="003331EF">
        <w:rPr>
          <w:iCs/>
          <w:spacing w:val="-5"/>
          <w:lang w:eastAsia="en-US"/>
        </w:rPr>
        <w:t xml:space="preserve"> sõlmida </w:t>
      </w:r>
      <w:r w:rsidR="003C3321" w:rsidRPr="003331EF">
        <w:rPr>
          <w:iCs/>
          <w:spacing w:val="-5"/>
          <w:lang w:eastAsia="en-US"/>
        </w:rPr>
        <w:t xml:space="preserve">uusi </w:t>
      </w:r>
      <w:proofErr w:type="spellStart"/>
      <w:r w:rsidR="003C3321" w:rsidRPr="003331EF">
        <w:rPr>
          <w:iCs/>
          <w:spacing w:val="-5"/>
          <w:lang w:eastAsia="en-US"/>
        </w:rPr>
        <w:t>kleindi</w:t>
      </w:r>
      <w:r w:rsidR="00EE7782" w:rsidRPr="003331EF">
        <w:rPr>
          <w:iCs/>
          <w:spacing w:val="-5"/>
          <w:lang w:eastAsia="en-US"/>
        </w:rPr>
        <w:t>lepinguid</w:t>
      </w:r>
      <w:proofErr w:type="spellEnd"/>
      <w:r w:rsidR="003C3321" w:rsidRPr="003331EF">
        <w:rPr>
          <w:iCs/>
          <w:spacing w:val="-5"/>
          <w:lang w:eastAsia="en-US"/>
        </w:rPr>
        <w:t>.</w:t>
      </w:r>
    </w:p>
    <w:p w14:paraId="0B83EBC4" w14:textId="77777777" w:rsidR="001A4507" w:rsidRPr="003331EF" w:rsidRDefault="001A4507" w:rsidP="003331EF">
      <w:pPr>
        <w:spacing w:before="0"/>
        <w:rPr>
          <w:i/>
          <w:iCs/>
        </w:rPr>
      </w:pPr>
    </w:p>
    <w:p w14:paraId="5EF862FE" w14:textId="49C548E4" w:rsidR="001A4507" w:rsidRPr="003331EF" w:rsidRDefault="001A4507" w:rsidP="003331EF">
      <w:pPr>
        <w:spacing w:before="0"/>
        <w:rPr>
          <w:iCs/>
          <w:spacing w:val="-5"/>
          <w:lang w:eastAsia="en-US"/>
        </w:rPr>
      </w:pPr>
      <w:r w:rsidRPr="003331EF">
        <w:rPr>
          <w:b/>
        </w:rPr>
        <w:t>Lõike</w:t>
      </w:r>
      <w:r w:rsidR="00340925" w:rsidRPr="003331EF">
        <w:rPr>
          <w:b/>
        </w:rPr>
        <w:t>d</w:t>
      </w:r>
      <w:r w:rsidRPr="003331EF">
        <w:rPr>
          <w:b/>
        </w:rPr>
        <w:t xml:space="preserve"> 6 </w:t>
      </w:r>
      <w:r w:rsidR="00340925" w:rsidRPr="003331EF">
        <w:rPr>
          <w:b/>
        </w:rPr>
        <w:t>ja 7</w:t>
      </w:r>
      <w:r w:rsidR="00340925" w:rsidRPr="003331EF">
        <w:t xml:space="preserve">. </w:t>
      </w:r>
      <w:r w:rsidR="00340925" w:rsidRPr="003331EF">
        <w:rPr>
          <w:iCs/>
          <w:spacing w:val="-5"/>
          <w:lang w:eastAsia="en-US"/>
        </w:rPr>
        <w:t>E</w:t>
      </w:r>
      <w:r w:rsidR="008809A8" w:rsidRPr="003331EF">
        <w:rPr>
          <w:iCs/>
          <w:spacing w:val="-5"/>
          <w:lang w:eastAsia="en-US"/>
        </w:rPr>
        <w:t>ttevõtja</w:t>
      </w:r>
      <w:r w:rsidRPr="003331EF">
        <w:rPr>
          <w:iCs/>
          <w:spacing w:val="-5"/>
          <w:lang w:eastAsia="en-US"/>
        </w:rPr>
        <w:t xml:space="preserve">, kes on asutatud ja tegutsenud enne </w:t>
      </w:r>
      <w:proofErr w:type="spellStart"/>
      <w:r w:rsidRPr="003331EF">
        <w:rPr>
          <w:iCs/>
          <w:spacing w:val="-5"/>
          <w:lang w:eastAsia="en-US"/>
        </w:rPr>
        <w:t>M</w:t>
      </w:r>
      <w:r w:rsidR="00D3149A"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 rakendamist ja kes alates 202</w:t>
      </w:r>
      <w:r w:rsidR="003C3321" w:rsidRPr="003331EF">
        <w:rPr>
          <w:iCs/>
          <w:spacing w:val="-5"/>
          <w:lang w:eastAsia="en-US"/>
        </w:rPr>
        <w:t>6</w:t>
      </w:r>
      <w:r w:rsidRPr="003331EF">
        <w:rPr>
          <w:iCs/>
          <w:spacing w:val="-5"/>
          <w:lang w:eastAsia="en-US"/>
        </w:rPr>
        <w:t xml:space="preserve">. aasta 1. </w:t>
      </w:r>
      <w:r w:rsidR="003C3321" w:rsidRPr="003331EF">
        <w:rPr>
          <w:iCs/>
          <w:spacing w:val="-5"/>
          <w:lang w:eastAsia="en-US"/>
        </w:rPr>
        <w:t xml:space="preserve">jaanuarist </w:t>
      </w:r>
      <w:r w:rsidRPr="003331EF">
        <w:rPr>
          <w:iCs/>
          <w:spacing w:val="-5"/>
          <w:lang w:eastAsia="en-US"/>
        </w:rPr>
        <w:t xml:space="preserve">ei </w:t>
      </w:r>
      <w:r w:rsidR="003C3321" w:rsidRPr="003331EF">
        <w:rPr>
          <w:iCs/>
          <w:spacing w:val="-5"/>
          <w:lang w:eastAsia="en-US"/>
        </w:rPr>
        <w:t>paku virtuaalteenust</w:t>
      </w:r>
      <w:r w:rsidRPr="003331EF">
        <w:rPr>
          <w:iCs/>
          <w:spacing w:val="-5"/>
          <w:lang w:eastAsia="en-US"/>
        </w:rPr>
        <w:t xml:space="preserve">, </w:t>
      </w:r>
      <w:r w:rsidR="00D3149A" w:rsidRPr="003331EF">
        <w:rPr>
          <w:iCs/>
          <w:spacing w:val="-5"/>
          <w:lang w:eastAsia="en-US"/>
        </w:rPr>
        <w:t xml:space="preserve">ei pea </w:t>
      </w:r>
      <w:r w:rsidRPr="003331EF">
        <w:rPr>
          <w:iCs/>
          <w:spacing w:val="-5"/>
          <w:lang w:eastAsia="en-US"/>
        </w:rPr>
        <w:t xml:space="preserve">taotlema Finantsinspektsioonilt tegevusluba. Virtuaalvääringu teenusega seotud lepingule, mille </w:t>
      </w:r>
      <w:r w:rsidR="00A06E57" w:rsidRPr="003331EF">
        <w:rPr>
          <w:iCs/>
          <w:spacing w:val="-5"/>
          <w:lang w:eastAsia="en-US"/>
        </w:rPr>
        <w:t>VASP</w:t>
      </w:r>
      <w:r w:rsidRPr="003331EF">
        <w:rPr>
          <w:iCs/>
          <w:spacing w:val="-5"/>
          <w:lang w:eastAsia="en-US"/>
        </w:rPr>
        <w:t xml:space="preserve"> on sõlminud enne </w:t>
      </w:r>
      <w:proofErr w:type="spellStart"/>
      <w:r w:rsidRPr="003331EF">
        <w:rPr>
          <w:iCs/>
          <w:spacing w:val="-5"/>
          <w:lang w:eastAsia="en-US"/>
        </w:rPr>
        <w:t>M</w:t>
      </w:r>
      <w:r w:rsidR="00D3149A"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 rakendamiskuupäeva, ei kohaldata </w:t>
      </w:r>
      <w:proofErr w:type="spellStart"/>
      <w:r w:rsidR="003C3321" w:rsidRPr="003331EF">
        <w:rPr>
          <w:iCs/>
          <w:spacing w:val="-5"/>
          <w:lang w:eastAsia="en-US"/>
        </w:rPr>
        <w:t>KrüTSis</w:t>
      </w:r>
      <w:proofErr w:type="spellEnd"/>
      <w:r w:rsidRPr="003331EF">
        <w:rPr>
          <w:iCs/>
          <w:spacing w:val="-5"/>
          <w:lang w:eastAsia="en-US"/>
        </w:rPr>
        <w:t xml:space="preserve"> ja </w:t>
      </w:r>
      <w:proofErr w:type="spellStart"/>
      <w:r w:rsidRPr="003331EF">
        <w:rPr>
          <w:iCs/>
          <w:spacing w:val="-5"/>
          <w:lang w:eastAsia="en-US"/>
        </w:rPr>
        <w:t>M</w:t>
      </w:r>
      <w:r w:rsidR="00D3149A"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määruses sätestatut.</w:t>
      </w:r>
      <w:r w:rsidR="00EE7782" w:rsidRPr="003331EF">
        <w:rPr>
          <w:iCs/>
          <w:spacing w:val="-5"/>
          <w:lang w:eastAsia="en-US"/>
        </w:rPr>
        <w:t xml:space="preserve"> </w:t>
      </w:r>
      <w:r w:rsidR="00D3149A" w:rsidRPr="003331EF">
        <w:rPr>
          <w:iCs/>
          <w:spacing w:val="-5"/>
          <w:lang w:eastAsia="en-US"/>
        </w:rPr>
        <w:t>VASP</w:t>
      </w:r>
      <w:r w:rsidR="00EE7782" w:rsidRPr="003331EF">
        <w:rPr>
          <w:iCs/>
          <w:spacing w:val="-5"/>
          <w:lang w:eastAsia="en-US"/>
        </w:rPr>
        <w:t xml:space="preserve"> on siiski kohustatud teavitama klienti temale teenuse osutamise lõpetamisest ja mõistliku aja jooksul kliendi varad tema nimetatud rahakoti aadressile või maksekontole tagastama.</w:t>
      </w:r>
      <w:r w:rsidR="00340925" w:rsidRPr="003331EF">
        <w:rPr>
          <w:iCs/>
          <w:spacing w:val="-5"/>
          <w:lang w:eastAsia="en-US"/>
        </w:rPr>
        <w:t xml:space="preserve"> Sama kehtib ka olukorras, kui virtuaalvääriku teenuse pakkuja ei ole saanud Finantsinspektsiooni tegevusluba </w:t>
      </w:r>
      <w:proofErr w:type="spellStart"/>
      <w:r w:rsidR="00340925" w:rsidRPr="003331EF">
        <w:rPr>
          <w:iCs/>
          <w:spacing w:val="-5"/>
          <w:lang w:eastAsia="en-US"/>
        </w:rPr>
        <w:t>MiCA</w:t>
      </w:r>
      <w:proofErr w:type="spellEnd"/>
      <w:r w:rsidR="00340925" w:rsidRPr="003331EF">
        <w:rPr>
          <w:iCs/>
          <w:spacing w:val="-5"/>
          <w:lang w:eastAsia="en-US"/>
        </w:rPr>
        <w:t xml:space="preserve"> määruse alusel </w:t>
      </w:r>
      <w:proofErr w:type="spellStart"/>
      <w:r w:rsidR="00340925" w:rsidRPr="003331EF">
        <w:rPr>
          <w:iCs/>
          <w:spacing w:val="-5"/>
          <w:lang w:eastAsia="en-US"/>
        </w:rPr>
        <w:t>krüptovarateenuse</w:t>
      </w:r>
      <w:proofErr w:type="spellEnd"/>
      <w:r w:rsidR="00340925" w:rsidRPr="003331EF">
        <w:rPr>
          <w:iCs/>
          <w:spacing w:val="-5"/>
          <w:lang w:eastAsia="en-US"/>
        </w:rPr>
        <w:t xml:space="preserve"> osutamiseks. </w:t>
      </w:r>
    </w:p>
    <w:p w14:paraId="79FA8B3A" w14:textId="77777777" w:rsidR="001A4507" w:rsidRPr="003331EF" w:rsidRDefault="001A4507" w:rsidP="003331EF">
      <w:pPr>
        <w:spacing w:before="0"/>
        <w:rPr>
          <w:i/>
          <w:iCs/>
        </w:rPr>
      </w:pPr>
    </w:p>
    <w:p w14:paraId="1BBC31EC" w14:textId="610EF25F" w:rsidR="001A4507" w:rsidRPr="003331EF" w:rsidRDefault="001A4507" w:rsidP="003331EF">
      <w:pPr>
        <w:spacing w:before="0"/>
      </w:pPr>
      <w:r w:rsidRPr="003331EF">
        <w:rPr>
          <w:b/>
          <w:bCs/>
        </w:rPr>
        <w:t xml:space="preserve">Lõikega </w:t>
      </w:r>
      <w:r w:rsidR="00340925" w:rsidRPr="003331EF">
        <w:rPr>
          <w:b/>
          <w:bCs/>
        </w:rPr>
        <w:t>8</w:t>
      </w:r>
      <w:r w:rsidR="00340925" w:rsidRPr="003331EF">
        <w:t xml:space="preserve"> </w:t>
      </w:r>
      <w:r w:rsidRPr="003331EF">
        <w:rPr>
          <w:iCs/>
          <w:spacing w:val="-5"/>
          <w:lang w:eastAsia="en-US"/>
        </w:rPr>
        <w:t xml:space="preserve">antakse Finantsinspektsioonile võimalus tegevusloa taotlustega tutvuma hakata enne </w:t>
      </w:r>
      <w:proofErr w:type="spellStart"/>
      <w:r w:rsidRPr="003331EF">
        <w:rPr>
          <w:iCs/>
          <w:spacing w:val="-5"/>
          <w:lang w:eastAsia="en-US"/>
        </w:rPr>
        <w:t>M</w:t>
      </w:r>
      <w:r w:rsidR="003A12E0">
        <w:rPr>
          <w:iCs/>
          <w:spacing w:val="-5"/>
          <w:lang w:eastAsia="en-US"/>
        </w:rPr>
        <w:t>i</w:t>
      </w:r>
      <w:r w:rsidRPr="003331EF">
        <w:rPr>
          <w:iCs/>
          <w:spacing w:val="-5"/>
          <w:lang w:eastAsia="en-US"/>
        </w:rPr>
        <w:t>CA</w:t>
      </w:r>
      <w:proofErr w:type="spellEnd"/>
      <w:r w:rsidRPr="003331EF">
        <w:rPr>
          <w:iCs/>
          <w:spacing w:val="-5"/>
          <w:lang w:eastAsia="en-US"/>
        </w:rPr>
        <w:t xml:space="preserve"> määruse rakendamist. Selline lisaaeg on ette nähtud, arvestades tegutsevate turuosaliste võrdlemisi suurt hulka eelnõu koostamise ajal, kes võiks tahta alates </w:t>
      </w:r>
      <w:proofErr w:type="spellStart"/>
      <w:r w:rsidRPr="003331EF">
        <w:rPr>
          <w:iCs/>
          <w:spacing w:val="-5"/>
          <w:lang w:eastAsia="en-US"/>
        </w:rPr>
        <w:t>M</w:t>
      </w:r>
      <w:r w:rsidR="003A12E0">
        <w:rPr>
          <w:iCs/>
          <w:spacing w:val="-5"/>
          <w:lang w:eastAsia="en-US"/>
        </w:rPr>
        <w:t>i</w:t>
      </w:r>
      <w:r w:rsidRPr="003331EF">
        <w:rPr>
          <w:iCs/>
          <w:spacing w:val="-5"/>
          <w:lang w:eastAsia="en-US"/>
        </w:rPr>
        <w:t>CA</w:t>
      </w:r>
      <w:proofErr w:type="spellEnd"/>
      <w:r w:rsidRPr="003331EF">
        <w:rPr>
          <w:iCs/>
          <w:spacing w:val="-5"/>
          <w:lang w:eastAsia="en-US"/>
        </w:rPr>
        <w:t xml:space="preserve"> määruse rakendamiskuupäevast teenust osutama hakata. Lisaaja andmine siiski ei kohusta Finantsinspektsiooni vastavaid menetlustoiminguid läbi viima enne </w:t>
      </w:r>
      <w:proofErr w:type="spellStart"/>
      <w:r w:rsidRPr="003331EF">
        <w:rPr>
          <w:iCs/>
          <w:spacing w:val="-5"/>
          <w:lang w:eastAsia="en-US"/>
        </w:rPr>
        <w:t>M</w:t>
      </w:r>
      <w:r w:rsidR="003A12E0">
        <w:rPr>
          <w:iCs/>
          <w:spacing w:val="-5"/>
          <w:lang w:eastAsia="en-US"/>
        </w:rPr>
        <w:t>i</w:t>
      </w:r>
      <w:r w:rsidRPr="003331EF">
        <w:rPr>
          <w:iCs/>
          <w:spacing w:val="-5"/>
          <w:lang w:eastAsia="en-US"/>
        </w:rPr>
        <w:t>CA</w:t>
      </w:r>
      <w:proofErr w:type="spellEnd"/>
      <w:r w:rsidRPr="003331EF">
        <w:rPr>
          <w:iCs/>
          <w:spacing w:val="-5"/>
          <w:lang w:eastAsia="en-US"/>
        </w:rPr>
        <w:t xml:space="preserve"> määruse rakendamiskuupäeva. </w:t>
      </w:r>
      <w:r w:rsidR="00A06E57" w:rsidRPr="003331EF">
        <w:rPr>
          <w:iCs/>
          <w:spacing w:val="-5"/>
          <w:lang w:eastAsia="en-US"/>
        </w:rPr>
        <w:t xml:space="preserve">Samuti ei ole potentsiaalne </w:t>
      </w:r>
      <w:proofErr w:type="spellStart"/>
      <w:r w:rsidR="00A06E57" w:rsidRPr="003331EF">
        <w:rPr>
          <w:iCs/>
          <w:spacing w:val="-5"/>
          <w:lang w:eastAsia="en-US"/>
        </w:rPr>
        <w:t>krüptovarateenuse</w:t>
      </w:r>
      <w:proofErr w:type="spellEnd"/>
      <w:r w:rsidR="00A06E57" w:rsidRPr="003331EF">
        <w:rPr>
          <w:iCs/>
          <w:spacing w:val="-5"/>
          <w:lang w:eastAsia="en-US"/>
        </w:rPr>
        <w:t xml:space="preserve"> osutaja kohustatud taotlust varem esitama. </w:t>
      </w:r>
    </w:p>
    <w:p w14:paraId="1DD3FC55" w14:textId="77777777" w:rsidR="001A4507" w:rsidRPr="003331EF" w:rsidRDefault="001A4507" w:rsidP="003331EF">
      <w:pPr>
        <w:spacing w:before="0"/>
      </w:pPr>
    </w:p>
    <w:p w14:paraId="68841B4C" w14:textId="62FF4F58" w:rsidR="001A4507" w:rsidRPr="003331EF" w:rsidRDefault="001A4507" w:rsidP="003331EF">
      <w:pPr>
        <w:spacing w:before="0"/>
      </w:pPr>
      <w:r w:rsidRPr="003331EF">
        <w:rPr>
          <w:b/>
          <w:bCs/>
        </w:rPr>
        <w:t xml:space="preserve">Lõike </w:t>
      </w:r>
      <w:r w:rsidR="00340925" w:rsidRPr="003331EF">
        <w:rPr>
          <w:b/>
          <w:bCs/>
        </w:rPr>
        <w:t>9</w:t>
      </w:r>
      <w:r w:rsidR="00340925" w:rsidRPr="003331EF">
        <w:t xml:space="preserve"> </w:t>
      </w:r>
      <w:r w:rsidRPr="003331EF">
        <w:rPr>
          <w:iCs/>
          <w:spacing w:val="-5"/>
          <w:lang w:eastAsia="en-US"/>
        </w:rPr>
        <w:t xml:space="preserve">kohaselt peab </w:t>
      </w:r>
      <w:proofErr w:type="spellStart"/>
      <w:r w:rsidR="00282096" w:rsidRPr="003331EF">
        <w:rPr>
          <w:iCs/>
          <w:spacing w:val="-5"/>
          <w:lang w:eastAsia="en-US"/>
        </w:rPr>
        <w:t>krüptovarateenuse</w:t>
      </w:r>
      <w:proofErr w:type="spellEnd"/>
      <w:r w:rsidR="00282096" w:rsidRPr="003331EF">
        <w:rPr>
          <w:iCs/>
          <w:spacing w:val="-5"/>
          <w:lang w:eastAsia="en-US"/>
        </w:rPr>
        <w:t xml:space="preserve"> osutaja ja varapõhise </w:t>
      </w:r>
      <w:proofErr w:type="spellStart"/>
      <w:r w:rsidR="00282096" w:rsidRPr="003331EF">
        <w:rPr>
          <w:iCs/>
          <w:spacing w:val="-5"/>
          <w:lang w:eastAsia="en-US"/>
        </w:rPr>
        <w:t>tokeni</w:t>
      </w:r>
      <w:proofErr w:type="spellEnd"/>
      <w:r w:rsidR="00282096" w:rsidRPr="003331EF">
        <w:rPr>
          <w:iCs/>
          <w:spacing w:val="-5"/>
          <w:lang w:eastAsia="en-US"/>
        </w:rPr>
        <w:t xml:space="preserve"> emitent</w:t>
      </w:r>
      <w:r w:rsidRPr="003331EF">
        <w:rPr>
          <w:iCs/>
          <w:spacing w:val="-5"/>
          <w:lang w:eastAsia="en-US"/>
        </w:rPr>
        <w:t xml:space="preserve"> oma tegevuse DORA määruses sätestatud nõuetega kooskõlla viima hiljemalt 2025. aasta 17. jaanuariks.</w:t>
      </w:r>
      <w:r w:rsidRPr="003331EF">
        <w:t xml:space="preserve"> </w:t>
      </w:r>
    </w:p>
    <w:p w14:paraId="2F182B52" w14:textId="77777777" w:rsidR="001A4507" w:rsidRPr="003331EF" w:rsidRDefault="001A4507" w:rsidP="003331EF">
      <w:pPr>
        <w:spacing w:before="0"/>
      </w:pPr>
    </w:p>
    <w:p w14:paraId="0FE4EF24" w14:textId="3D7A76F7" w:rsidR="00375279" w:rsidRPr="003331EF" w:rsidRDefault="00375279" w:rsidP="003331EF">
      <w:pPr>
        <w:spacing w:before="0"/>
        <w:rPr>
          <w:b/>
          <w:bCs/>
        </w:rPr>
      </w:pPr>
      <w:r w:rsidRPr="003331EF">
        <w:rPr>
          <w:b/>
        </w:rPr>
        <w:t>Paragrahv 4</w:t>
      </w:r>
      <w:r w:rsidR="004F1C46" w:rsidRPr="003331EF">
        <w:rPr>
          <w:b/>
        </w:rPr>
        <w:t>9</w:t>
      </w:r>
      <w:r w:rsidRPr="003331EF">
        <w:rPr>
          <w:b/>
        </w:rPr>
        <w:t xml:space="preserve">. </w:t>
      </w:r>
      <w:r w:rsidRPr="003331EF">
        <w:rPr>
          <w:b/>
          <w:bCs/>
        </w:rPr>
        <w:t>Finantsinspektsiooni seaduse muutmine</w:t>
      </w:r>
    </w:p>
    <w:p w14:paraId="6A37F8F1" w14:textId="77777777" w:rsidR="00375279" w:rsidRPr="003331EF" w:rsidRDefault="00375279" w:rsidP="003331EF">
      <w:pPr>
        <w:spacing w:before="0"/>
        <w:rPr>
          <w:b/>
        </w:rPr>
      </w:pPr>
    </w:p>
    <w:p w14:paraId="4D42B42B" w14:textId="1B6F606C" w:rsidR="001A4507" w:rsidRPr="003331EF" w:rsidRDefault="001A4507" w:rsidP="003331EF">
      <w:pPr>
        <w:spacing w:before="0"/>
        <w:rPr>
          <w:bCs/>
        </w:rPr>
      </w:pPr>
      <w:r w:rsidRPr="003331EF">
        <w:rPr>
          <w:b/>
        </w:rPr>
        <w:t>Paragrahv 4</w:t>
      </w:r>
      <w:r w:rsidR="004F1C46" w:rsidRPr="003331EF">
        <w:rPr>
          <w:b/>
        </w:rPr>
        <w:t>9</w:t>
      </w:r>
      <w:r w:rsidRPr="003331EF">
        <w:rPr>
          <w:b/>
        </w:rPr>
        <w:t xml:space="preserve"> </w:t>
      </w:r>
      <w:r w:rsidRPr="003331EF">
        <w:rPr>
          <w:iCs/>
          <w:spacing w:val="-5"/>
          <w:lang w:eastAsia="en-US"/>
        </w:rPr>
        <w:t xml:space="preserve">sätestab FIS muudatused. </w:t>
      </w:r>
      <w:r w:rsidR="004F2725" w:rsidRPr="003331EF">
        <w:rPr>
          <w:iCs/>
          <w:spacing w:val="-5"/>
          <w:lang w:eastAsia="en-US"/>
        </w:rPr>
        <w:t>Osad m</w:t>
      </w:r>
      <w:r w:rsidR="00A06E57" w:rsidRPr="003331EF">
        <w:rPr>
          <w:iCs/>
          <w:spacing w:val="-5"/>
          <w:lang w:eastAsia="en-US"/>
        </w:rPr>
        <w:t xml:space="preserve">uudatusettepanekud </w:t>
      </w:r>
      <w:r w:rsidR="00905268" w:rsidRPr="003331EF">
        <w:rPr>
          <w:iCs/>
          <w:spacing w:val="-5"/>
          <w:lang w:eastAsia="en-US"/>
        </w:rPr>
        <w:t>on seotud paralleelselt menetluses oleva krediidiinkassode- ja andjate seaduse eelnõuga</w:t>
      </w:r>
      <w:r w:rsidR="00905268" w:rsidRPr="003331EF">
        <w:rPr>
          <w:rStyle w:val="Allmrkuseviide"/>
          <w:iCs/>
          <w:spacing w:val="-5"/>
          <w:lang w:eastAsia="en-US"/>
        </w:rPr>
        <w:footnoteReference w:id="25"/>
      </w:r>
      <w:r w:rsidR="00905268" w:rsidRPr="003331EF">
        <w:rPr>
          <w:iCs/>
          <w:spacing w:val="-5"/>
          <w:lang w:eastAsia="en-US"/>
        </w:rPr>
        <w:t>, kuna muudetakse samu sätteid</w:t>
      </w:r>
      <w:r w:rsidR="004F2725" w:rsidRPr="003331EF">
        <w:rPr>
          <w:iCs/>
          <w:spacing w:val="-5"/>
          <w:lang w:eastAsia="en-US"/>
        </w:rPr>
        <w:t>.</w:t>
      </w:r>
    </w:p>
    <w:p w14:paraId="1306A520" w14:textId="77777777" w:rsidR="001A4507" w:rsidRPr="003331EF" w:rsidRDefault="001A4507" w:rsidP="003331EF">
      <w:pPr>
        <w:spacing w:before="0"/>
        <w:rPr>
          <w:b/>
          <w:i/>
          <w:iCs/>
        </w:rPr>
      </w:pPr>
    </w:p>
    <w:p w14:paraId="00F96564" w14:textId="77777777" w:rsidR="001A4507" w:rsidRPr="003331EF" w:rsidRDefault="001A4507" w:rsidP="003331EF">
      <w:pPr>
        <w:spacing w:before="0"/>
        <w:rPr>
          <w:iCs/>
          <w:spacing w:val="-5"/>
          <w:lang w:eastAsia="en-US"/>
        </w:rPr>
      </w:pPr>
      <w:r w:rsidRPr="003331EF">
        <w:rPr>
          <w:b/>
        </w:rPr>
        <w:t xml:space="preserve">Punktiga 1 </w:t>
      </w:r>
      <w:r w:rsidRPr="003331EF">
        <w:rPr>
          <w:iCs/>
          <w:spacing w:val="-5"/>
          <w:lang w:eastAsia="en-US"/>
        </w:rPr>
        <w:t xml:space="preserve">muudetakse FIS § 2 lõiget 1 selliselt, et samas sätestatud seaduste loetletu täiendatakse </w:t>
      </w:r>
      <w:proofErr w:type="spellStart"/>
      <w:r w:rsidRPr="003331EF">
        <w:rPr>
          <w:iCs/>
          <w:spacing w:val="-5"/>
          <w:lang w:eastAsia="en-US"/>
        </w:rPr>
        <w:t>krüptovaraturu</w:t>
      </w:r>
      <w:proofErr w:type="spellEnd"/>
      <w:r w:rsidRPr="003331EF">
        <w:rPr>
          <w:iCs/>
          <w:spacing w:val="-5"/>
          <w:lang w:eastAsia="en-US"/>
        </w:rPr>
        <w:t xml:space="preserve"> seadusega, mis annab Finantsinspektsioonile volitused järelevalve teostamiseks viimati nimetatud seaduse subjektide üle. </w:t>
      </w:r>
    </w:p>
    <w:p w14:paraId="7AB3599C" w14:textId="77777777" w:rsidR="001A4507" w:rsidRPr="003331EF" w:rsidRDefault="001A4507" w:rsidP="003331EF">
      <w:pPr>
        <w:spacing w:before="0"/>
        <w:rPr>
          <w:i/>
          <w:iCs/>
        </w:rPr>
      </w:pPr>
    </w:p>
    <w:p w14:paraId="4D819CEC" w14:textId="77777777" w:rsidR="001A4507" w:rsidRDefault="001A4507" w:rsidP="003331EF">
      <w:pPr>
        <w:spacing w:before="0"/>
        <w:rPr>
          <w:iCs/>
          <w:spacing w:val="-5"/>
          <w:lang w:eastAsia="en-US"/>
        </w:rPr>
      </w:pPr>
      <w:r w:rsidRPr="003331EF">
        <w:rPr>
          <w:b/>
        </w:rPr>
        <w:t xml:space="preserve">Punktiga 2 </w:t>
      </w:r>
      <w:r w:rsidRPr="003331EF">
        <w:rPr>
          <w:b/>
          <w:bCs/>
          <w:iCs/>
          <w:spacing w:val="-5"/>
          <w:lang w:eastAsia="en-US"/>
        </w:rPr>
        <w:t>muudetakse FIS § 38 lõiget 2.</w:t>
      </w:r>
      <w:r w:rsidRPr="003331EF">
        <w:rPr>
          <w:iCs/>
          <w:spacing w:val="-5"/>
          <w:lang w:eastAsia="en-US"/>
        </w:rPr>
        <w:t xml:space="preserve"> Finantsinspektsiooni järelevalvesubjekti järelevalvetasu koosneb FIS-is sätestatud (i) fikseeritud kapitaliosast (mida tulude prognoosimise ja planeerimise protsessis ei saa muuta; ja (i) mahuosast, mis kehtestatakse kalendriaastaks protsendina seaduses etteantud (protsendi) vahemikest ning konkreetse subjekti liigi arvestusaluseks olevast näitajast (nt vara, preemiad, maksete mahud, krediidijääk jmt). Iga-aastase täpse kohaldamisele kuuluva mahuosa määra kehtestab rahandusminister oma määrusega 15 päeva jooksul pärast Finantsinspektsiooni eelarve kinnitamist Finantsinspektsiooni nõukogu poolt (FIS § 40 lg 1). Muudatusega tagatakse, et </w:t>
      </w:r>
      <w:proofErr w:type="spellStart"/>
      <w:r w:rsidRPr="003331EF">
        <w:rPr>
          <w:iCs/>
          <w:spacing w:val="-5"/>
          <w:lang w:eastAsia="en-US"/>
        </w:rPr>
        <w:t>krüptovarateenuse</w:t>
      </w:r>
      <w:proofErr w:type="spellEnd"/>
      <w:r w:rsidRPr="003331EF">
        <w:rPr>
          <w:iCs/>
          <w:spacing w:val="-5"/>
          <w:lang w:eastAsia="en-US"/>
        </w:rPr>
        <w:t xml:space="preserve"> osutajad ja </w:t>
      </w:r>
      <w:proofErr w:type="spellStart"/>
      <w:r w:rsidRPr="003331EF">
        <w:rPr>
          <w:iCs/>
          <w:spacing w:val="-5"/>
          <w:lang w:eastAsia="en-US"/>
        </w:rPr>
        <w:t>krüptovara</w:t>
      </w:r>
      <w:proofErr w:type="spellEnd"/>
      <w:r w:rsidRPr="003331EF">
        <w:rPr>
          <w:iCs/>
          <w:spacing w:val="-5"/>
          <w:lang w:eastAsia="en-US"/>
        </w:rPr>
        <w:t xml:space="preserve"> emitendid maksavad samuti järelevalvetasu kapitali- ja mahuosa.</w:t>
      </w:r>
    </w:p>
    <w:p w14:paraId="34B4B57C" w14:textId="77777777" w:rsidR="009C35B1" w:rsidRPr="003331EF" w:rsidRDefault="009C35B1" w:rsidP="003331EF">
      <w:pPr>
        <w:spacing w:before="0"/>
        <w:rPr>
          <w:iCs/>
          <w:spacing w:val="-5"/>
          <w:lang w:eastAsia="en-US"/>
        </w:rPr>
      </w:pPr>
    </w:p>
    <w:p w14:paraId="7D301F93" w14:textId="48597DC1" w:rsidR="00D61472" w:rsidRPr="003331EF" w:rsidRDefault="00D61472" w:rsidP="003331EF">
      <w:pPr>
        <w:spacing w:before="0"/>
        <w:rPr>
          <w:iCs/>
          <w:spacing w:val="-5"/>
          <w:lang w:eastAsia="en-US"/>
        </w:rPr>
      </w:pPr>
      <w:r w:rsidRPr="003331EF">
        <w:rPr>
          <w:iCs/>
          <w:spacing w:val="-5"/>
          <w:lang w:eastAsia="en-US"/>
        </w:rPr>
        <w:t xml:space="preserve">Eelnõuga lisatakse lõikesse 2 kolmas lause, millega kehtestatakse järelevalvetasu kapitaliosa maksmise kohustus väikefondi valitsejale, kes on oma tegevuse Finantsinspektsioonis registreerinud (so IFS §-s 453 nimetatud väikefondi valitseja). IFS § 455 lõike 8 kohaselt teostab Finantsinspektsioon </w:t>
      </w:r>
      <w:r w:rsidR="00F12788" w:rsidRPr="003331EF">
        <w:rPr>
          <w:iCs/>
          <w:spacing w:val="-5"/>
          <w:lang w:eastAsia="en-US"/>
        </w:rPr>
        <w:t xml:space="preserve">kõnealuse </w:t>
      </w:r>
      <w:r w:rsidRPr="003331EF">
        <w:rPr>
          <w:iCs/>
          <w:spacing w:val="-5"/>
          <w:lang w:eastAsia="en-US"/>
        </w:rPr>
        <w:t xml:space="preserve">väikefondi valitseja puhul järelevalvet vaid registreerimiskohustuse täitmise ja teabe andmise üle. Registreerimiskohustuse järelevalve seisneb IFS § 453 sätestatud registreerimisega seotud toimingute tegemises ning hõlmab registreerimistaotlusega esitatud materjalide ja dokumentide kontrolli, taotlejaga suhtlemist, normide ja nõuete selgitamist, täiendava </w:t>
      </w:r>
      <w:r w:rsidRPr="003331EF">
        <w:rPr>
          <w:iCs/>
          <w:spacing w:val="-5"/>
          <w:lang w:eastAsia="en-US"/>
        </w:rPr>
        <w:lastRenderedPageBreak/>
        <w:t xml:space="preserve">teabe hankimist ja analüüsi ning muid vajalikke samme eesmärgiga tagada, et väikefondi registrisse saavad lisatud ainult kõigile nõuetele vastavad ning usaldusväärsed väikefondi valitsejad. </w:t>
      </w:r>
      <w:r w:rsidR="00F12788" w:rsidRPr="003331EF">
        <w:rPr>
          <w:iCs/>
          <w:spacing w:val="-5"/>
          <w:lang w:eastAsia="en-US"/>
        </w:rPr>
        <w:t>Selline menetlusprotsess sarnaneb mahult</w:t>
      </w:r>
      <w:r w:rsidRPr="003331EF">
        <w:rPr>
          <w:iCs/>
          <w:spacing w:val="-5"/>
          <w:lang w:eastAsia="en-US"/>
        </w:rPr>
        <w:t xml:space="preserve"> tegevusloa menetlusega</w:t>
      </w:r>
      <w:r w:rsidR="00F12788" w:rsidRPr="003331EF">
        <w:rPr>
          <w:iCs/>
          <w:spacing w:val="-5"/>
          <w:lang w:eastAsia="en-US"/>
        </w:rPr>
        <w:t xml:space="preserve"> ja vajab </w:t>
      </w:r>
      <w:r w:rsidRPr="003331EF">
        <w:rPr>
          <w:iCs/>
          <w:spacing w:val="-5"/>
          <w:lang w:eastAsia="en-US"/>
        </w:rPr>
        <w:t>arvestatava</w:t>
      </w:r>
      <w:r w:rsidR="00F12788" w:rsidRPr="003331EF">
        <w:rPr>
          <w:iCs/>
          <w:spacing w:val="-5"/>
          <w:lang w:eastAsia="en-US"/>
        </w:rPr>
        <w:t>t</w:t>
      </w:r>
      <w:r w:rsidRPr="003331EF">
        <w:rPr>
          <w:iCs/>
          <w:spacing w:val="-5"/>
          <w:lang w:eastAsia="en-US"/>
        </w:rPr>
        <w:t xml:space="preserve"> </w:t>
      </w:r>
      <w:proofErr w:type="spellStart"/>
      <w:r w:rsidRPr="003331EF">
        <w:rPr>
          <w:iCs/>
          <w:spacing w:val="-5"/>
          <w:lang w:eastAsia="en-US"/>
        </w:rPr>
        <w:t>inim</w:t>
      </w:r>
      <w:proofErr w:type="spellEnd"/>
      <w:r w:rsidRPr="003331EF">
        <w:rPr>
          <w:iCs/>
          <w:spacing w:val="-5"/>
          <w:lang w:eastAsia="en-US"/>
        </w:rPr>
        <w:t>- ja ajaressurss</w:t>
      </w:r>
      <w:r w:rsidR="00F12788" w:rsidRPr="003331EF">
        <w:rPr>
          <w:iCs/>
          <w:spacing w:val="-5"/>
          <w:lang w:eastAsia="en-US"/>
        </w:rPr>
        <w:t>i</w:t>
      </w:r>
      <w:r w:rsidRPr="003331EF">
        <w:rPr>
          <w:iCs/>
          <w:spacing w:val="-5"/>
          <w:lang w:eastAsia="en-US"/>
        </w:rPr>
        <w:t>.</w:t>
      </w:r>
    </w:p>
    <w:p w14:paraId="3A385372" w14:textId="77777777" w:rsidR="00D61472" w:rsidRDefault="00D61472" w:rsidP="003331EF">
      <w:pPr>
        <w:spacing w:before="0"/>
        <w:rPr>
          <w:iCs/>
          <w:spacing w:val="-5"/>
          <w:lang w:eastAsia="en-US"/>
        </w:rPr>
      </w:pPr>
    </w:p>
    <w:p w14:paraId="4E86229E" w14:textId="236E950D" w:rsidR="00F12788" w:rsidRPr="003331EF" w:rsidRDefault="00482CA2" w:rsidP="003331EF">
      <w:pPr>
        <w:spacing w:before="0"/>
        <w:rPr>
          <w:iCs/>
          <w:spacing w:val="-5"/>
          <w:lang w:eastAsia="en-US"/>
        </w:rPr>
      </w:pPr>
      <w:r>
        <w:rPr>
          <w:iCs/>
          <w:spacing w:val="-5"/>
          <w:lang w:eastAsia="en-US"/>
        </w:rPr>
        <w:t>L</w:t>
      </w:r>
      <w:r w:rsidR="00F12788" w:rsidRPr="003331EF">
        <w:rPr>
          <w:iCs/>
          <w:spacing w:val="-5"/>
          <w:lang w:eastAsia="en-US"/>
        </w:rPr>
        <w:t xml:space="preserve">isaks tuleb Finantsinspektsioonil </w:t>
      </w:r>
      <w:r w:rsidR="00D61472" w:rsidRPr="003331EF">
        <w:rPr>
          <w:iCs/>
          <w:spacing w:val="-5"/>
          <w:lang w:eastAsia="en-US"/>
        </w:rPr>
        <w:t xml:space="preserve">IFS § 455 lõike 8 </w:t>
      </w:r>
      <w:r w:rsidR="00F12788" w:rsidRPr="003331EF">
        <w:rPr>
          <w:iCs/>
          <w:spacing w:val="-5"/>
          <w:lang w:eastAsia="en-US"/>
        </w:rPr>
        <w:t>kohaselt teostada</w:t>
      </w:r>
      <w:r w:rsidR="00D61472" w:rsidRPr="003331EF">
        <w:rPr>
          <w:iCs/>
          <w:spacing w:val="-5"/>
          <w:lang w:eastAsia="en-US"/>
        </w:rPr>
        <w:t xml:space="preserve"> järelevalve</w:t>
      </w:r>
      <w:r w:rsidR="00F12788" w:rsidRPr="003331EF">
        <w:rPr>
          <w:iCs/>
          <w:spacing w:val="-5"/>
          <w:lang w:eastAsia="en-US"/>
        </w:rPr>
        <w:t>t</w:t>
      </w:r>
      <w:r w:rsidR="00D61472" w:rsidRPr="003331EF">
        <w:rPr>
          <w:iCs/>
          <w:spacing w:val="-5"/>
          <w:lang w:eastAsia="en-US"/>
        </w:rPr>
        <w:t xml:space="preserve"> väikefondi valitseja teabe andmise üle, mis põhineb AIFMD direktiivis</w:t>
      </w:r>
      <w:r>
        <w:rPr>
          <w:rStyle w:val="Allmrkuseviide"/>
          <w:iCs/>
          <w:spacing w:val="-5"/>
          <w:lang w:eastAsia="en-US"/>
        </w:rPr>
        <w:footnoteReference w:id="26"/>
      </w:r>
      <w:r w:rsidR="00D61472" w:rsidRPr="003331EF">
        <w:rPr>
          <w:iCs/>
          <w:spacing w:val="-5"/>
          <w:lang w:eastAsia="en-US"/>
        </w:rPr>
        <w:t xml:space="preserve"> sätestatud alternatiivsete investeerimisfondide kohustusel esitada iga-aastane aruandlus F</w:t>
      </w:r>
      <w:r w:rsidR="00F12788" w:rsidRPr="003331EF">
        <w:rPr>
          <w:iCs/>
          <w:spacing w:val="-5"/>
          <w:lang w:eastAsia="en-US"/>
        </w:rPr>
        <w:t>inantsinspektsioonile</w:t>
      </w:r>
      <w:r w:rsidR="00D61472" w:rsidRPr="003331EF">
        <w:rPr>
          <w:iCs/>
          <w:spacing w:val="-5"/>
          <w:lang w:eastAsia="en-US"/>
        </w:rPr>
        <w:t>, kes peale aruandluse vormi ja kvaliteedi kontrolli esitab selle ESMA-</w:t>
      </w:r>
      <w:proofErr w:type="spellStart"/>
      <w:r w:rsidR="00D61472" w:rsidRPr="003331EF">
        <w:rPr>
          <w:iCs/>
          <w:spacing w:val="-5"/>
          <w:lang w:eastAsia="en-US"/>
        </w:rPr>
        <w:t>le</w:t>
      </w:r>
      <w:proofErr w:type="spellEnd"/>
      <w:r w:rsidR="00D61472" w:rsidRPr="003331EF">
        <w:rPr>
          <w:iCs/>
          <w:spacing w:val="-5"/>
          <w:lang w:eastAsia="en-US"/>
        </w:rPr>
        <w:t>.</w:t>
      </w:r>
      <w:r w:rsidR="00F12788" w:rsidRPr="003331EF">
        <w:rPr>
          <w:iCs/>
          <w:spacing w:val="-5"/>
          <w:lang w:eastAsia="en-US"/>
        </w:rPr>
        <w:t xml:space="preserve"> Praktikas esineb väikefondi valitsejate poolt andmete esitamises mitmeid puudusi – esitatud andmed on puudulikud, vigased või eksitavad või jäetakse andmed õigeaegselt üldse esitamata. Järelevalve teabe andmise üle on kujunenud seeläbi Finantsinspektsioonile </w:t>
      </w:r>
      <w:proofErr w:type="spellStart"/>
      <w:r w:rsidR="00F12788" w:rsidRPr="003331EF">
        <w:rPr>
          <w:iCs/>
          <w:spacing w:val="-5"/>
          <w:lang w:eastAsia="en-US"/>
        </w:rPr>
        <w:t>ressusrsimahukaks</w:t>
      </w:r>
      <w:proofErr w:type="spellEnd"/>
      <w:r w:rsidR="00F12788" w:rsidRPr="003331EF">
        <w:rPr>
          <w:iCs/>
          <w:spacing w:val="-5"/>
          <w:lang w:eastAsia="en-US"/>
        </w:rPr>
        <w:t xml:space="preserve"> protsessiks. </w:t>
      </w:r>
      <w:r w:rsidR="00D61472" w:rsidRPr="003331EF">
        <w:rPr>
          <w:iCs/>
          <w:spacing w:val="-5"/>
          <w:lang w:eastAsia="en-US"/>
        </w:rPr>
        <w:t xml:space="preserve"> </w:t>
      </w:r>
    </w:p>
    <w:p w14:paraId="20383E8B" w14:textId="77777777" w:rsidR="00D61472" w:rsidRPr="003331EF" w:rsidRDefault="00D61472" w:rsidP="003331EF">
      <w:pPr>
        <w:spacing w:before="0"/>
        <w:rPr>
          <w:iCs/>
          <w:spacing w:val="-5"/>
          <w:lang w:eastAsia="en-US"/>
        </w:rPr>
      </w:pPr>
    </w:p>
    <w:p w14:paraId="006DFAA8" w14:textId="03F8CAE0" w:rsidR="001A4507" w:rsidRDefault="00F12788" w:rsidP="003331EF">
      <w:pPr>
        <w:spacing w:before="0"/>
        <w:rPr>
          <w:iCs/>
          <w:spacing w:val="-5"/>
          <w:lang w:eastAsia="en-US"/>
        </w:rPr>
      </w:pPr>
      <w:r w:rsidRPr="003331EF">
        <w:rPr>
          <w:iCs/>
          <w:spacing w:val="-5"/>
          <w:lang w:eastAsia="en-US"/>
        </w:rPr>
        <w:t xml:space="preserve">Finantsinspektsiooni finantseeritakse järelevalvesubjektide makstavatest järelevalvetasudest. Olukord, kus </w:t>
      </w:r>
      <w:r w:rsidR="00CD6906" w:rsidRPr="003331EF">
        <w:rPr>
          <w:iCs/>
          <w:spacing w:val="-5"/>
          <w:lang w:eastAsia="en-US"/>
        </w:rPr>
        <w:t xml:space="preserve">selliste </w:t>
      </w:r>
      <w:r w:rsidRPr="003331EF">
        <w:rPr>
          <w:iCs/>
          <w:spacing w:val="-5"/>
          <w:lang w:eastAsia="en-US"/>
        </w:rPr>
        <w:t>väikefondi valitseja</w:t>
      </w:r>
      <w:r w:rsidR="00CD6906" w:rsidRPr="003331EF">
        <w:rPr>
          <w:iCs/>
          <w:spacing w:val="-5"/>
          <w:lang w:eastAsia="en-US"/>
        </w:rPr>
        <w:t xml:space="preserve">te järelevalveks vajalikud kulud kaetakse teiste järelevalve subjektide poolt makstavate järelevalvetasude arvelt ei ole õiglane. Vastavalt näeb eelnõu ette järelevalvetasu kapitaliosa maksmise kohustuse väikefondi valitsejatele, kes on oma tegevuse Finantsinspektsioonis registreerinud. Kui üldiselt koosneb järelevalvetasu nii kapitali- kui mahuosast, siis järelevalvetasu tasumist mahuosalt eelnõu kõnealuste väikefondi valitsejate puhul ette ei näe. Väikefondi valitseja järelevalve ulatus, töö maht ja sellega seotud riskid ei ole sõltuvuses valitsevate fondide mahust, mistõttu piirdubki eelnõu järelevalvetasu kapitaliosa tasumise kohustuse kehtestamisega. Tasu suurus kehtestatakse FIS § 39 lõike 1 punktis 9.  </w:t>
      </w:r>
    </w:p>
    <w:p w14:paraId="1FC9ED89" w14:textId="77777777" w:rsidR="00482CA2" w:rsidRPr="003331EF" w:rsidRDefault="00482CA2" w:rsidP="003331EF">
      <w:pPr>
        <w:spacing w:before="0"/>
        <w:rPr>
          <w:b/>
          <w:i/>
          <w:iCs/>
        </w:rPr>
      </w:pPr>
    </w:p>
    <w:p w14:paraId="1635A83F" w14:textId="27E10D6B" w:rsidR="001A4507" w:rsidRPr="003331EF" w:rsidRDefault="001A4507" w:rsidP="003331EF">
      <w:pPr>
        <w:spacing w:before="0"/>
        <w:rPr>
          <w:bCs/>
        </w:rPr>
      </w:pPr>
      <w:r w:rsidRPr="003331EF">
        <w:rPr>
          <w:b/>
        </w:rPr>
        <w:t>Punkt 3</w:t>
      </w:r>
      <w:r w:rsidR="005F7DA3" w:rsidRPr="003331EF">
        <w:rPr>
          <w:b/>
        </w:rPr>
        <w:t>. FIS § 38 lõike 3</w:t>
      </w:r>
      <w:r w:rsidRPr="003331EF">
        <w:rPr>
          <w:b/>
        </w:rPr>
        <w:t xml:space="preserve"> </w:t>
      </w:r>
      <w:r w:rsidRPr="003331EF">
        <w:rPr>
          <w:iCs/>
          <w:spacing w:val="-5"/>
          <w:lang w:eastAsia="en-US"/>
        </w:rPr>
        <w:t xml:space="preserve">muudatuse kohaselt peavad välisriigi äriühingu Eesti filiaalid, kes tegutsevad </w:t>
      </w:r>
      <w:proofErr w:type="spellStart"/>
      <w:r w:rsidRPr="003331EF">
        <w:rPr>
          <w:iCs/>
          <w:spacing w:val="-5"/>
          <w:lang w:eastAsia="en-US"/>
        </w:rPr>
        <w:t>krüptovarateenuse</w:t>
      </w:r>
      <w:proofErr w:type="spellEnd"/>
      <w:r w:rsidRPr="003331EF">
        <w:rPr>
          <w:iCs/>
          <w:spacing w:val="-5"/>
          <w:lang w:eastAsia="en-US"/>
        </w:rPr>
        <w:t xml:space="preserve"> või </w:t>
      </w:r>
      <w:proofErr w:type="spellStart"/>
      <w:r w:rsidRPr="003331EF">
        <w:rPr>
          <w:iCs/>
          <w:spacing w:val="-5"/>
          <w:lang w:eastAsia="en-US"/>
        </w:rPr>
        <w:t>krüptovara</w:t>
      </w:r>
      <w:proofErr w:type="spellEnd"/>
      <w:r w:rsidRPr="003331EF">
        <w:rPr>
          <w:iCs/>
          <w:spacing w:val="-5"/>
          <w:lang w:eastAsia="en-US"/>
        </w:rPr>
        <w:t xml:space="preserve"> emitendi tegevusalal maksma üksnes järelevalvetasu mahuosa. </w:t>
      </w:r>
      <w:r w:rsidR="004F2725" w:rsidRPr="003331EF">
        <w:rPr>
          <w:iCs/>
          <w:spacing w:val="-5"/>
          <w:lang w:eastAsia="en-US"/>
        </w:rPr>
        <w:t xml:space="preserve">Kuna kolmanda riigi </w:t>
      </w:r>
      <w:proofErr w:type="spellStart"/>
      <w:r w:rsidR="004F2725" w:rsidRPr="003331EF">
        <w:rPr>
          <w:iCs/>
          <w:spacing w:val="-5"/>
          <w:lang w:eastAsia="en-US"/>
        </w:rPr>
        <w:t>krüptovaraturu</w:t>
      </w:r>
      <w:proofErr w:type="spellEnd"/>
      <w:r w:rsidR="004F2725" w:rsidRPr="003331EF">
        <w:rPr>
          <w:iCs/>
          <w:spacing w:val="-5"/>
          <w:lang w:eastAsia="en-US"/>
        </w:rPr>
        <w:t xml:space="preserve"> osaline Eestis filiaali asutada ei saa, siis välisriigile viide hõlmab käesoleval hetkel pigem lepinguriigi filiaale. </w:t>
      </w:r>
      <w:r w:rsidRPr="003331EF">
        <w:rPr>
          <w:iCs/>
          <w:spacing w:val="-5"/>
          <w:lang w:eastAsia="en-US"/>
        </w:rPr>
        <w:t xml:space="preserve">Lisaks on eelnõusse lisatud, et </w:t>
      </w:r>
      <w:proofErr w:type="spellStart"/>
      <w:r w:rsidRPr="003331EF">
        <w:rPr>
          <w:iCs/>
          <w:spacing w:val="-5"/>
          <w:lang w:eastAsia="en-US"/>
        </w:rPr>
        <w:t>ühisrahastusteenuse</w:t>
      </w:r>
      <w:proofErr w:type="spellEnd"/>
      <w:r w:rsidRPr="003331EF">
        <w:rPr>
          <w:iCs/>
          <w:spacing w:val="-5"/>
          <w:lang w:eastAsia="en-US"/>
        </w:rPr>
        <w:t xml:space="preserve"> osutaja Eesti filiaal maksab järelevalvetasu (mahuosa).</w:t>
      </w:r>
      <w:r w:rsidRPr="003331EF">
        <w:rPr>
          <w:bCs/>
        </w:rPr>
        <w:t xml:space="preserve"> </w:t>
      </w:r>
    </w:p>
    <w:p w14:paraId="2384289F" w14:textId="77777777" w:rsidR="001A4507" w:rsidRPr="003331EF" w:rsidRDefault="001A4507" w:rsidP="003331EF">
      <w:pPr>
        <w:spacing w:before="0"/>
        <w:rPr>
          <w:bCs/>
          <w:i/>
          <w:iCs/>
        </w:rPr>
      </w:pPr>
    </w:p>
    <w:p w14:paraId="20170F6D" w14:textId="6007BD3E" w:rsidR="001A4507" w:rsidRPr="003331EF" w:rsidRDefault="001A4507" w:rsidP="003331EF">
      <w:pPr>
        <w:spacing w:before="0"/>
        <w:rPr>
          <w:bCs/>
        </w:rPr>
      </w:pPr>
      <w:r w:rsidRPr="003331EF">
        <w:rPr>
          <w:b/>
        </w:rPr>
        <w:t>Punkt 4</w:t>
      </w:r>
      <w:r w:rsidR="005F7DA3" w:rsidRPr="003331EF">
        <w:rPr>
          <w:b/>
        </w:rPr>
        <w:t>. FIS § 38 lõike 7 täienduse</w:t>
      </w:r>
      <w:r w:rsidRPr="003331EF">
        <w:rPr>
          <w:b/>
        </w:rPr>
        <w:t xml:space="preserve"> </w:t>
      </w:r>
      <w:r w:rsidRPr="003331EF">
        <w:rPr>
          <w:iCs/>
          <w:spacing w:val="-5"/>
          <w:lang w:eastAsia="en-US"/>
        </w:rPr>
        <w:t xml:space="preserve">kohaselt maksab järelevalvesubjekt järelevalvetasu selle järelevalvesubjektina või arvestusaluse alusel, millest tulenev järelevalvetasu on suurem. Seda juhul, kui seaduses ei ole sätestatud teisiti.  </w:t>
      </w:r>
    </w:p>
    <w:p w14:paraId="2FB79883" w14:textId="77777777" w:rsidR="001A4507" w:rsidRPr="003331EF" w:rsidRDefault="001A4507" w:rsidP="003331EF">
      <w:pPr>
        <w:spacing w:before="0"/>
      </w:pPr>
    </w:p>
    <w:p w14:paraId="68FB64EB" w14:textId="5BB4DD8C" w:rsidR="001A4507" w:rsidRPr="003331EF" w:rsidRDefault="001A4507" w:rsidP="003331EF">
      <w:pPr>
        <w:pStyle w:val="NormalLeft"/>
        <w:spacing w:before="0" w:after="0" w:line="240" w:lineRule="auto"/>
        <w:jc w:val="both"/>
        <w:rPr>
          <w:szCs w:val="24"/>
        </w:rPr>
      </w:pPr>
      <w:r w:rsidRPr="003331EF">
        <w:rPr>
          <w:b/>
          <w:szCs w:val="24"/>
        </w:rPr>
        <w:t xml:space="preserve">Punktidega </w:t>
      </w:r>
      <w:r w:rsidR="00CB3A18" w:rsidRPr="003331EF">
        <w:rPr>
          <w:b/>
          <w:szCs w:val="24"/>
        </w:rPr>
        <w:t>5–</w:t>
      </w:r>
      <w:r w:rsidRPr="003331EF">
        <w:rPr>
          <w:b/>
          <w:szCs w:val="24"/>
        </w:rPr>
        <w:t xml:space="preserve">7 </w:t>
      </w:r>
      <w:r w:rsidRPr="003331EF">
        <w:rPr>
          <w:rFonts w:eastAsia="Times New Roman"/>
          <w:b/>
          <w:bCs/>
          <w:iCs/>
          <w:spacing w:val="-5"/>
          <w:szCs w:val="24"/>
        </w:rPr>
        <w:t>muudetakse FIS §-i 39</w:t>
      </w:r>
      <w:r w:rsidR="004F2725" w:rsidRPr="003331EF">
        <w:rPr>
          <w:rFonts w:eastAsia="Times New Roman"/>
          <w:iCs/>
          <w:spacing w:val="-5"/>
          <w:szCs w:val="24"/>
        </w:rPr>
        <w:t xml:space="preserve">, mille lõige 1 </w:t>
      </w:r>
      <w:r w:rsidRPr="003331EF">
        <w:rPr>
          <w:rFonts w:eastAsia="Times New Roman"/>
          <w:iCs/>
          <w:spacing w:val="-5"/>
          <w:szCs w:val="24"/>
        </w:rPr>
        <w:t>reguleerib, kuidas määrata järelevalvetasu kapitaliosa.</w:t>
      </w:r>
      <w:r w:rsidRPr="003331EF">
        <w:rPr>
          <w:szCs w:val="24"/>
        </w:rPr>
        <w:t xml:space="preserve"> </w:t>
      </w:r>
    </w:p>
    <w:p w14:paraId="0F5B83BF" w14:textId="77777777" w:rsidR="001A4507" w:rsidRPr="003331EF" w:rsidRDefault="001A4507" w:rsidP="003331EF">
      <w:pPr>
        <w:pStyle w:val="NormalLeft"/>
        <w:spacing w:before="0" w:after="0" w:line="240" w:lineRule="auto"/>
        <w:jc w:val="both"/>
        <w:rPr>
          <w:rFonts w:eastAsia="Times New Roman"/>
          <w:iCs/>
          <w:spacing w:val="-5"/>
          <w:szCs w:val="24"/>
        </w:rPr>
      </w:pPr>
    </w:p>
    <w:p w14:paraId="1017A4E7" w14:textId="46223CC7" w:rsidR="001A4507" w:rsidRPr="003331EF" w:rsidRDefault="001A4507" w:rsidP="003331EF">
      <w:pPr>
        <w:pStyle w:val="NormalLeft"/>
        <w:spacing w:before="0" w:after="0" w:line="240" w:lineRule="auto"/>
        <w:jc w:val="both"/>
        <w:rPr>
          <w:rFonts w:eastAsia="Times New Roman"/>
          <w:iCs/>
          <w:spacing w:val="-5"/>
          <w:szCs w:val="24"/>
        </w:rPr>
      </w:pPr>
      <w:r w:rsidRPr="003331EF">
        <w:rPr>
          <w:rFonts w:eastAsia="Times New Roman"/>
          <w:iCs/>
          <w:spacing w:val="-5"/>
          <w:szCs w:val="24"/>
        </w:rPr>
        <w:t xml:space="preserve">Punkti </w:t>
      </w:r>
      <w:r w:rsidR="00CB3A18" w:rsidRPr="003331EF">
        <w:rPr>
          <w:rFonts w:eastAsia="Times New Roman"/>
          <w:iCs/>
          <w:spacing w:val="-5"/>
          <w:szCs w:val="24"/>
        </w:rPr>
        <w:t>5</w:t>
      </w:r>
      <w:r w:rsidRPr="003331EF">
        <w:rPr>
          <w:rFonts w:eastAsia="Times New Roman"/>
          <w:iCs/>
          <w:spacing w:val="-5"/>
          <w:szCs w:val="24"/>
        </w:rPr>
        <w:t xml:space="preserve"> muudatuse (FIS § 39 lõike 1 täiendamine punktiga 7) kohaselt on </w:t>
      </w:r>
      <w:proofErr w:type="spellStart"/>
      <w:r w:rsidRPr="003331EF">
        <w:rPr>
          <w:rFonts w:eastAsia="Times New Roman"/>
          <w:iCs/>
          <w:spacing w:val="-5"/>
          <w:szCs w:val="24"/>
        </w:rPr>
        <w:t>krüptovarateenuse</w:t>
      </w:r>
      <w:proofErr w:type="spellEnd"/>
      <w:r w:rsidRPr="003331EF">
        <w:rPr>
          <w:rFonts w:eastAsia="Times New Roman"/>
          <w:iCs/>
          <w:spacing w:val="-5"/>
          <w:szCs w:val="24"/>
        </w:rPr>
        <w:t xml:space="preserve"> osutaja järelevalvetasu kapitaliosa summa, mis võrdub ühe protsendiga suurusest, mis on sätestatud </w:t>
      </w:r>
      <w:proofErr w:type="spellStart"/>
      <w:r w:rsidRPr="003331EF">
        <w:rPr>
          <w:rFonts w:eastAsia="Times New Roman"/>
          <w:iCs/>
          <w:spacing w:val="-5"/>
          <w:szCs w:val="24"/>
        </w:rPr>
        <w:t>M</w:t>
      </w:r>
      <w:r w:rsidR="003A12E0">
        <w:rPr>
          <w:rFonts w:eastAsia="Times New Roman"/>
          <w:iCs/>
          <w:spacing w:val="-5"/>
          <w:szCs w:val="24"/>
        </w:rPr>
        <w:t>i</w:t>
      </w:r>
      <w:r w:rsidRPr="003331EF">
        <w:rPr>
          <w:rFonts w:eastAsia="Times New Roman"/>
          <w:iCs/>
          <w:spacing w:val="-5"/>
          <w:szCs w:val="24"/>
        </w:rPr>
        <w:t>CA</w:t>
      </w:r>
      <w:proofErr w:type="spellEnd"/>
      <w:r w:rsidRPr="003331EF">
        <w:rPr>
          <w:rFonts w:eastAsia="Times New Roman"/>
          <w:iCs/>
          <w:spacing w:val="-5"/>
          <w:szCs w:val="24"/>
        </w:rPr>
        <w:t xml:space="preserve"> määruse lisas 4 (miinimumkapitalinõuded), võttes arvesse </w:t>
      </w:r>
      <w:proofErr w:type="spellStart"/>
      <w:r w:rsidRPr="003331EF">
        <w:rPr>
          <w:rFonts w:eastAsia="Times New Roman"/>
          <w:iCs/>
          <w:spacing w:val="-5"/>
          <w:szCs w:val="24"/>
        </w:rPr>
        <w:t>krüptovarateenuse</w:t>
      </w:r>
      <w:proofErr w:type="spellEnd"/>
      <w:r w:rsidRPr="003331EF">
        <w:rPr>
          <w:rFonts w:eastAsia="Times New Roman"/>
          <w:iCs/>
          <w:spacing w:val="-5"/>
          <w:szCs w:val="24"/>
        </w:rPr>
        <w:t xml:space="preserve"> osutaja poolt osutatavat teenust või teenuseid. </w:t>
      </w:r>
      <w:r w:rsidR="005B7E0E" w:rsidRPr="003331EF">
        <w:rPr>
          <w:rFonts w:eastAsia="Times New Roman"/>
          <w:iCs/>
          <w:spacing w:val="-5"/>
          <w:szCs w:val="24"/>
        </w:rPr>
        <w:t xml:space="preserve">Näiteks, kui </w:t>
      </w:r>
      <w:proofErr w:type="spellStart"/>
      <w:r w:rsidR="005B7E0E" w:rsidRPr="003331EF">
        <w:rPr>
          <w:rFonts w:eastAsia="Times New Roman"/>
          <w:iCs/>
          <w:spacing w:val="-5"/>
          <w:szCs w:val="24"/>
        </w:rPr>
        <w:t>krüptovarateenuse</w:t>
      </w:r>
      <w:proofErr w:type="spellEnd"/>
      <w:r w:rsidR="005B7E0E" w:rsidRPr="003331EF">
        <w:rPr>
          <w:rFonts w:eastAsia="Times New Roman"/>
          <w:iCs/>
          <w:spacing w:val="-5"/>
          <w:szCs w:val="24"/>
        </w:rPr>
        <w:t xml:space="preserve"> osutajal on luba täita kliendi nimel korraldusi, teha </w:t>
      </w:r>
      <w:proofErr w:type="spellStart"/>
      <w:r w:rsidR="005B7E0E" w:rsidRPr="003331EF">
        <w:rPr>
          <w:rFonts w:eastAsia="Times New Roman"/>
          <w:iCs/>
          <w:spacing w:val="-5"/>
          <w:szCs w:val="24"/>
        </w:rPr>
        <w:t>krüptovara</w:t>
      </w:r>
      <w:proofErr w:type="spellEnd"/>
      <w:r w:rsidR="005B7E0E" w:rsidRPr="003331EF">
        <w:rPr>
          <w:rFonts w:eastAsia="Times New Roman"/>
          <w:iCs/>
          <w:spacing w:val="-5"/>
          <w:szCs w:val="24"/>
        </w:rPr>
        <w:t xml:space="preserve"> suunatud pakkumisi, teha kliendi nimel </w:t>
      </w:r>
      <w:proofErr w:type="spellStart"/>
      <w:r w:rsidR="005B7E0E" w:rsidRPr="003331EF">
        <w:rPr>
          <w:rFonts w:eastAsia="Times New Roman"/>
          <w:iCs/>
          <w:spacing w:val="-5"/>
          <w:szCs w:val="24"/>
        </w:rPr>
        <w:t>krüptoülekandeid</w:t>
      </w:r>
      <w:proofErr w:type="spellEnd"/>
      <w:r w:rsidR="005B7E0E" w:rsidRPr="003331EF">
        <w:rPr>
          <w:rFonts w:eastAsia="Times New Roman"/>
          <w:iCs/>
          <w:spacing w:val="-5"/>
          <w:szCs w:val="24"/>
        </w:rPr>
        <w:t xml:space="preserve">, võtta kliendi nimel vastu või edastada </w:t>
      </w:r>
      <w:proofErr w:type="spellStart"/>
      <w:r w:rsidR="005B7E0E" w:rsidRPr="003331EF">
        <w:rPr>
          <w:rFonts w:eastAsia="Times New Roman"/>
          <w:iCs/>
          <w:spacing w:val="-5"/>
          <w:szCs w:val="24"/>
        </w:rPr>
        <w:t>krüptovaraga</w:t>
      </w:r>
      <w:proofErr w:type="spellEnd"/>
      <w:r w:rsidR="005B7E0E" w:rsidRPr="003331EF">
        <w:rPr>
          <w:rFonts w:eastAsia="Times New Roman"/>
          <w:iCs/>
          <w:spacing w:val="-5"/>
          <w:szCs w:val="24"/>
        </w:rPr>
        <w:t xml:space="preserve"> seotud korraldusi, anda nõu </w:t>
      </w:r>
      <w:proofErr w:type="spellStart"/>
      <w:r w:rsidR="005B7E0E" w:rsidRPr="003331EF">
        <w:rPr>
          <w:rFonts w:eastAsia="Times New Roman"/>
          <w:iCs/>
          <w:spacing w:val="-5"/>
          <w:szCs w:val="24"/>
        </w:rPr>
        <w:t>krüptovara</w:t>
      </w:r>
      <w:proofErr w:type="spellEnd"/>
      <w:r w:rsidR="005B7E0E" w:rsidRPr="003331EF">
        <w:rPr>
          <w:rFonts w:eastAsia="Times New Roman"/>
          <w:iCs/>
          <w:spacing w:val="-5"/>
          <w:szCs w:val="24"/>
        </w:rPr>
        <w:t xml:space="preserve"> kohta ja/või valitseda </w:t>
      </w:r>
      <w:proofErr w:type="spellStart"/>
      <w:r w:rsidR="005B7E0E" w:rsidRPr="003331EF">
        <w:rPr>
          <w:rFonts w:eastAsia="Times New Roman"/>
          <w:iCs/>
          <w:spacing w:val="-5"/>
          <w:szCs w:val="24"/>
        </w:rPr>
        <w:t>krüptovaraportfelli</w:t>
      </w:r>
      <w:proofErr w:type="spellEnd"/>
      <w:r w:rsidR="005B7E0E" w:rsidRPr="003331EF">
        <w:rPr>
          <w:rFonts w:eastAsia="Times New Roman"/>
          <w:iCs/>
          <w:spacing w:val="-5"/>
          <w:szCs w:val="24"/>
        </w:rPr>
        <w:t xml:space="preserve">, siis on tema miinimumkapitalinõue 50 000 eurot. Kui </w:t>
      </w:r>
      <w:proofErr w:type="spellStart"/>
      <w:r w:rsidR="005B7E0E" w:rsidRPr="003331EF">
        <w:rPr>
          <w:rFonts w:eastAsia="Times New Roman"/>
          <w:iCs/>
          <w:spacing w:val="-5"/>
          <w:szCs w:val="24"/>
        </w:rPr>
        <w:t>krüptovarateenuse</w:t>
      </w:r>
      <w:proofErr w:type="spellEnd"/>
      <w:r w:rsidR="005B7E0E" w:rsidRPr="003331EF">
        <w:rPr>
          <w:rFonts w:eastAsia="Times New Roman"/>
          <w:iCs/>
          <w:spacing w:val="-5"/>
          <w:szCs w:val="24"/>
        </w:rPr>
        <w:t xml:space="preserve"> osutaja osutab eelpool nimetalu lisaks kliendi nimel </w:t>
      </w:r>
      <w:proofErr w:type="spellStart"/>
      <w:r w:rsidR="005B7E0E" w:rsidRPr="003331EF">
        <w:rPr>
          <w:rFonts w:eastAsia="Times New Roman"/>
          <w:iCs/>
          <w:spacing w:val="-5"/>
          <w:szCs w:val="24"/>
        </w:rPr>
        <w:t>krüptovara</w:t>
      </w:r>
      <w:proofErr w:type="spellEnd"/>
      <w:r w:rsidR="005B7E0E" w:rsidRPr="003331EF">
        <w:rPr>
          <w:rFonts w:eastAsia="Times New Roman"/>
          <w:iCs/>
          <w:spacing w:val="-5"/>
          <w:szCs w:val="24"/>
        </w:rPr>
        <w:t xml:space="preserve"> hoidmise ja haldamise teenust, </w:t>
      </w:r>
      <w:proofErr w:type="spellStart"/>
      <w:r w:rsidR="005B7E0E" w:rsidRPr="003331EF">
        <w:rPr>
          <w:rFonts w:eastAsia="Times New Roman"/>
          <w:iCs/>
          <w:spacing w:val="-5"/>
          <w:szCs w:val="24"/>
        </w:rPr>
        <w:t>krüptovara</w:t>
      </w:r>
      <w:proofErr w:type="spellEnd"/>
      <w:r w:rsidR="005B7E0E" w:rsidRPr="003331EF">
        <w:rPr>
          <w:rFonts w:eastAsia="Times New Roman"/>
          <w:iCs/>
          <w:spacing w:val="-5"/>
          <w:szCs w:val="24"/>
        </w:rPr>
        <w:t xml:space="preserve"> vahetamise teenust rahaliste vahendite vastu ja/või </w:t>
      </w:r>
      <w:proofErr w:type="spellStart"/>
      <w:r w:rsidR="005B7E0E" w:rsidRPr="003331EF">
        <w:rPr>
          <w:rFonts w:eastAsia="Times New Roman"/>
          <w:iCs/>
          <w:spacing w:val="-5"/>
          <w:szCs w:val="24"/>
        </w:rPr>
        <w:t>krüptovara</w:t>
      </w:r>
      <w:proofErr w:type="spellEnd"/>
      <w:r w:rsidR="005B7E0E" w:rsidRPr="003331EF">
        <w:rPr>
          <w:rFonts w:eastAsia="Times New Roman"/>
          <w:iCs/>
          <w:spacing w:val="-5"/>
          <w:szCs w:val="24"/>
        </w:rPr>
        <w:t xml:space="preserve"> vahetamise teenust muu </w:t>
      </w:r>
      <w:proofErr w:type="spellStart"/>
      <w:r w:rsidR="005B7E0E" w:rsidRPr="003331EF">
        <w:rPr>
          <w:rFonts w:eastAsia="Times New Roman"/>
          <w:iCs/>
          <w:spacing w:val="-5"/>
          <w:szCs w:val="24"/>
        </w:rPr>
        <w:t>krüptovara</w:t>
      </w:r>
      <w:proofErr w:type="spellEnd"/>
      <w:r w:rsidR="005B7E0E" w:rsidRPr="003331EF">
        <w:rPr>
          <w:rFonts w:eastAsia="Times New Roman"/>
          <w:iCs/>
          <w:spacing w:val="-5"/>
          <w:szCs w:val="24"/>
        </w:rPr>
        <w:t xml:space="preserve"> vastu, siis on miinimumkapitalinõue 125 000 ning </w:t>
      </w:r>
      <w:proofErr w:type="spellStart"/>
      <w:r w:rsidR="005B7E0E" w:rsidRPr="003331EF">
        <w:rPr>
          <w:rFonts w:eastAsia="Times New Roman"/>
          <w:iCs/>
          <w:spacing w:val="-5"/>
          <w:szCs w:val="24"/>
        </w:rPr>
        <w:t>krüptovaraga</w:t>
      </w:r>
      <w:proofErr w:type="spellEnd"/>
      <w:r w:rsidR="005B7E0E" w:rsidRPr="003331EF">
        <w:rPr>
          <w:rFonts w:eastAsia="Times New Roman"/>
          <w:iCs/>
          <w:spacing w:val="-5"/>
          <w:szCs w:val="24"/>
        </w:rPr>
        <w:t xml:space="preserve"> kauplemise platvormi korraldamise puhul on tema kapitalinõue 150 000.  </w:t>
      </w:r>
    </w:p>
    <w:p w14:paraId="55D7F2B6" w14:textId="77777777" w:rsidR="00A63F75" w:rsidRPr="003331EF" w:rsidRDefault="00A63F75" w:rsidP="003331EF">
      <w:pPr>
        <w:pStyle w:val="NormalLeft"/>
        <w:spacing w:before="0" w:after="0" w:line="240" w:lineRule="auto"/>
        <w:jc w:val="both"/>
        <w:rPr>
          <w:szCs w:val="24"/>
        </w:rPr>
      </w:pPr>
    </w:p>
    <w:p w14:paraId="6020BB25" w14:textId="1D3F4239" w:rsidR="00CD6906" w:rsidRPr="003331EF" w:rsidRDefault="00A63F75" w:rsidP="003331EF">
      <w:pPr>
        <w:pStyle w:val="NormalLeft"/>
        <w:spacing w:before="0" w:after="0" w:line="240" w:lineRule="auto"/>
        <w:jc w:val="both"/>
        <w:rPr>
          <w:rFonts w:eastAsia="Times New Roman"/>
          <w:iCs/>
          <w:spacing w:val="-5"/>
          <w:szCs w:val="24"/>
        </w:rPr>
      </w:pPr>
      <w:r w:rsidRPr="003331EF">
        <w:rPr>
          <w:rFonts w:eastAsia="Times New Roman"/>
          <w:iCs/>
          <w:spacing w:val="-5"/>
          <w:szCs w:val="24"/>
        </w:rPr>
        <w:lastRenderedPageBreak/>
        <w:t xml:space="preserve">Varapõhise </w:t>
      </w:r>
      <w:proofErr w:type="spellStart"/>
      <w:r w:rsidRPr="003331EF">
        <w:rPr>
          <w:rFonts w:eastAsia="Times New Roman"/>
          <w:iCs/>
          <w:spacing w:val="-5"/>
          <w:szCs w:val="24"/>
        </w:rPr>
        <w:t>tokeni</w:t>
      </w:r>
      <w:proofErr w:type="spellEnd"/>
      <w:r w:rsidRPr="003331EF">
        <w:rPr>
          <w:rFonts w:eastAsia="Times New Roman"/>
          <w:iCs/>
          <w:spacing w:val="-5"/>
          <w:szCs w:val="24"/>
        </w:rPr>
        <w:t xml:space="preserve"> emitendi puhul on kapitaliosa arvutamise aluseks </w:t>
      </w:r>
      <w:proofErr w:type="spellStart"/>
      <w:r w:rsidRPr="003331EF">
        <w:rPr>
          <w:rFonts w:eastAsia="Times New Roman"/>
          <w:iCs/>
          <w:spacing w:val="-5"/>
          <w:szCs w:val="24"/>
        </w:rPr>
        <w:t>M</w:t>
      </w:r>
      <w:r w:rsidR="003A12E0">
        <w:rPr>
          <w:rFonts w:eastAsia="Times New Roman"/>
          <w:iCs/>
          <w:spacing w:val="-5"/>
          <w:szCs w:val="24"/>
        </w:rPr>
        <w:t>i</w:t>
      </w:r>
      <w:r w:rsidRPr="003331EF">
        <w:rPr>
          <w:rFonts w:eastAsia="Times New Roman"/>
          <w:iCs/>
          <w:spacing w:val="-5"/>
          <w:szCs w:val="24"/>
        </w:rPr>
        <w:t>CA</w:t>
      </w:r>
      <w:proofErr w:type="spellEnd"/>
      <w:r w:rsidRPr="003331EF">
        <w:rPr>
          <w:rFonts w:eastAsia="Times New Roman"/>
          <w:iCs/>
          <w:spacing w:val="-5"/>
          <w:szCs w:val="24"/>
        </w:rPr>
        <w:t xml:space="preserve"> määruse artikli 35 lõike 1 punktis a sätestatud 350 000 eurot (1% sellest).</w:t>
      </w:r>
      <w:r w:rsidR="00722B60" w:rsidRPr="003331EF">
        <w:rPr>
          <w:rFonts w:eastAsia="Times New Roman"/>
          <w:iCs/>
          <w:spacing w:val="-5"/>
          <w:szCs w:val="24"/>
        </w:rPr>
        <w:t xml:space="preserve"> Kuna </w:t>
      </w:r>
      <w:proofErr w:type="spellStart"/>
      <w:r w:rsidR="00722B60" w:rsidRPr="003331EF">
        <w:rPr>
          <w:rFonts w:eastAsia="Times New Roman"/>
          <w:iCs/>
          <w:spacing w:val="-5"/>
          <w:szCs w:val="24"/>
        </w:rPr>
        <w:t>M</w:t>
      </w:r>
      <w:r w:rsidR="003A12E0">
        <w:rPr>
          <w:rFonts w:eastAsia="Times New Roman"/>
          <w:iCs/>
          <w:spacing w:val="-5"/>
          <w:szCs w:val="24"/>
        </w:rPr>
        <w:t>i</w:t>
      </w:r>
      <w:r w:rsidR="00722B60" w:rsidRPr="003331EF">
        <w:rPr>
          <w:rFonts w:eastAsia="Times New Roman"/>
          <w:iCs/>
          <w:spacing w:val="-5"/>
          <w:szCs w:val="24"/>
        </w:rPr>
        <w:t>CA</w:t>
      </w:r>
      <w:proofErr w:type="spellEnd"/>
      <w:r w:rsidR="00722B60" w:rsidRPr="003331EF">
        <w:rPr>
          <w:rFonts w:eastAsia="Times New Roman"/>
          <w:iCs/>
          <w:spacing w:val="-5"/>
          <w:szCs w:val="24"/>
        </w:rPr>
        <w:t xml:space="preserve"> määruse artikli 17 lõike 4 kohaselt ei kohaldata krediidiasutuse suhtes </w:t>
      </w:r>
      <w:proofErr w:type="spellStart"/>
      <w:r w:rsidR="00722B60" w:rsidRPr="003331EF">
        <w:rPr>
          <w:rFonts w:eastAsia="Times New Roman"/>
          <w:iCs/>
          <w:spacing w:val="-5"/>
          <w:szCs w:val="24"/>
        </w:rPr>
        <w:t>M</w:t>
      </w:r>
      <w:r w:rsidR="003A12E0">
        <w:rPr>
          <w:rFonts w:eastAsia="Times New Roman"/>
          <w:iCs/>
          <w:spacing w:val="-5"/>
          <w:szCs w:val="24"/>
        </w:rPr>
        <w:t>i</w:t>
      </w:r>
      <w:r w:rsidR="00722B60" w:rsidRPr="003331EF">
        <w:rPr>
          <w:rFonts w:eastAsia="Times New Roman"/>
          <w:iCs/>
          <w:spacing w:val="-5"/>
          <w:szCs w:val="24"/>
        </w:rPr>
        <w:t>CA</w:t>
      </w:r>
      <w:proofErr w:type="spellEnd"/>
      <w:r w:rsidR="00722B60" w:rsidRPr="003331EF">
        <w:rPr>
          <w:rFonts w:eastAsia="Times New Roman"/>
          <w:iCs/>
          <w:spacing w:val="-5"/>
          <w:szCs w:val="24"/>
        </w:rPr>
        <w:t xml:space="preserve"> määruse artiklit 35, ei rakendu tema suhtes ka </w:t>
      </w:r>
      <w:r w:rsidR="00151FBB" w:rsidRPr="003331EF">
        <w:rPr>
          <w:rFonts w:eastAsia="Times New Roman"/>
          <w:iCs/>
          <w:spacing w:val="-5"/>
          <w:szCs w:val="24"/>
        </w:rPr>
        <w:t>käesolev kapitaliosa arvutamise alus. Krediidiasutuse puhul võrdub kapitaliosa ühe protsendiga õigusakti kohaselt nõutavast minimaalsest neto-omavahendite summast (FIS § 39 lõike 1 punkt 1).</w:t>
      </w:r>
    </w:p>
    <w:p w14:paraId="6E5D5B70" w14:textId="77777777" w:rsidR="00CD6906" w:rsidRPr="003331EF" w:rsidRDefault="00CD6906" w:rsidP="003331EF">
      <w:pPr>
        <w:pStyle w:val="NormalLeft"/>
        <w:spacing w:before="0" w:after="0" w:line="240" w:lineRule="auto"/>
        <w:jc w:val="both"/>
        <w:rPr>
          <w:rFonts w:eastAsia="Times New Roman"/>
          <w:iCs/>
          <w:spacing w:val="-5"/>
          <w:szCs w:val="24"/>
        </w:rPr>
      </w:pPr>
    </w:p>
    <w:p w14:paraId="1FD285A0" w14:textId="5E4357F2" w:rsidR="00CD6906" w:rsidRPr="003331EF" w:rsidRDefault="00CB3A18" w:rsidP="003331EF">
      <w:pPr>
        <w:spacing w:before="0"/>
        <w:rPr>
          <w:iCs/>
          <w:spacing w:val="-5"/>
          <w:lang w:eastAsia="en-US"/>
        </w:rPr>
      </w:pPr>
      <w:r w:rsidRPr="003331EF">
        <w:rPr>
          <w:iCs/>
          <w:spacing w:val="-5"/>
          <w:lang w:eastAsia="en-US"/>
        </w:rPr>
        <w:t>Lõikesse 1 lisatakse ka punkt 9, mis sätestab, et väikefondi valitsejal, kes on oma tegevuse Finantsinspektsioonis registreerinud (so IFS §-s 453 nimetatud väikefondi valitseja) on järelevalvetasu kapitaliosa suuruseks 1% õigusakti kohaselt nõutavast kahekordsest minimaalsest aktsia- või osakapitali summast. Arvestades, et eelnõuga kehtestatakse kõnealustele väikefondi valitsejatele minimaalne aktsia- või osakapitali nõue 25 000 eurot (IFS § 453</w:t>
      </w:r>
      <w:r w:rsidRPr="003331EF">
        <w:rPr>
          <w:iCs/>
          <w:spacing w:val="-5"/>
          <w:vertAlign w:val="superscript"/>
          <w:lang w:eastAsia="en-US"/>
        </w:rPr>
        <w:t>1</w:t>
      </w:r>
      <w:r w:rsidRPr="003331EF">
        <w:rPr>
          <w:iCs/>
          <w:spacing w:val="-5"/>
          <w:lang w:eastAsia="en-US"/>
        </w:rPr>
        <w:t xml:space="preserve"> lg 1), tuleb järelevalvetasu kapitaliosa suuruseks 500 eurot, mida </w:t>
      </w:r>
      <w:r w:rsidR="007804CF" w:rsidRPr="003331EF">
        <w:rPr>
          <w:iCs/>
          <w:spacing w:val="-5"/>
          <w:lang w:eastAsia="en-US"/>
        </w:rPr>
        <w:t xml:space="preserve">Finantsinspektsioonile igal aastal tasuda tuleb. Vt ka punkti 2 (FIS § 38 lõike 2 muutmine) selgitusi.  </w:t>
      </w:r>
      <w:r w:rsidRPr="003331EF">
        <w:rPr>
          <w:iCs/>
          <w:spacing w:val="-5"/>
          <w:lang w:eastAsia="en-US"/>
        </w:rPr>
        <w:t xml:space="preserve">   </w:t>
      </w:r>
    </w:p>
    <w:p w14:paraId="52D7682C" w14:textId="66A6F29D" w:rsidR="00A63F75" w:rsidRPr="003331EF" w:rsidRDefault="00A63F75" w:rsidP="003331EF">
      <w:pPr>
        <w:pStyle w:val="NormalLeft"/>
        <w:spacing w:before="0" w:after="0" w:line="240" w:lineRule="auto"/>
        <w:jc w:val="both"/>
        <w:rPr>
          <w:rFonts w:eastAsia="Times New Roman"/>
          <w:iCs/>
          <w:spacing w:val="-5"/>
          <w:szCs w:val="24"/>
        </w:rPr>
      </w:pPr>
    </w:p>
    <w:p w14:paraId="55AB1BE2" w14:textId="58A33A8B" w:rsidR="00CD6906" w:rsidRPr="003331EF" w:rsidRDefault="00CD6906" w:rsidP="003331EF">
      <w:pPr>
        <w:spacing w:before="0"/>
        <w:rPr>
          <w:iCs/>
          <w:spacing w:val="-5"/>
          <w:lang w:eastAsia="en-US"/>
        </w:rPr>
      </w:pPr>
      <w:r w:rsidRPr="003331EF">
        <w:rPr>
          <w:b/>
          <w:bCs/>
        </w:rPr>
        <w:t xml:space="preserve">Punktiga </w:t>
      </w:r>
      <w:r w:rsidR="00CB3A18" w:rsidRPr="003331EF">
        <w:rPr>
          <w:b/>
          <w:bCs/>
        </w:rPr>
        <w:t>6</w:t>
      </w:r>
      <w:r w:rsidRPr="003331EF">
        <w:t xml:space="preserve"> </w:t>
      </w:r>
      <w:r w:rsidRPr="003331EF">
        <w:rPr>
          <w:b/>
          <w:bCs/>
        </w:rPr>
        <w:t>t</w:t>
      </w:r>
      <w:r w:rsidRPr="003331EF">
        <w:rPr>
          <w:b/>
          <w:bCs/>
          <w:iCs/>
          <w:spacing w:val="-5"/>
          <w:lang w:eastAsia="en-US"/>
        </w:rPr>
        <w:t>äpsustatakse FIS § 39 lõike 2 punkti 2</w:t>
      </w:r>
      <w:r w:rsidRPr="003331EF">
        <w:rPr>
          <w:b/>
          <w:bCs/>
          <w:iCs/>
          <w:spacing w:val="-5"/>
          <w:vertAlign w:val="superscript"/>
          <w:lang w:eastAsia="en-US"/>
        </w:rPr>
        <w:t>1</w:t>
      </w:r>
      <w:r w:rsidRPr="003331EF">
        <w:rPr>
          <w:iCs/>
          <w:spacing w:val="-5"/>
          <w:lang w:eastAsia="en-US"/>
        </w:rPr>
        <w:t xml:space="preserve"> sõnastust, nähes ette protsendivahemiku ka </w:t>
      </w:r>
      <w:proofErr w:type="spellStart"/>
      <w:r w:rsidRPr="003331EF">
        <w:rPr>
          <w:iCs/>
          <w:spacing w:val="-5"/>
          <w:lang w:eastAsia="en-US"/>
        </w:rPr>
        <w:t>ühisrahastusteenuse</w:t>
      </w:r>
      <w:proofErr w:type="spellEnd"/>
      <w:r w:rsidRPr="003331EF">
        <w:rPr>
          <w:iCs/>
          <w:spacing w:val="-5"/>
          <w:lang w:eastAsia="en-US"/>
        </w:rPr>
        <w:t xml:space="preserve"> osutaja Eesti filiaalile järelevalvetasu arvutamiseks. </w:t>
      </w:r>
    </w:p>
    <w:p w14:paraId="608A524B" w14:textId="77777777" w:rsidR="00030442" w:rsidRPr="003331EF" w:rsidRDefault="00030442" w:rsidP="003331EF">
      <w:pPr>
        <w:pStyle w:val="NormalLeft"/>
        <w:spacing w:before="0" w:after="0" w:line="240" w:lineRule="auto"/>
        <w:jc w:val="both"/>
        <w:rPr>
          <w:i/>
          <w:iCs/>
          <w:szCs w:val="24"/>
        </w:rPr>
      </w:pPr>
    </w:p>
    <w:p w14:paraId="761DFBCB" w14:textId="772D0335" w:rsidR="001A4507" w:rsidRPr="003331EF" w:rsidRDefault="001A4507" w:rsidP="003331EF">
      <w:pPr>
        <w:spacing w:before="0"/>
      </w:pPr>
      <w:r w:rsidRPr="003331EF">
        <w:rPr>
          <w:b/>
        </w:rPr>
        <w:t xml:space="preserve">Punktiga </w:t>
      </w:r>
      <w:r w:rsidR="00FA5CA5" w:rsidRPr="003331EF">
        <w:rPr>
          <w:b/>
        </w:rPr>
        <w:t>7</w:t>
      </w:r>
      <w:r w:rsidRPr="003331EF">
        <w:rPr>
          <w:b/>
        </w:rPr>
        <w:t xml:space="preserve"> </w:t>
      </w:r>
      <w:r w:rsidRPr="003331EF">
        <w:rPr>
          <w:b/>
          <w:bCs/>
          <w:iCs/>
          <w:spacing w:val="-5"/>
          <w:lang w:eastAsia="en-US"/>
        </w:rPr>
        <w:t>täiendatakse FIS § 39 lõiget 2 punktidega 2</w:t>
      </w:r>
      <w:r w:rsidRPr="003331EF">
        <w:rPr>
          <w:b/>
          <w:bCs/>
          <w:iCs/>
          <w:spacing w:val="-5"/>
          <w:vertAlign w:val="superscript"/>
          <w:lang w:eastAsia="en-US"/>
        </w:rPr>
        <w:t>2</w:t>
      </w:r>
      <w:r w:rsidRPr="003331EF">
        <w:rPr>
          <w:b/>
          <w:bCs/>
          <w:iCs/>
          <w:spacing w:val="-5"/>
          <w:lang w:eastAsia="en-US"/>
        </w:rPr>
        <w:t>–2</w:t>
      </w:r>
      <w:r w:rsidRPr="003331EF">
        <w:rPr>
          <w:b/>
          <w:bCs/>
          <w:iCs/>
          <w:spacing w:val="-5"/>
          <w:vertAlign w:val="superscript"/>
          <w:lang w:eastAsia="en-US"/>
        </w:rPr>
        <w:t>5</w:t>
      </w:r>
      <w:r w:rsidRPr="003331EF">
        <w:rPr>
          <w:iCs/>
          <w:spacing w:val="-5"/>
          <w:lang w:eastAsia="en-US"/>
        </w:rPr>
        <w:t xml:space="preserve">, mis näeb ette eeskirjad, kuidas arvutada </w:t>
      </w:r>
      <w:proofErr w:type="spellStart"/>
      <w:r w:rsidRPr="003331EF">
        <w:rPr>
          <w:iCs/>
          <w:spacing w:val="-5"/>
          <w:lang w:eastAsia="en-US"/>
        </w:rPr>
        <w:t>krüptovarateenuse</w:t>
      </w:r>
      <w:proofErr w:type="spellEnd"/>
      <w:r w:rsidRPr="003331EF">
        <w:rPr>
          <w:iCs/>
          <w:spacing w:val="-5"/>
          <w:lang w:eastAsia="en-US"/>
        </w:rPr>
        <w:t xml:space="preserve"> osutaja ja </w:t>
      </w:r>
      <w:r w:rsidR="00476D68" w:rsidRPr="003331EF">
        <w:rPr>
          <w:iCs/>
          <w:spacing w:val="-5"/>
          <w:lang w:eastAsia="en-US"/>
        </w:rPr>
        <w:t xml:space="preserve">varapõhise </w:t>
      </w:r>
      <w:proofErr w:type="spellStart"/>
      <w:r w:rsidR="00476D68" w:rsidRPr="003331EF">
        <w:rPr>
          <w:iCs/>
          <w:spacing w:val="-5"/>
          <w:lang w:eastAsia="en-US"/>
        </w:rPr>
        <w:t>tokeni</w:t>
      </w:r>
      <w:proofErr w:type="spellEnd"/>
      <w:r w:rsidR="00476D68" w:rsidRPr="003331EF">
        <w:rPr>
          <w:iCs/>
          <w:spacing w:val="-5"/>
          <w:lang w:eastAsia="en-US"/>
        </w:rPr>
        <w:t xml:space="preserve"> </w:t>
      </w:r>
      <w:r w:rsidRPr="003331EF">
        <w:rPr>
          <w:iCs/>
          <w:spacing w:val="-5"/>
          <w:lang w:eastAsia="en-US"/>
        </w:rPr>
        <w:t xml:space="preserve">emitendi mahuosa järelevalvetasu. Järelevalvetasu mahuosa määrade kehtestamisel erinevatele järelevalvesubjektide gruppidele tuleb arvestada nende tegevuse mahtusid ja kasumlikkust ja hinnata nende järelevalvele kuluvat ressurssi. Järelevalvetasu määramisel tuleb lähtuda eeldusest, et järelevalvetasu ei oleks subjekti jaoks ülemäära koormav. Muudatustega on ette nähtud protsendivahemikud erinevatele </w:t>
      </w:r>
      <w:proofErr w:type="spellStart"/>
      <w:r w:rsidRPr="003331EF">
        <w:rPr>
          <w:iCs/>
          <w:spacing w:val="-5"/>
          <w:lang w:eastAsia="en-US"/>
        </w:rPr>
        <w:t>krüptovarateenuse</w:t>
      </w:r>
      <w:proofErr w:type="spellEnd"/>
      <w:r w:rsidRPr="003331EF">
        <w:rPr>
          <w:iCs/>
          <w:spacing w:val="-5"/>
          <w:lang w:eastAsia="en-US"/>
        </w:rPr>
        <w:t xml:space="preserve"> osutajate ja </w:t>
      </w:r>
      <w:r w:rsidR="00476D68" w:rsidRPr="003331EF">
        <w:rPr>
          <w:iCs/>
          <w:spacing w:val="-5"/>
          <w:lang w:eastAsia="en-US"/>
        </w:rPr>
        <w:t xml:space="preserve">varapõhise </w:t>
      </w:r>
      <w:proofErr w:type="spellStart"/>
      <w:r w:rsidR="00476D68" w:rsidRPr="003331EF">
        <w:rPr>
          <w:iCs/>
          <w:spacing w:val="-5"/>
          <w:lang w:eastAsia="en-US"/>
        </w:rPr>
        <w:t>tokeni</w:t>
      </w:r>
      <w:proofErr w:type="spellEnd"/>
      <w:r w:rsidRPr="003331EF">
        <w:rPr>
          <w:iCs/>
          <w:spacing w:val="-5"/>
          <w:lang w:eastAsia="en-US"/>
        </w:rPr>
        <w:t xml:space="preserve"> </w:t>
      </w:r>
      <w:r w:rsidR="00476D68" w:rsidRPr="003331EF">
        <w:rPr>
          <w:iCs/>
          <w:spacing w:val="-5"/>
          <w:lang w:eastAsia="en-US"/>
        </w:rPr>
        <w:t>emitendile</w:t>
      </w:r>
      <w:r w:rsidRPr="003331EF">
        <w:rPr>
          <w:iCs/>
          <w:spacing w:val="-5"/>
          <w:lang w:eastAsia="en-US"/>
        </w:rPr>
        <w:t xml:space="preserve">. Sõltuvalt teenuse liigist arvutatakse järelevalvetasu mahuosa kas </w:t>
      </w:r>
      <w:r w:rsidR="00151FBB" w:rsidRPr="003331EF">
        <w:rPr>
          <w:iCs/>
          <w:spacing w:val="-5"/>
          <w:lang w:eastAsia="en-US"/>
        </w:rPr>
        <w:t>algatatud või vastu võetud tehingute kogusummast</w:t>
      </w:r>
      <w:r w:rsidRPr="003331EF">
        <w:rPr>
          <w:iCs/>
          <w:spacing w:val="-5"/>
          <w:lang w:eastAsia="en-US"/>
        </w:rPr>
        <w:t xml:space="preserve">, kliendi jaoks hoitavate vahendite summast või teenuseosutaja osutatava teenuse aastasest äritulust. Emitendi puhul lähtutakse emiteeritud </w:t>
      </w:r>
      <w:proofErr w:type="spellStart"/>
      <w:r w:rsidRPr="003331EF">
        <w:rPr>
          <w:iCs/>
          <w:spacing w:val="-5"/>
          <w:lang w:eastAsia="en-US"/>
        </w:rPr>
        <w:t>krüptovara</w:t>
      </w:r>
      <w:proofErr w:type="spellEnd"/>
      <w:r w:rsidRPr="003331EF">
        <w:rPr>
          <w:iCs/>
          <w:spacing w:val="-5"/>
          <w:lang w:eastAsia="en-US"/>
        </w:rPr>
        <w:t xml:space="preserve"> väärtusest.</w:t>
      </w:r>
      <w:r w:rsidRPr="003331EF">
        <w:t xml:space="preserve"> </w:t>
      </w:r>
    </w:p>
    <w:p w14:paraId="12E5CCF7" w14:textId="77777777" w:rsidR="00C23204" w:rsidRPr="003331EF" w:rsidRDefault="00C23204" w:rsidP="003331EF">
      <w:pPr>
        <w:spacing w:before="0"/>
      </w:pPr>
    </w:p>
    <w:tbl>
      <w:tblPr>
        <w:tblStyle w:val="Kontuurtabel"/>
        <w:tblW w:w="0" w:type="auto"/>
        <w:tblLook w:val="04A0" w:firstRow="1" w:lastRow="0" w:firstColumn="1" w:lastColumn="0" w:noHBand="0" w:noVBand="1"/>
      </w:tblPr>
      <w:tblGrid>
        <w:gridCol w:w="3020"/>
        <w:gridCol w:w="3020"/>
        <w:gridCol w:w="3021"/>
      </w:tblGrid>
      <w:tr w:rsidR="003331EF" w:rsidRPr="003331EF" w14:paraId="43C07D89" w14:textId="77777777" w:rsidTr="00C0622F">
        <w:tc>
          <w:tcPr>
            <w:tcW w:w="3020" w:type="dxa"/>
          </w:tcPr>
          <w:p w14:paraId="2EA8A5CE" w14:textId="77777777" w:rsidR="00C23204" w:rsidRPr="003331EF" w:rsidRDefault="00C23204" w:rsidP="003331EF">
            <w:pPr>
              <w:spacing w:before="0"/>
              <w:jc w:val="center"/>
              <w:rPr>
                <w:iCs/>
                <w:spacing w:val="-5"/>
                <w:lang w:eastAsia="en-US"/>
              </w:rPr>
            </w:pPr>
            <w:r w:rsidRPr="003331EF">
              <w:rPr>
                <w:iCs/>
                <w:spacing w:val="-5"/>
                <w:lang w:eastAsia="en-US"/>
              </w:rPr>
              <w:t>Mahuosal põhineva järelevalvetasu arvestamise alus</w:t>
            </w:r>
          </w:p>
        </w:tc>
        <w:tc>
          <w:tcPr>
            <w:tcW w:w="3020" w:type="dxa"/>
          </w:tcPr>
          <w:p w14:paraId="16EDABDA" w14:textId="77777777" w:rsidR="00C23204" w:rsidRPr="003331EF" w:rsidRDefault="00C23204" w:rsidP="003331EF">
            <w:pPr>
              <w:spacing w:before="0"/>
              <w:jc w:val="center"/>
              <w:rPr>
                <w:iCs/>
                <w:spacing w:val="-5"/>
                <w:lang w:eastAsia="en-US"/>
              </w:rPr>
            </w:pPr>
            <w:r w:rsidRPr="003331EF">
              <w:rPr>
                <w:iCs/>
                <w:spacing w:val="-5"/>
                <w:lang w:eastAsia="en-US"/>
              </w:rPr>
              <w:t xml:space="preserve">Hüpoteetilise </w:t>
            </w:r>
            <w:proofErr w:type="spellStart"/>
            <w:r w:rsidRPr="003331EF">
              <w:rPr>
                <w:iCs/>
                <w:spacing w:val="-5"/>
                <w:lang w:eastAsia="en-US"/>
              </w:rPr>
              <w:t>krüptovarateenuse</w:t>
            </w:r>
            <w:proofErr w:type="spellEnd"/>
            <w:r w:rsidRPr="003331EF">
              <w:rPr>
                <w:iCs/>
                <w:spacing w:val="-5"/>
                <w:lang w:eastAsia="en-US"/>
              </w:rPr>
              <w:t xml:space="preserve"> </w:t>
            </w:r>
            <w:proofErr w:type="spellStart"/>
            <w:r w:rsidRPr="003331EF">
              <w:rPr>
                <w:iCs/>
                <w:spacing w:val="-5"/>
                <w:lang w:eastAsia="en-US"/>
              </w:rPr>
              <w:t>ostuja</w:t>
            </w:r>
            <w:proofErr w:type="spellEnd"/>
            <w:r w:rsidRPr="003331EF">
              <w:rPr>
                <w:iCs/>
                <w:spacing w:val="-5"/>
                <w:lang w:eastAsia="en-US"/>
              </w:rPr>
              <w:t xml:space="preserve"> või emitendi näitajad</w:t>
            </w:r>
          </w:p>
        </w:tc>
        <w:tc>
          <w:tcPr>
            <w:tcW w:w="3021" w:type="dxa"/>
          </w:tcPr>
          <w:p w14:paraId="36E67FC5" w14:textId="77777777" w:rsidR="00C23204" w:rsidRPr="003331EF" w:rsidRDefault="00C23204" w:rsidP="003331EF">
            <w:pPr>
              <w:spacing w:before="0"/>
              <w:jc w:val="center"/>
              <w:rPr>
                <w:iCs/>
                <w:spacing w:val="-5"/>
                <w:lang w:eastAsia="en-US"/>
              </w:rPr>
            </w:pPr>
            <w:r w:rsidRPr="003331EF">
              <w:rPr>
                <w:iCs/>
                <w:spacing w:val="-5"/>
                <w:lang w:eastAsia="en-US"/>
              </w:rPr>
              <w:t>Maksimaalne mahuosal põhineva järelevalvetasu suurus (lihtsustatud kujul) – maksimaalne määr 0,5%</w:t>
            </w:r>
          </w:p>
        </w:tc>
      </w:tr>
      <w:tr w:rsidR="003331EF" w:rsidRPr="003331EF" w14:paraId="771FEEB1" w14:textId="77777777" w:rsidTr="00C0622F">
        <w:tc>
          <w:tcPr>
            <w:tcW w:w="3020" w:type="dxa"/>
          </w:tcPr>
          <w:p w14:paraId="4A9CC9DC" w14:textId="77777777" w:rsidR="00C23204" w:rsidRPr="003331EF" w:rsidRDefault="00C23204" w:rsidP="003331EF">
            <w:pPr>
              <w:spacing w:before="0"/>
              <w:rPr>
                <w:iCs/>
                <w:spacing w:val="-5"/>
                <w:lang w:eastAsia="en-US"/>
              </w:rPr>
            </w:pPr>
            <w:r w:rsidRPr="003331EF">
              <w:rPr>
                <w:iCs/>
                <w:spacing w:val="-5"/>
                <w:lang w:eastAsia="en-US"/>
              </w:rPr>
              <w:t>- algatatud või vastu võetud tehingute kogusumma</w:t>
            </w:r>
          </w:p>
        </w:tc>
        <w:tc>
          <w:tcPr>
            <w:tcW w:w="3020" w:type="dxa"/>
          </w:tcPr>
          <w:p w14:paraId="7BF8D5A2" w14:textId="77777777" w:rsidR="00C23204" w:rsidRPr="003331EF" w:rsidRDefault="00C23204" w:rsidP="003331EF">
            <w:pPr>
              <w:spacing w:before="0"/>
              <w:jc w:val="center"/>
              <w:rPr>
                <w:iCs/>
                <w:spacing w:val="-5"/>
                <w:lang w:eastAsia="en-US"/>
              </w:rPr>
            </w:pPr>
            <w:r w:rsidRPr="003331EF">
              <w:rPr>
                <w:iCs/>
                <w:spacing w:val="-5"/>
                <w:lang w:eastAsia="en-US"/>
              </w:rPr>
              <w:t>20 mln eurot</w:t>
            </w:r>
          </w:p>
        </w:tc>
        <w:tc>
          <w:tcPr>
            <w:tcW w:w="3021" w:type="dxa"/>
          </w:tcPr>
          <w:p w14:paraId="1428AA74" w14:textId="77777777" w:rsidR="00C23204" w:rsidRPr="003331EF" w:rsidRDefault="00C23204" w:rsidP="003331EF">
            <w:pPr>
              <w:spacing w:before="0"/>
              <w:jc w:val="center"/>
              <w:rPr>
                <w:iCs/>
                <w:spacing w:val="-5"/>
                <w:lang w:eastAsia="en-US"/>
              </w:rPr>
            </w:pPr>
            <w:r w:rsidRPr="003331EF">
              <w:rPr>
                <w:iCs/>
                <w:spacing w:val="-5"/>
                <w:lang w:eastAsia="en-US"/>
              </w:rPr>
              <w:t>100 000 eurot</w:t>
            </w:r>
          </w:p>
        </w:tc>
      </w:tr>
      <w:tr w:rsidR="003331EF" w:rsidRPr="003331EF" w14:paraId="19E3DA20" w14:textId="77777777" w:rsidTr="00C0622F">
        <w:tc>
          <w:tcPr>
            <w:tcW w:w="3020" w:type="dxa"/>
          </w:tcPr>
          <w:p w14:paraId="1F14F23E" w14:textId="77777777" w:rsidR="00C23204" w:rsidRPr="003331EF" w:rsidRDefault="00C23204" w:rsidP="003331EF">
            <w:pPr>
              <w:spacing w:before="0"/>
              <w:rPr>
                <w:iCs/>
                <w:spacing w:val="-5"/>
                <w:lang w:eastAsia="en-US"/>
              </w:rPr>
            </w:pPr>
            <w:r w:rsidRPr="003331EF">
              <w:rPr>
                <w:iCs/>
                <w:spacing w:val="-5"/>
                <w:lang w:eastAsia="en-US"/>
              </w:rPr>
              <w:t>- klientide jaoks hoitavate vahendite summa</w:t>
            </w:r>
          </w:p>
        </w:tc>
        <w:tc>
          <w:tcPr>
            <w:tcW w:w="3020" w:type="dxa"/>
          </w:tcPr>
          <w:p w14:paraId="019DE468" w14:textId="77777777" w:rsidR="00C23204" w:rsidRPr="003331EF" w:rsidRDefault="00C23204" w:rsidP="003331EF">
            <w:pPr>
              <w:spacing w:before="0"/>
              <w:jc w:val="center"/>
              <w:rPr>
                <w:iCs/>
                <w:spacing w:val="-5"/>
                <w:lang w:eastAsia="en-US"/>
              </w:rPr>
            </w:pPr>
            <w:r w:rsidRPr="003331EF">
              <w:rPr>
                <w:iCs/>
                <w:spacing w:val="-5"/>
                <w:lang w:eastAsia="en-US"/>
              </w:rPr>
              <w:t>30 mln eurot</w:t>
            </w:r>
          </w:p>
        </w:tc>
        <w:tc>
          <w:tcPr>
            <w:tcW w:w="3021" w:type="dxa"/>
          </w:tcPr>
          <w:p w14:paraId="21501FE2" w14:textId="77777777" w:rsidR="00C23204" w:rsidRPr="003331EF" w:rsidRDefault="00C23204" w:rsidP="003331EF">
            <w:pPr>
              <w:spacing w:before="0"/>
              <w:jc w:val="center"/>
              <w:rPr>
                <w:iCs/>
                <w:spacing w:val="-5"/>
                <w:lang w:eastAsia="en-US"/>
              </w:rPr>
            </w:pPr>
            <w:r w:rsidRPr="003331EF">
              <w:rPr>
                <w:iCs/>
                <w:spacing w:val="-5"/>
                <w:lang w:eastAsia="en-US"/>
              </w:rPr>
              <w:t>150 000 eurot</w:t>
            </w:r>
          </w:p>
        </w:tc>
      </w:tr>
      <w:tr w:rsidR="003331EF" w:rsidRPr="003331EF" w14:paraId="4F1E2FE4" w14:textId="77777777" w:rsidTr="00C0622F">
        <w:tc>
          <w:tcPr>
            <w:tcW w:w="3020" w:type="dxa"/>
          </w:tcPr>
          <w:p w14:paraId="5533C55E" w14:textId="77777777" w:rsidR="00C23204" w:rsidRPr="003331EF" w:rsidRDefault="00C23204" w:rsidP="003331EF">
            <w:pPr>
              <w:spacing w:before="0"/>
              <w:rPr>
                <w:iCs/>
                <w:spacing w:val="-5"/>
                <w:lang w:eastAsia="en-US"/>
              </w:rPr>
            </w:pPr>
            <w:r w:rsidRPr="003331EF">
              <w:rPr>
                <w:iCs/>
                <w:spacing w:val="-5"/>
                <w:lang w:eastAsia="en-US"/>
              </w:rPr>
              <w:t xml:space="preserve">- </w:t>
            </w:r>
            <w:proofErr w:type="spellStart"/>
            <w:r w:rsidRPr="003331EF">
              <w:rPr>
                <w:iCs/>
                <w:spacing w:val="-5"/>
                <w:lang w:eastAsia="en-US"/>
              </w:rPr>
              <w:t>krüptovarateenuse</w:t>
            </w:r>
            <w:proofErr w:type="spellEnd"/>
            <w:r w:rsidRPr="003331EF">
              <w:rPr>
                <w:iCs/>
                <w:spacing w:val="-5"/>
                <w:lang w:eastAsia="en-US"/>
              </w:rPr>
              <w:t xml:space="preserve"> osutaja osutatava teenuse aastane äritulust</w:t>
            </w:r>
          </w:p>
        </w:tc>
        <w:tc>
          <w:tcPr>
            <w:tcW w:w="3020" w:type="dxa"/>
          </w:tcPr>
          <w:p w14:paraId="3E279123" w14:textId="77777777" w:rsidR="00C23204" w:rsidRPr="003331EF" w:rsidRDefault="00C23204" w:rsidP="003331EF">
            <w:pPr>
              <w:spacing w:before="0"/>
              <w:jc w:val="center"/>
              <w:rPr>
                <w:iCs/>
                <w:spacing w:val="-5"/>
                <w:lang w:eastAsia="en-US"/>
              </w:rPr>
            </w:pPr>
            <w:r w:rsidRPr="003331EF">
              <w:rPr>
                <w:iCs/>
                <w:spacing w:val="-5"/>
                <w:lang w:eastAsia="en-US"/>
              </w:rPr>
              <w:t>5 mln eurot</w:t>
            </w:r>
          </w:p>
        </w:tc>
        <w:tc>
          <w:tcPr>
            <w:tcW w:w="3021" w:type="dxa"/>
          </w:tcPr>
          <w:p w14:paraId="0EF7AFC1" w14:textId="77777777" w:rsidR="00C23204" w:rsidRPr="003331EF" w:rsidRDefault="00C23204" w:rsidP="003331EF">
            <w:pPr>
              <w:spacing w:before="0"/>
              <w:jc w:val="center"/>
              <w:rPr>
                <w:iCs/>
                <w:spacing w:val="-5"/>
                <w:lang w:eastAsia="en-US"/>
              </w:rPr>
            </w:pPr>
            <w:r w:rsidRPr="003331EF">
              <w:rPr>
                <w:iCs/>
                <w:spacing w:val="-5"/>
                <w:lang w:eastAsia="en-US"/>
              </w:rPr>
              <w:t>25 000 eurot</w:t>
            </w:r>
          </w:p>
        </w:tc>
      </w:tr>
      <w:tr w:rsidR="00C23204" w:rsidRPr="003331EF" w14:paraId="361813B1" w14:textId="77777777" w:rsidTr="00C0622F">
        <w:tc>
          <w:tcPr>
            <w:tcW w:w="3020" w:type="dxa"/>
          </w:tcPr>
          <w:p w14:paraId="5420212F" w14:textId="77777777" w:rsidR="00C23204" w:rsidRPr="003331EF" w:rsidRDefault="00C23204" w:rsidP="003331EF">
            <w:pPr>
              <w:spacing w:before="0"/>
              <w:rPr>
                <w:iCs/>
                <w:spacing w:val="-5"/>
                <w:lang w:eastAsia="en-US"/>
              </w:rPr>
            </w:pPr>
            <w:r w:rsidRPr="003331EF">
              <w:rPr>
                <w:iCs/>
                <w:spacing w:val="-5"/>
                <w:lang w:eastAsia="en-US"/>
              </w:rPr>
              <w:t xml:space="preserve">- varapõhise emitendi emiteeritud </w:t>
            </w:r>
            <w:proofErr w:type="spellStart"/>
            <w:r w:rsidRPr="003331EF">
              <w:rPr>
                <w:iCs/>
                <w:spacing w:val="-5"/>
                <w:lang w:eastAsia="en-US"/>
              </w:rPr>
              <w:t>krüptovara</w:t>
            </w:r>
            <w:proofErr w:type="spellEnd"/>
            <w:r w:rsidRPr="003331EF">
              <w:rPr>
                <w:iCs/>
                <w:spacing w:val="-5"/>
                <w:lang w:eastAsia="en-US"/>
              </w:rPr>
              <w:t xml:space="preserve"> väärtus</w:t>
            </w:r>
          </w:p>
        </w:tc>
        <w:tc>
          <w:tcPr>
            <w:tcW w:w="3020" w:type="dxa"/>
          </w:tcPr>
          <w:p w14:paraId="6FA5DC5E" w14:textId="77777777" w:rsidR="00C23204" w:rsidRPr="003331EF" w:rsidRDefault="00C23204" w:rsidP="003331EF">
            <w:pPr>
              <w:spacing w:before="0"/>
              <w:jc w:val="center"/>
              <w:rPr>
                <w:iCs/>
                <w:spacing w:val="-5"/>
                <w:lang w:eastAsia="en-US"/>
              </w:rPr>
            </w:pPr>
            <w:r w:rsidRPr="003331EF">
              <w:rPr>
                <w:iCs/>
                <w:spacing w:val="-5"/>
                <w:lang w:eastAsia="en-US"/>
              </w:rPr>
              <w:t>100 mln eurot</w:t>
            </w:r>
          </w:p>
        </w:tc>
        <w:tc>
          <w:tcPr>
            <w:tcW w:w="3021" w:type="dxa"/>
          </w:tcPr>
          <w:p w14:paraId="4903E940" w14:textId="77777777" w:rsidR="00C23204" w:rsidRPr="003331EF" w:rsidRDefault="00C23204" w:rsidP="003331EF">
            <w:pPr>
              <w:spacing w:before="0"/>
              <w:jc w:val="center"/>
              <w:rPr>
                <w:iCs/>
                <w:spacing w:val="-5"/>
                <w:lang w:eastAsia="en-US"/>
              </w:rPr>
            </w:pPr>
            <w:r w:rsidRPr="003331EF">
              <w:rPr>
                <w:iCs/>
                <w:spacing w:val="-5"/>
                <w:lang w:eastAsia="en-US"/>
              </w:rPr>
              <w:t>500 000 eurot</w:t>
            </w:r>
          </w:p>
        </w:tc>
      </w:tr>
    </w:tbl>
    <w:p w14:paraId="54B8462A" w14:textId="77777777" w:rsidR="00C23204" w:rsidRPr="003331EF" w:rsidRDefault="00C23204" w:rsidP="003331EF">
      <w:pPr>
        <w:spacing w:before="0"/>
        <w:rPr>
          <w:iCs/>
          <w:spacing w:val="-5"/>
          <w:lang w:eastAsia="en-US"/>
        </w:rPr>
      </w:pPr>
    </w:p>
    <w:p w14:paraId="3C68A36F" w14:textId="5852CC80" w:rsidR="00C23204" w:rsidRPr="003331EF" w:rsidRDefault="00C23204" w:rsidP="003331EF">
      <w:pPr>
        <w:spacing w:before="0"/>
        <w:rPr>
          <w:iCs/>
          <w:spacing w:val="-5"/>
          <w:lang w:eastAsia="en-US"/>
        </w:rPr>
      </w:pPr>
      <w:r w:rsidRPr="003331EF">
        <w:rPr>
          <w:b/>
          <w:bCs/>
          <w:iCs/>
          <w:spacing w:val="-5"/>
          <w:lang w:eastAsia="en-US"/>
        </w:rPr>
        <w:t xml:space="preserve">Tabel </w:t>
      </w:r>
      <w:r w:rsidR="00E856F7" w:rsidRPr="003331EF">
        <w:rPr>
          <w:b/>
          <w:bCs/>
          <w:iCs/>
          <w:spacing w:val="-5"/>
          <w:lang w:eastAsia="en-US"/>
        </w:rPr>
        <w:t>6</w:t>
      </w:r>
      <w:r w:rsidRPr="003331EF">
        <w:rPr>
          <w:b/>
          <w:bCs/>
          <w:iCs/>
          <w:spacing w:val="-5"/>
          <w:lang w:eastAsia="en-US"/>
        </w:rPr>
        <w:t>.</w:t>
      </w:r>
      <w:r w:rsidRPr="003331EF">
        <w:rPr>
          <w:iCs/>
          <w:spacing w:val="-5"/>
          <w:lang w:eastAsia="en-US"/>
        </w:rPr>
        <w:t xml:space="preserve"> Näited võimalike maksimaalsete mahuosapõhiste järelevalvetasude suuruste kohta</w:t>
      </w:r>
    </w:p>
    <w:p w14:paraId="10E14F37" w14:textId="77777777" w:rsidR="00C23204" w:rsidRPr="003331EF" w:rsidRDefault="00C23204" w:rsidP="003331EF">
      <w:pPr>
        <w:spacing w:before="0"/>
      </w:pPr>
    </w:p>
    <w:p w14:paraId="194D0E40" w14:textId="5EF7DE22" w:rsidR="001A4507" w:rsidRPr="003331EF" w:rsidRDefault="001A4507" w:rsidP="003331EF">
      <w:pPr>
        <w:spacing w:before="0"/>
      </w:pPr>
      <w:r w:rsidRPr="003331EF">
        <w:rPr>
          <w:b/>
        </w:rPr>
        <w:t xml:space="preserve">Punktiga </w:t>
      </w:r>
      <w:r w:rsidR="00FA5CA5" w:rsidRPr="003331EF">
        <w:rPr>
          <w:b/>
        </w:rPr>
        <w:t>8</w:t>
      </w:r>
      <w:r w:rsidRPr="003331EF">
        <w:rPr>
          <w:b/>
        </w:rPr>
        <w:t xml:space="preserve"> </w:t>
      </w:r>
      <w:r w:rsidRPr="003331EF">
        <w:rPr>
          <w:b/>
          <w:bCs/>
          <w:iCs/>
          <w:spacing w:val="-5"/>
          <w:lang w:eastAsia="en-US"/>
        </w:rPr>
        <w:t>täiendatakse FIS §-i 41 lõigetega 5</w:t>
      </w:r>
      <w:r w:rsidRPr="003331EF">
        <w:rPr>
          <w:b/>
          <w:bCs/>
          <w:iCs/>
          <w:spacing w:val="-5"/>
          <w:vertAlign w:val="superscript"/>
          <w:lang w:eastAsia="en-US"/>
        </w:rPr>
        <w:t>4</w:t>
      </w:r>
      <w:r w:rsidRPr="003331EF">
        <w:rPr>
          <w:b/>
          <w:bCs/>
          <w:iCs/>
          <w:spacing w:val="-5"/>
          <w:lang w:eastAsia="en-US"/>
        </w:rPr>
        <w:t>–5</w:t>
      </w:r>
      <w:r w:rsidRPr="003331EF">
        <w:rPr>
          <w:b/>
          <w:bCs/>
          <w:iCs/>
          <w:spacing w:val="-5"/>
          <w:vertAlign w:val="superscript"/>
          <w:lang w:eastAsia="en-US"/>
        </w:rPr>
        <w:t>7</w:t>
      </w:r>
      <w:r w:rsidR="000A5DBB" w:rsidRPr="003331EF">
        <w:rPr>
          <w:iCs/>
          <w:spacing w:val="-5"/>
          <w:lang w:eastAsia="en-US"/>
        </w:rPr>
        <w:t xml:space="preserve">, milles täpsustatakse, et </w:t>
      </w:r>
      <w:proofErr w:type="spellStart"/>
      <w:r w:rsidR="000A5DBB" w:rsidRPr="003331EF">
        <w:rPr>
          <w:iCs/>
          <w:spacing w:val="-5"/>
          <w:lang w:eastAsia="en-US"/>
        </w:rPr>
        <w:t>k</w:t>
      </w:r>
      <w:r w:rsidRPr="003331EF">
        <w:rPr>
          <w:iCs/>
          <w:spacing w:val="-5"/>
          <w:lang w:eastAsia="en-US"/>
        </w:rPr>
        <w:t>rüptovarateenuse</w:t>
      </w:r>
      <w:proofErr w:type="spellEnd"/>
      <w:r w:rsidRPr="003331EF">
        <w:rPr>
          <w:iCs/>
          <w:spacing w:val="-5"/>
          <w:lang w:eastAsia="en-US"/>
        </w:rPr>
        <w:t xml:space="preserve"> osutaja mahuosa ettemakse arvutamisel võetakse aluseks </w:t>
      </w:r>
      <w:r w:rsidR="000A5DBB" w:rsidRPr="003331EF">
        <w:rPr>
          <w:iCs/>
          <w:spacing w:val="-5"/>
          <w:lang w:eastAsia="en-US"/>
        </w:rPr>
        <w:t>algatatud või vastu võetud tehingute keskmine kogusumma</w:t>
      </w:r>
      <w:r w:rsidRPr="003331EF">
        <w:rPr>
          <w:iCs/>
          <w:spacing w:val="-5"/>
          <w:lang w:eastAsia="en-US"/>
        </w:rPr>
        <w:t>, kliendi jaoks hoitavate vahendite</w:t>
      </w:r>
      <w:r w:rsidR="000A5DBB" w:rsidRPr="003331EF">
        <w:rPr>
          <w:iCs/>
          <w:spacing w:val="-5"/>
          <w:lang w:eastAsia="en-US"/>
        </w:rPr>
        <w:t xml:space="preserve"> </w:t>
      </w:r>
      <w:r w:rsidRPr="003331EF">
        <w:rPr>
          <w:iCs/>
          <w:spacing w:val="-5"/>
          <w:lang w:eastAsia="en-US"/>
        </w:rPr>
        <w:t>summa või teenuseosutaja osutatava teenuse aasta</w:t>
      </w:r>
      <w:r w:rsidR="000A5DBB" w:rsidRPr="003331EF">
        <w:rPr>
          <w:iCs/>
          <w:spacing w:val="-5"/>
          <w:lang w:eastAsia="en-US"/>
        </w:rPr>
        <w:t>ne</w:t>
      </w:r>
      <w:r w:rsidRPr="003331EF">
        <w:rPr>
          <w:iCs/>
          <w:spacing w:val="-5"/>
          <w:lang w:eastAsia="en-US"/>
        </w:rPr>
        <w:t xml:space="preserve"> äritulu, mis on kajastatud Finantsinspektsioonile eelmise aasta kohta esitatud aruannetes.</w:t>
      </w:r>
      <w:r w:rsidR="000A5DBB" w:rsidRPr="003331EF">
        <w:rPr>
          <w:iCs/>
          <w:spacing w:val="-5"/>
          <w:lang w:eastAsia="en-US"/>
        </w:rPr>
        <w:t xml:space="preserve"> </w:t>
      </w:r>
      <w:proofErr w:type="spellStart"/>
      <w:r w:rsidRPr="003331EF">
        <w:rPr>
          <w:iCs/>
          <w:spacing w:val="-5"/>
          <w:lang w:eastAsia="en-US"/>
        </w:rPr>
        <w:t>Krüptovara</w:t>
      </w:r>
      <w:proofErr w:type="spellEnd"/>
      <w:r w:rsidRPr="003331EF">
        <w:rPr>
          <w:iCs/>
          <w:spacing w:val="-5"/>
          <w:lang w:eastAsia="en-US"/>
        </w:rPr>
        <w:t xml:space="preserve"> emitendi puhul võetakse aluseks emiteeritud </w:t>
      </w:r>
      <w:proofErr w:type="spellStart"/>
      <w:r w:rsidRPr="003331EF">
        <w:rPr>
          <w:iCs/>
          <w:spacing w:val="-5"/>
          <w:lang w:eastAsia="en-US"/>
        </w:rPr>
        <w:t>krüptovara</w:t>
      </w:r>
      <w:proofErr w:type="spellEnd"/>
      <w:r w:rsidRPr="003331EF">
        <w:rPr>
          <w:iCs/>
          <w:spacing w:val="-5"/>
          <w:lang w:eastAsia="en-US"/>
        </w:rPr>
        <w:t xml:space="preserve"> väärtus</w:t>
      </w:r>
      <w:r w:rsidR="000A5DBB" w:rsidRPr="003331EF">
        <w:rPr>
          <w:iCs/>
          <w:spacing w:val="-5"/>
          <w:lang w:eastAsia="en-US"/>
        </w:rPr>
        <w:t xml:space="preserve"> kokku, mis on kajastatud Inspektsioonile eelmise aasta kohta esitatud aruannetes</w:t>
      </w:r>
      <w:r w:rsidRPr="003331EF">
        <w:rPr>
          <w:iCs/>
          <w:spacing w:val="-5"/>
          <w:lang w:eastAsia="en-US"/>
        </w:rPr>
        <w:t>.</w:t>
      </w:r>
    </w:p>
    <w:p w14:paraId="3C285EA1" w14:textId="77777777" w:rsidR="001A4507" w:rsidRPr="003331EF" w:rsidRDefault="001A4507" w:rsidP="003331EF">
      <w:pPr>
        <w:spacing w:before="0"/>
        <w:rPr>
          <w:b/>
          <w:i/>
          <w:iCs/>
        </w:rPr>
      </w:pPr>
    </w:p>
    <w:p w14:paraId="230B8446" w14:textId="4C4D5E5E" w:rsidR="000A5DBB" w:rsidRPr="003331EF" w:rsidRDefault="001A4507" w:rsidP="003331EF">
      <w:pPr>
        <w:spacing w:before="0"/>
        <w:rPr>
          <w:iCs/>
          <w:spacing w:val="-5"/>
          <w:lang w:eastAsia="en-US"/>
        </w:rPr>
      </w:pPr>
      <w:r w:rsidRPr="003331EF">
        <w:rPr>
          <w:b/>
        </w:rPr>
        <w:lastRenderedPageBreak/>
        <w:t xml:space="preserve">Punktiga </w:t>
      </w:r>
      <w:r w:rsidR="00FA5CA5" w:rsidRPr="003331EF">
        <w:rPr>
          <w:b/>
        </w:rPr>
        <w:t>9</w:t>
      </w:r>
      <w:r w:rsidRPr="003331EF">
        <w:rPr>
          <w:iCs/>
          <w:spacing w:val="-5"/>
          <w:lang w:eastAsia="en-US"/>
        </w:rPr>
        <w:t xml:space="preserve"> </w:t>
      </w:r>
      <w:r w:rsidRPr="003331EF">
        <w:rPr>
          <w:b/>
          <w:bCs/>
          <w:iCs/>
          <w:spacing w:val="-5"/>
          <w:lang w:eastAsia="en-US"/>
        </w:rPr>
        <w:t>täiendatakse FIS §-i 42 lõigetega 5</w:t>
      </w:r>
      <w:r w:rsidRPr="003331EF">
        <w:rPr>
          <w:b/>
          <w:bCs/>
          <w:iCs/>
          <w:spacing w:val="-5"/>
          <w:vertAlign w:val="superscript"/>
          <w:lang w:eastAsia="en-US"/>
        </w:rPr>
        <w:t>4</w:t>
      </w:r>
      <w:r w:rsidRPr="003331EF">
        <w:rPr>
          <w:b/>
          <w:bCs/>
          <w:iCs/>
          <w:spacing w:val="-5"/>
          <w:lang w:eastAsia="en-US"/>
        </w:rPr>
        <w:t>–5</w:t>
      </w:r>
      <w:r w:rsidRPr="003331EF">
        <w:rPr>
          <w:b/>
          <w:bCs/>
          <w:iCs/>
          <w:spacing w:val="-5"/>
          <w:vertAlign w:val="superscript"/>
          <w:lang w:eastAsia="en-US"/>
        </w:rPr>
        <w:t>7</w:t>
      </w:r>
      <w:r w:rsidR="000A5DBB" w:rsidRPr="003331EF">
        <w:rPr>
          <w:iCs/>
          <w:spacing w:val="-5"/>
          <w:lang w:eastAsia="en-US"/>
        </w:rPr>
        <w:t xml:space="preserve">, </w:t>
      </w:r>
      <w:r w:rsidRPr="003331EF">
        <w:rPr>
          <w:iCs/>
          <w:spacing w:val="-5"/>
          <w:lang w:eastAsia="en-US"/>
        </w:rPr>
        <w:t xml:space="preserve"> </w:t>
      </w:r>
      <w:r w:rsidR="000A5DBB" w:rsidRPr="003331EF">
        <w:rPr>
          <w:iCs/>
          <w:spacing w:val="-5"/>
          <w:lang w:eastAsia="en-US"/>
        </w:rPr>
        <w:t xml:space="preserve">milles täpsustatakse, et </w:t>
      </w:r>
      <w:r w:rsidRPr="003331EF">
        <w:rPr>
          <w:iCs/>
          <w:spacing w:val="-5"/>
          <w:lang w:eastAsia="en-US"/>
        </w:rPr>
        <w:t xml:space="preserve">mahuosa lõppmakse arvutamisel </w:t>
      </w:r>
      <w:r w:rsidR="000A5DBB" w:rsidRPr="003331EF">
        <w:rPr>
          <w:iCs/>
          <w:spacing w:val="-5"/>
          <w:lang w:eastAsia="en-US"/>
        </w:rPr>
        <w:t xml:space="preserve">võetakse aluseks algatatud või vastu võetud tehingute keskmine kogusumma, kliendi jaoks hoitavate vahendite summa või teenuseosutaja osutatava teenuse aastane äritulu, mis on kajastatud Finantsinspektsioonile eelmise aasta kohta esitatud aruannetes. </w:t>
      </w:r>
      <w:r w:rsidR="00B90824" w:rsidRPr="003331EF">
        <w:rPr>
          <w:iCs/>
          <w:spacing w:val="-5"/>
          <w:lang w:eastAsia="en-US"/>
        </w:rPr>
        <w:t xml:space="preserve">Varapõhise </w:t>
      </w:r>
      <w:proofErr w:type="spellStart"/>
      <w:r w:rsidR="00B90824" w:rsidRPr="003331EF">
        <w:rPr>
          <w:iCs/>
          <w:spacing w:val="-5"/>
          <w:lang w:eastAsia="en-US"/>
        </w:rPr>
        <w:t>tokeni</w:t>
      </w:r>
      <w:proofErr w:type="spellEnd"/>
      <w:r w:rsidR="00B90824" w:rsidRPr="003331EF">
        <w:rPr>
          <w:iCs/>
          <w:spacing w:val="-5"/>
          <w:lang w:eastAsia="en-US"/>
        </w:rPr>
        <w:t xml:space="preserve"> </w:t>
      </w:r>
      <w:r w:rsidR="000A5DBB" w:rsidRPr="003331EF">
        <w:rPr>
          <w:iCs/>
          <w:spacing w:val="-5"/>
          <w:lang w:eastAsia="en-US"/>
        </w:rPr>
        <w:t xml:space="preserve"> emitendi puhul võetakse aluseks emiteeritud </w:t>
      </w:r>
      <w:proofErr w:type="spellStart"/>
      <w:r w:rsidR="000A5DBB" w:rsidRPr="003331EF">
        <w:rPr>
          <w:iCs/>
          <w:spacing w:val="-5"/>
          <w:lang w:eastAsia="en-US"/>
        </w:rPr>
        <w:t>krüptovara</w:t>
      </w:r>
      <w:proofErr w:type="spellEnd"/>
      <w:r w:rsidR="000A5DBB" w:rsidRPr="003331EF">
        <w:rPr>
          <w:iCs/>
          <w:spacing w:val="-5"/>
          <w:lang w:eastAsia="en-US"/>
        </w:rPr>
        <w:t xml:space="preserve"> väärtus kokku, mis on kajastatud Inspektsioonile eelmise aasta kohta esitatud aruannetes.</w:t>
      </w:r>
    </w:p>
    <w:p w14:paraId="4FCAA232" w14:textId="77777777" w:rsidR="00372D25" w:rsidRPr="003331EF" w:rsidRDefault="00372D25" w:rsidP="003331EF">
      <w:pPr>
        <w:spacing w:before="0"/>
        <w:rPr>
          <w:iCs/>
          <w:spacing w:val="-5"/>
          <w:lang w:eastAsia="en-US"/>
        </w:rPr>
      </w:pPr>
    </w:p>
    <w:p w14:paraId="314931B6" w14:textId="2C747CC6" w:rsidR="001A4507" w:rsidRPr="003331EF" w:rsidRDefault="001A4507" w:rsidP="003331EF">
      <w:pPr>
        <w:spacing w:before="0"/>
      </w:pPr>
      <w:r w:rsidRPr="003331EF">
        <w:rPr>
          <w:b/>
        </w:rPr>
        <w:t>Punktid 1</w:t>
      </w:r>
      <w:r w:rsidR="00FA5CA5" w:rsidRPr="003331EF">
        <w:rPr>
          <w:b/>
        </w:rPr>
        <w:t>0</w:t>
      </w:r>
      <w:r w:rsidRPr="003331EF">
        <w:rPr>
          <w:b/>
        </w:rPr>
        <w:t xml:space="preserve"> ja 1</w:t>
      </w:r>
      <w:r w:rsidR="00FA5CA5" w:rsidRPr="003331EF">
        <w:rPr>
          <w:b/>
        </w:rPr>
        <w:t>1</w:t>
      </w:r>
      <w:r w:rsidR="00F6348B" w:rsidRPr="003331EF">
        <w:rPr>
          <w:b/>
        </w:rPr>
        <w:t>. F</w:t>
      </w:r>
      <w:r w:rsidR="005F7DA3" w:rsidRPr="003331EF">
        <w:rPr>
          <w:b/>
        </w:rPr>
        <w:t>I</w:t>
      </w:r>
      <w:r w:rsidR="00F6348B" w:rsidRPr="003331EF">
        <w:rPr>
          <w:b/>
        </w:rPr>
        <w:t xml:space="preserve">S § </w:t>
      </w:r>
      <w:r w:rsidR="005F7DA3" w:rsidRPr="003331EF">
        <w:rPr>
          <w:b/>
        </w:rPr>
        <w:t>43</w:t>
      </w:r>
      <w:r w:rsidRPr="003331EF">
        <w:rPr>
          <w:bCs/>
        </w:rPr>
        <w:t xml:space="preserve"> </w:t>
      </w:r>
      <w:r w:rsidRPr="003331EF">
        <w:rPr>
          <w:iCs/>
          <w:spacing w:val="-5"/>
          <w:lang w:eastAsia="en-US"/>
        </w:rPr>
        <w:t xml:space="preserve">muudatuste eesmärk on tagada, et välisriigi </w:t>
      </w:r>
      <w:proofErr w:type="spellStart"/>
      <w:r w:rsidRPr="003331EF">
        <w:rPr>
          <w:iCs/>
          <w:spacing w:val="-5"/>
          <w:lang w:eastAsia="en-US"/>
        </w:rPr>
        <w:t>krüptovarateenuse</w:t>
      </w:r>
      <w:proofErr w:type="spellEnd"/>
      <w:r w:rsidRPr="003331EF">
        <w:rPr>
          <w:iCs/>
          <w:spacing w:val="-5"/>
          <w:lang w:eastAsia="en-US"/>
        </w:rPr>
        <w:t xml:space="preserve"> osutaja, </w:t>
      </w:r>
      <w:r w:rsidR="00B90824" w:rsidRPr="003331EF">
        <w:rPr>
          <w:iCs/>
          <w:spacing w:val="-5"/>
          <w:lang w:eastAsia="en-US"/>
        </w:rPr>
        <w:t xml:space="preserve">varapõhise </w:t>
      </w:r>
      <w:proofErr w:type="spellStart"/>
      <w:r w:rsidR="00B90824" w:rsidRPr="003331EF">
        <w:rPr>
          <w:iCs/>
          <w:spacing w:val="-5"/>
          <w:lang w:eastAsia="en-US"/>
        </w:rPr>
        <w:t>tokeni</w:t>
      </w:r>
      <w:proofErr w:type="spellEnd"/>
      <w:r w:rsidR="00B90824" w:rsidRPr="003331EF">
        <w:rPr>
          <w:iCs/>
          <w:spacing w:val="-5"/>
          <w:lang w:eastAsia="en-US"/>
        </w:rPr>
        <w:t xml:space="preserve"> </w:t>
      </w:r>
      <w:r w:rsidRPr="003331EF">
        <w:rPr>
          <w:iCs/>
          <w:spacing w:val="-5"/>
          <w:lang w:eastAsia="en-US"/>
        </w:rPr>
        <w:t xml:space="preserve">emitendi või </w:t>
      </w:r>
      <w:proofErr w:type="spellStart"/>
      <w:r w:rsidRPr="003331EF">
        <w:rPr>
          <w:iCs/>
          <w:spacing w:val="-5"/>
          <w:lang w:eastAsia="en-US"/>
        </w:rPr>
        <w:t>ühisrahastusteenuse</w:t>
      </w:r>
      <w:proofErr w:type="spellEnd"/>
      <w:r w:rsidRPr="003331EF">
        <w:rPr>
          <w:iCs/>
          <w:spacing w:val="-5"/>
          <w:lang w:eastAsia="en-US"/>
        </w:rPr>
        <w:t xml:space="preserve"> osutaja filiaal tasuvad rahastamiskohustuse tekkimisel kalendriaasta esimesel poolaastal järelevalvetasu lõppmakse summas, mis vastab </w:t>
      </w:r>
      <w:proofErr w:type="spellStart"/>
      <w:r w:rsidRPr="003331EF">
        <w:rPr>
          <w:iCs/>
          <w:spacing w:val="-5"/>
          <w:lang w:eastAsia="en-US"/>
        </w:rPr>
        <w:t>krüptovarateenuse</w:t>
      </w:r>
      <w:proofErr w:type="spellEnd"/>
      <w:r w:rsidRPr="003331EF">
        <w:rPr>
          <w:iCs/>
          <w:spacing w:val="-5"/>
          <w:lang w:eastAsia="en-US"/>
        </w:rPr>
        <w:t xml:space="preserve"> osutaja, </w:t>
      </w:r>
      <w:r w:rsidR="00C23204" w:rsidRPr="003331EF">
        <w:rPr>
          <w:iCs/>
          <w:spacing w:val="-5"/>
          <w:lang w:eastAsia="en-US"/>
        </w:rPr>
        <w:t xml:space="preserve">varapõhise </w:t>
      </w:r>
      <w:proofErr w:type="spellStart"/>
      <w:r w:rsidR="00C23204" w:rsidRPr="003331EF">
        <w:rPr>
          <w:iCs/>
          <w:spacing w:val="-5"/>
          <w:lang w:eastAsia="en-US"/>
        </w:rPr>
        <w:t>tokeni</w:t>
      </w:r>
      <w:proofErr w:type="spellEnd"/>
      <w:r w:rsidRPr="003331EF">
        <w:rPr>
          <w:iCs/>
          <w:spacing w:val="-5"/>
          <w:lang w:eastAsia="en-US"/>
        </w:rPr>
        <w:t xml:space="preserve"> emitendi või </w:t>
      </w:r>
      <w:proofErr w:type="spellStart"/>
      <w:r w:rsidRPr="003331EF">
        <w:rPr>
          <w:iCs/>
          <w:spacing w:val="-5"/>
          <w:lang w:eastAsia="en-US"/>
        </w:rPr>
        <w:t>ühisrahastusteenuse</w:t>
      </w:r>
      <w:proofErr w:type="spellEnd"/>
      <w:r w:rsidRPr="003331EF">
        <w:rPr>
          <w:iCs/>
          <w:spacing w:val="-5"/>
          <w:lang w:eastAsia="en-US"/>
        </w:rPr>
        <w:t xml:space="preserve"> osutaja poolt tasutava järelevalvetasu kapitaliosale pooles ulatuses ning rahastamiskohustuse tekkimisel kalendriaasta teisel poolaastal järelevalvetasu lõppmakse summas, mis vastab </w:t>
      </w:r>
      <w:proofErr w:type="spellStart"/>
      <w:r w:rsidRPr="003331EF">
        <w:rPr>
          <w:iCs/>
          <w:spacing w:val="-5"/>
          <w:lang w:eastAsia="en-US"/>
        </w:rPr>
        <w:t>krüptovarateenuse</w:t>
      </w:r>
      <w:proofErr w:type="spellEnd"/>
      <w:r w:rsidRPr="003331EF">
        <w:rPr>
          <w:iCs/>
          <w:spacing w:val="-5"/>
          <w:lang w:eastAsia="en-US"/>
        </w:rPr>
        <w:t xml:space="preserve"> osutaja, </w:t>
      </w:r>
      <w:proofErr w:type="spellStart"/>
      <w:r w:rsidRPr="003331EF">
        <w:rPr>
          <w:iCs/>
          <w:spacing w:val="-5"/>
          <w:lang w:eastAsia="en-US"/>
        </w:rPr>
        <w:t>krüptovara</w:t>
      </w:r>
      <w:proofErr w:type="spellEnd"/>
      <w:r w:rsidRPr="003331EF">
        <w:rPr>
          <w:iCs/>
          <w:spacing w:val="-5"/>
          <w:lang w:eastAsia="en-US"/>
        </w:rPr>
        <w:t xml:space="preserve"> emitendi või </w:t>
      </w:r>
      <w:proofErr w:type="spellStart"/>
      <w:r w:rsidRPr="003331EF">
        <w:rPr>
          <w:iCs/>
          <w:spacing w:val="-5"/>
          <w:lang w:eastAsia="en-US"/>
        </w:rPr>
        <w:t>ühisrahastusteenuse</w:t>
      </w:r>
      <w:proofErr w:type="spellEnd"/>
      <w:r w:rsidRPr="003331EF">
        <w:rPr>
          <w:iCs/>
          <w:spacing w:val="-5"/>
          <w:lang w:eastAsia="en-US"/>
        </w:rPr>
        <w:t xml:space="preserve"> osutaja poolt tasutava järelevalvetasu kapitaliosale veerandi ulatuses.</w:t>
      </w:r>
    </w:p>
    <w:p w14:paraId="6004E649" w14:textId="77777777" w:rsidR="001A4507" w:rsidRPr="003331EF" w:rsidRDefault="001A4507" w:rsidP="003331EF">
      <w:pPr>
        <w:spacing w:before="0"/>
        <w:rPr>
          <w:i/>
          <w:iCs/>
        </w:rPr>
      </w:pPr>
    </w:p>
    <w:p w14:paraId="37037030" w14:textId="2BF66C8A" w:rsidR="001A4507" w:rsidRPr="003331EF" w:rsidRDefault="001A4507" w:rsidP="003331EF">
      <w:pPr>
        <w:spacing w:before="0"/>
      </w:pPr>
      <w:r w:rsidRPr="003331EF">
        <w:rPr>
          <w:b/>
          <w:bCs/>
        </w:rPr>
        <w:t>Punktid 1</w:t>
      </w:r>
      <w:r w:rsidR="00FA5CA5" w:rsidRPr="003331EF">
        <w:rPr>
          <w:b/>
          <w:bCs/>
        </w:rPr>
        <w:t>2</w:t>
      </w:r>
      <w:r w:rsidR="00D93118" w:rsidRPr="003331EF">
        <w:rPr>
          <w:b/>
          <w:bCs/>
        </w:rPr>
        <w:t>,</w:t>
      </w:r>
      <w:r w:rsidRPr="003331EF">
        <w:rPr>
          <w:b/>
          <w:bCs/>
        </w:rPr>
        <w:t xml:space="preserve"> 1</w:t>
      </w:r>
      <w:r w:rsidR="00FA5CA5" w:rsidRPr="003331EF">
        <w:rPr>
          <w:b/>
          <w:bCs/>
        </w:rPr>
        <w:t>3</w:t>
      </w:r>
      <w:r w:rsidR="00D93118" w:rsidRPr="003331EF">
        <w:rPr>
          <w:b/>
          <w:bCs/>
        </w:rPr>
        <w:t xml:space="preserve"> ja 1</w:t>
      </w:r>
      <w:r w:rsidR="007E6E59" w:rsidRPr="003331EF">
        <w:rPr>
          <w:b/>
          <w:bCs/>
        </w:rPr>
        <w:t>4</w:t>
      </w:r>
      <w:r w:rsidRPr="003331EF">
        <w:t xml:space="preserve">. </w:t>
      </w:r>
      <w:r w:rsidR="005F7DA3" w:rsidRPr="003331EF">
        <w:rPr>
          <w:b/>
          <w:bCs/>
        </w:rPr>
        <w:t>FIS §-de 45</w:t>
      </w:r>
      <w:r w:rsidR="005F7DA3" w:rsidRPr="003331EF">
        <w:rPr>
          <w:b/>
          <w:bCs/>
          <w:vertAlign w:val="superscript"/>
        </w:rPr>
        <w:t>3</w:t>
      </w:r>
      <w:r w:rsidR="005F7DA3" w:rsidRPr="003331EF">
        <w:rPr>
          <w:b/>
          <w:bCs/>
        </w:rPr>
        <w:t xml:space="preserve"> ja 45</w:t>
      </w:r>
      <w:r w:rsidR="005F7DA3" w:rsidRPr="003331EF">
        <w:rPr>
          <w:b/>
          <w:bCs/>
          <w:vertAlign w:val="superscript"/>
        </w:rPr>
        <w:t xml:space="preserve">4 </w:t>
      </w:r>
      <w:r w:rsidR="005F7DA3" w:rsidRPr="003331EF">
        <w:rPr>
          <w:b/>
          <w:bCs/>
        </w:rPr>
        <w:t xml:space="preserve">muutmine. </w:t>
      </w:r>
      <w:r w:rsidRPr="003331EF">
        <w:rPr>
          <w:iCs/>
          <w:spacing w:val="-5"/>
          <w:lang w:eastAsia="en-US"/>
        </w:rPr>
        <w:t>Menetlustasude kindlaks määramisel on lähtutud põhimõttest, et nn esmased tegevusload seotakse kõrgema tasuga kui täiendavad tegevusload ja muud üksikute tegevuste loa- või registreerimismenetlused. Lisaks eesmärgile katta tasu arvelt vastava konkreetse toimingu ligikaudne kulu, on muu hulgas lähtutud ka nn ekvivalendiprintsiibist ehk on arvestatud toimingu eesmärki ja tähendust taotleja jaoks. Eelnõuga tõstetakse kõikide finantsjärelevalve subjektide esmase tegevusloa taotlemise ja täiendava tegevusloa taotlemise tasusid. Seda eelkõige põhjusel, et hetkel kehtivate tegevuslubade menetlustasude tasemed pärinevad aastast 2005. a. ja neid ei ole vahepealse aja jooksul muudetud.</w:t>
      </w:r>
      <w:r w:rsidRPr="003331EF">
        <w:t xml:space="preserve"> </w:t>
      </w:r>
    </w:p>
    <w:p w14:paraId="19F3A9F9" w14:textId="77777777" w:rsidR="001A4507" w:rsidRPr="003331EF" w:rsidRDefault="001A4507" w:rsidP="003331EF">
      <w:pPr>
        <w:spacing w:before="0"/>
        <w:rPr>
          <w:i/>
          <w:iCs/>
        </w:rPr>
      </w:pPr>
    </w:p>
    <w:p w14:paraId="33CC6257" w14:textId="7CA560BB" w:rsidR="001A4507" w:rsidRPr="003331EF" w:rsidRDefault="001A4507" w:rsidP="003331EF">
      <w:pPr>
        <w:spacing w:before="0"/>
        <w:rPr>
          <w:iCs/>
          <w:spacing w:val="-5"/>
          <w:lang w:eastAsia="en-US"/>
        </w:rPr>
      </w:pPr>
      <w:r w:rsidRPr="003331EF">
        <w:rPr>
          <w:iCs/>
          <w:spacing w:val="-5"/>
          <w:lang w:eastAsia="en-US"/>
        </w:rPr>
        <w:t>Krediidiasutuse tegevusloa, samuti riigis, mis ei ole Euroopa Majanduspiirkonna lepinguriik (kolmas riik), registreeritud krediidiasutuse filiaali asutamiseks Eestis loa taotlemisel tuleb edaspidi tasuda esmast menetlustasu 5000 eurot. Ülejäänud finantsjärelevalve subjektide puhul tõuseb menetlustasu 3000 eurole. Krediidiasutuse tegevusloa taotlemise menetlustasu on võrreldes teiste järelevalvesubjektidega ka täna kõrgem (hetkel on see 1500 eurot võrreldes teiste subjektidega, kelle tegevusloa menetlustasu on täna 1000 eurot). Krediidiasutus on põhimõtteliselt kõige rangemalt reguleeritud ja samas ka finantsstabiilsuse seisukohalt kõige olulisem subjekt ning seepärast on põhjendatud, et sellise isiku puhul on tegevusloa taotlemise menetlustasu üksjagu kõrgem kui teistel.</w:t>
      </w:r>
    </w:p>
    <w:p w14:paraId="42E575E0" w14:textId="77777777" w:rsidR="001A4507" w:rsidRPr="003331EF" w:rsidRDefault="001A4507" w:rsidP="003331EF">
      <w:pPr>
        <w:pStyle w:val="Pealkiri30"/>
        <w:shd w:val="clear" w:color="auto" w:fill="FFFFFF"/>
        <w:spacing w:before="0"/>
        <w:jc w:val="both"/>
        <w:rPr>
          <w:rFonts w:eastAsia="Times New Roman"/>
          <w:b w:val="0"/>
          <w:bCs w:val="0"/>
          <w:color w:val="auto"/>
          <w:lang w:val="et-EE" w:eastAsia="et-EE"/>
        </w:rPr>
      </w:pPr>
    </w:p>
    <w:p w14:paraId="77E7FD25" w14:textId="77777777" w:rsidR="001A4507" w:rsidRPr="003331EF" w:rsidRDefault="001A4507" w:rsidP="003331EF">
      <w:pPr>
        <w:pStyle w:val="Pealkiri30"/>
        <w:shd w:val="clear" w:color="auto" w:fill="FFFFFF"/>
        <w:spacing w:before="0"/>
        <w:jc w:val="both"/>
        <w:rPr>
          <w:rFonts w:eastAsia="Times New Roman"/>
          <w:b w:val="0"/>
          <w:bCs w:val="0"/>
          <w:iCs/>
          <w:color w:val="auto"/>
          <w:spacing w:val="-5"/>
          <w:lang w:val="et-EE"/>
        </w:rPr>
      </w:pPr>
      <w:r w:rsidRPr="003331EF">
        <w:rPr>
          <w:rFonts w:eastAsia="Times New Roman"/>
          <w:b w:val="0"/>
          <w:bCs w:val="0"/>
          <w:iCs/>
          <w:color w:val="auto"/>
          <w:spacing w:val="-5"/>
          <w:lang w:val="et-EE"/>
        </w:rPr>
        <w:t>Täiendava tegevusloa taotlemise, olemasolevate teenuste ringi laiendamisel või makseteenuste pakkujatele tehtava erandi kohaldamise lõpetamise korral on tasu senise 500 euro asemel 1500 eurot.</w:t>
      </w:r>
    </w:p>
    <w:p w14:paraId="19E76E6D" w14:textId="77777777" w:rsidR="001A4507" w:rsidRPr="003331EF" w:rsidRDefault="001A4507" w:rsidP="003331EF">
      <w:pPr>
        <w:spacing w:before="0"/>
        <w:rPr>
          <w:b/>
          <w:i/>
          <w:iCs/>
        </w:rPr>
      </w:pPr>
    </w:p>
    <w:p w14:paraId="77634BAA" w14:textId="77777777" w:rsidR="00C23204" w:rsidRPr="003331EF" w:rsidRDefault="001A4507" w:rsidP="003331EF">
      <w:pPr>
        <w:spacing w:before="0"/>
        <w:rPr>
          <w:iCs/>
          <w:spacing w:val="-5"/>
          <w:lang w:eastAsia="en-US"/>
        </w:rPr>
      </w:pPr>
      <w:r w:rsidRPr="003331EF">
        <w:rPr>
          <w:b/>
        </w:rPr>
        <w:t xml:space="preserve">Punktiga 15 </w:t>
      </w:r>
      <w:r w:rsidRPr="003331EF">
        <w:rPr>
          <w:b/>
          <w:bCs/>
          <w:iCs/>
          <w:spacing w:val="-5"/>
          <w:lang w:eastAsia="en-US"/>
        </w:rPr>
        <w:t>muudetakse FIS §-i 45</w:t>
      </w:r>
      <w:r w:rsidRPr="003331EF">
        <w:rPr>
          <w:b/>
          <w:bCs/>
          <w:iCs/>
          <w:spacing w:val="-5"/>
          <w:vertAlign w:val="superscript"/>
          <w:lang w:eastAsia="en-US"/>
        </w:rPr>
        <w:t>5</w:t>
      </w:r>
      <w:r w:rsidRPr="003331EF">
        <w:rPr>
          <w:iCs/>
          <w:spacing w:val="-5"/>
          <w:lang w:eastAsia="en-US"/>
        </w:rPr>
        <w:t xml:space="preserve">. </w:t>
      </w:r>
    </w:p>
    <w:p w14:paraId="2B0F8E3A" w14:textId="77777777" w:rsidR="00C23204" w:rsidRPr="003331EF" w:rsidRDefault="00C23204" w:rsidP="003331EF">
      <w:pPr>
        <w:spacing w:before="0"/>
        <w:rPr>
          <w:iCs/>
          <w:spacing w:val="-5"/>
          <w:lang w:eastAsia="en-US"/>
        </w:rPr>
      </w:pPr>
    </w:p>
    <w:p w14:paraId="35EFF569" w14:textId="60D1A1FA" w:rsidR="00C23204" w:rsidRPr="003331EF" w:rsidRDefault="00C23204" w:rsidP="003331EF">
      <w:pPr>
        <w:spacing w:before="0"/>
        <w:rPr>
          <w:iCs/>
          <w:spacing w:val="-5"/>
          <w:lang w:eastAsia="en-US"/>
        </w:rPr>
      </w:pPr>
      <w:r w:rsidRPr="003331EF">
        <w:rPr>
          <w:b/>
          <w:bCs/>
          <w:iCs/>
          <w:spacing w:val="-5"/>
          <w:lang w:eastAsia="en-US"/>
        </w:rPr>
        <w:t>Lõige 1.</w:t>
      </w:r>
      <w:r w:rsidRPr="003331EF">
        <w:rPr>
          <w:iCs/>
          <w:spacing w:val="-5"/>
          <w:lang w:eastAsia="en-US"/>
        </w:rPr>
        <w:t xml:space="preserve"> Eelnõuga </w:t>
      </w:r>
      <w:proofErr w:type="spellStart"/>
      <w:r w:rsidRPr="003331EF">
        <w:rPr>
          <w:iCs/>
          <w:spacing w:val="-5"/>
          <w:lang w:eastAsia="en-US"/>
        </w:rPr>
        <w:t>tõstatakse</w:t>
      </w:r>
      <w:proofErr w:type="spellEnd"/>
      <w:r w:rsidRPr="003331EF">
        <w:rPr>
          <w:iCs/>
          <w:spacing w:val="-5"/>
          <w:lang w:eastAsia="en-US"/>
        </w:rPr>
        <w:t xml:space="preserve"> prospekti kinnitamise taotlemise tasu 600 eurolt 2000 eurole ning prospekti lisa kinnitamise taotlemise tasu 200 eurolt 1000 eurole.</w:t>
      </w:r>
    </w:p>
    <w:p w14:paraId="603F6A56" w14:textId="77777777" w:rsidR="00C23204" w:rsidRPr="003331EF" w:rsidRDefault="00C23204" w:rsidP="003331EF">
      <w:pPr>
        <w:spacing w:before="0"/>
        <w:rPr>
          <w:b/>
          <w:bCs/>
          <w:iCs/>
          <w:spacing w:val="-5"/>
          <w:lang w:eastAsia="en-US"/>
        </w:rPr>
      </w:pPr>
    </w:p>
    <w:p w14:paraId="5E841A59" w14:textId="78F04E12" w:rsidR="001A4507" w:rsidRPr="003331EF" w:rsidRDefault="00C23204" w:rsidP="003331EF">
      <w:pPr>
        <w:spacing w:before="0"/>
      </w:pPr>
      <w:r w:rsidRPr="003331EF">
        <w:rPr>
          <w:b/>
          <w:bCs/>
          <w:iCs/>
          <w:spacing w:val="-5"/>
          <w:lang w:eastAsia="en-US"/>
        </w:rPr>
        <w:t>Lõige 2.</w:t>
      </w:r>
      <w:r w:rsidRPr="003331EF">
        <w:rPr>
          <w:iCs/>
          <w:spacing w:val="-5"/>
          <w:lang w:eastAsia="en-US"/>
        </w:rPr>
        <w:t xml:space="preserve"> </w:t>
      </w:r>
      <w:r w:rsidR="001A4507" w:rsidRPr="003331EF">
        <w:rPr>
          <w:iCs/>
          <w:spacing w:val="-5"/>
          <w:lang w:eastAsia="en-US"/>
        </w:rPr>
        <w:t xml:space="preserve">Uue lõikega nähakse ette, et kui </w:t>
      </w:r>
      <w:r w:rsidR="00B90824" w:rsidRPr="003331EF">
        <w:rPr>
          <w:iCs/>
          <w:spacing w:val="-5"/>
          <w:lang w:eastAsia="en-US"/>
        </w:rPr>
        <w:t xml:space="preserve">varapõhise </w:t>
      </w:r>
      <w:proofErr w:type="spellStart"/>
      <w:r w:rsidR="00B90824" w:rsidRPr="003331EF">
        <w:rPr>
          <w:iCs/>
          <w:spacing w:val="-5"/>
          <w:lang w:eastAsia="en-US"/>
        </w:rPr>
        <w:t>tokeni</w:t>
      </w:r>
      <w:proofErr w:type="spellEnd"/>
      <w:r w:rsidR="001A4507" w:rsidRPr="003331EF">
        <w:rPr>
          <w:iCs/>
          <w:spacing w:val="-5"/>
          <w:lang w:eastAsia="en-US"/>
        </w:rPr>
        <w:t xml:space="preserve"> emitendiks on krediidiasutus, siis ta peab valge raamatu </w:t>
      </w:r>
      <w:r w:rsidR="00977468" w:rsidRPr="003331EF">
        <w:rPr>
          <w:iCs/>
          <w:spacing w:val="-5"/>
          <w:lang w:eastAsia="en-US"/>
        </w:rPr>
        <w:t xml:space="preserve">heakskiitmise taotlemisel </w:t>
      </w:r>
      <w:r w:rsidR="001A4507" w:rsidRPr="003331EF">
        <w:rPr>
          <w:iCs/>
          <w:spacing w:val="-5"/>
          <w:lang w:eastAsia="en-US"/>
        </w:rPr>
        <w:t xml:space="preserve">tasuma 2000 eurot. Vastav tasu on ettenähtud vaid krediidiasutusele, kuna </w:t>
      </w:r>
      <w:proofErr w:type="spellStart"/>
      <w:r w:rsidR="001A4507" w:rsidRPr="003331EF">
        <w:rPr>
          <w:iCs/>
          <w:spacing w:val="-5"/>
          <w:lang w:eastAsia="en-US"/>
        </w:rPr>
        <w:t>M</w:t>
      </w:r>
      <w:r w:rsidRPr="003331EF">
        <w:rPr>
          <w:iCs/>
          <w:spacing w:val="-5"/>
          <w:lang w:eastAsia="en-US"/>
        </w:rPr>
        <w:t>i</w:t>
      </w:r>
      <w:r w:rsidR="001A4507" w:rsidRPr="003331EF">
        <w:rPr>
          <w:iCs/>
          <w:spacing w:val="-5"/>
          <w:lang w:eastAsia="en-US"/>
        </w:rPr>
        <w:t>CA</w:t>
      </w:r>
      <w:proofErr w:type="spellEnd"/>
      <w:r w:rsidR="001A4507" w:rsidRPr="003331EF">
        <w:rPr>
          <w:iCs/>
          <w:spacing w:val="-5"/>
          <w:lang w:eastAsia="en-US"/>
        </w:rPr>
        <w:t xml:space="preserve"> määruse artikli 21 lõike 1 kohaselt loetakse </w:t>
      </w:r>
      <w:r w:rsidRPr="003331EF">
        <w:rPr>
          <w:iCs/>
          <w:spacing w:val="-5"/>
          <w:lang w:eastAsia="en-US"/>
        </w:rPr>
        <w:t xml:space="preserve">muu </w:t>
      </w:r>
      <w:r w:rsidR="001A4507" w:rsidRPr="003331EF">
        <w:rPr>
          <w:iCs/>
          <w:spacing w:val="-5"/>
          <w:lang w:eastAsia="en-US"/>
        </w:rPr>
        <w:t xml:space="preserve">varapõhise </w:t>
      </w:r>
      <w:proofErr w:type="spellStart"/>
      <w:r w:rsidR="001A4507" w:rsidRPr="003331EF">
        <w:rPr>
          <w:iCs/>
          <w:spacing w:val="-5"/>
          <w:lang w:eastAsia="en-US"/>
        </w:rPr>
        <w:t>tokeni</w:t>
      </w:r>
      <w:proofErr w:type="spellEnd"/>
      <w:r w:rsidR="001A4507" w:rsidRPr="003331EF">
        <w:rPr>
          <w:iCs/>
          <w:spacing w:val="-5"/>
          <w:lang w:eastAsia="en-US"/>
        </w:rPr>
        <w:t xml:space="preserve"> emitendi </w:t>
      </w:r>
      <w:proofErr w:type="spellStart"/>
      <w:r w:rsidR="001A4507" w:rsidRPr="003331EF">
        <w:rPr>
          <w:iCs/>
          <w:spacing w:val="-5"/>
          <w:lang w:eastAsia="en-US"/>
        </w:rPr>
        <w:t>krüptovara</w:t>
      </w:r>
      <w:proofErr w:type="spellEnd"/>
      <w:r w:rsidR="001A4507" w:rsidRPr="003331EF">
        <w:rPr>
          <w:iCs/>
          <w:spacing w:val="-5"/>
          <w:lang w:eastAsia="en-US"/>
        </w:rPr>
        <w:t xml:space="preserve"> valge raamat heakskiidetuks koos tegevusloa saamisega, kuid kuna krediidiasutus </w:t>
      </w:r>
      <w:r w:rsidR="00B90824" w:rsidRPr="003331EF">
        <w:rPr>
          <w:iCs/>
          <w:spacing w:val="-5"/>
          <w:lang w:eastAsia="en-US"/>
        </w:rPr>
        <w:t xml:space="preserve">varapõhise </w:t>
      </w:r>
      <w:proofErr w:type="spellStart"/>
      <w:r w:rsidR="00B90824" w:rsidRPr="003331EF">
        <w:rPr>
          <w:iCs/>
          <w:spacing w:val="-5"/>
          <w:lang w:eastAsia="en-US"/>
        </w:rPr>
        <w:t>tokeni</w:t>
      </w:r>
      <w:proofErr w:type="spellEnd"/>
      <w:r w:rsidR="001A4507" w:rsidRPr="003331EF">
        <w:rPr>
          <w:iCs/>
          <w:spacing w:val="-5"/>
          <w:lang w:eastAsia="en-US"/>
        </w:rPr>
        <w:t xml:space="preserve"> emitendi tegevusluba eraldi taotlema ei pea, siis tema puhul on ettenähtud eraldi menetlustasu valge raamatu heakskiitmiseks. E-raha </w:t>
      </w:r>
      <w:proofErr w:type="spellStart"/>
      <w:r w:rsidR="001A4507" w:rsidRPr="003331EF">
        <w:rPr>
          <w:iCs/>
          <w:spacing w:val="-5"/>
          <w:lang w:eastAsia="en-US"/>
        </w:rPr>
        <w:t>tokenite</w:t>
      </w:r>
      <w:proofErr w:type="spellEnd"/>
      <w:r w:rsidR="001A4507" w:rsidRPr="003331EF">
        <w:rPr>
          <w:iCs/>
          <w:spacing w:val="-5"/>
          <w:lang w:eastAsia="en-US"/>
        </w:rPr>
        <w:t xml:space="preserve"> </w:t>
      </w:r>
      <w:proofErr w:type="spellStart"/>
      <w:r w:rsidR="001A4507" w:rsidRPr="003331EF">
        <w:rPr>
          <w:iCs/>
          <w:spacing w:val="-5"/>
          <w:lang w:eastAsia="en-US"/>
        </w:rPr>
        <w:t>krüptovara</w:t>
      </w:r>
      <w:proofErr w:type="spellEnd"/>
      <w:r w:rsidR="001A4507" w:rsidRPr="003331EF">
        <w:rPr>
          <w:iCs/>
          <w:spacing w:val="-5"/>
          <w:lang w:eastAsia="en-US"/>
        </w:rPr>
        <w:t xml:space="preserve"> valget raamatut ei ole vaja eelnevalt Finantsinspektsiooni juures kinnitada. </w:t>
      </w:r>
    </w:p>
    <w:p w14:paraId="0CF39E81" w14:textId="77777777" w:rsidR="001A4507" w:rsidRPr="003331EF" w:rsidRDefault="001A4507" w:rsidP="003331EF">
      <w:pPr>
        <w:spacing w:before="0"/>
        <w:rPr>
          <w:iCs/>
          <w:spacing w:val="-5"/>
          <w:lang w:eastAsia="en-US"/>
        </w:rPr>
      </w:pPr>
    </w:p>
    <w:p w14:paraId="791469FD" w14:textId="58CF45F1" w:rsidR="001A4507" w:rsidRPr="003331EF" w:rsidRDefault="001A4507" w:rsidP="003331EF">
      <w:pPr>
        <w:spacing w:before="0"/>
        <w:rPr>
          <w:iCs/>
          <w:spacing w:val="-5"/>
          <w:lang w:eastAsia="en-US"/>
        </w:rPr>
      </w:pPr>
      <w:r w:rsidRPr="003331EF">
        <w:rPr>
          <w:iCs/>
          <w:spacing w:val="-5"/>
          <w:lang w:eastAsia="en-US"/>
        </w:rPr>
        <w:t xml:space="preserve">Valge raamatu uue versiooni </w:t>
      </w:r>
      <w:r w:rsidR="00977468" w:rsidRPr="003331EF">
        <w:rPr>
          <w:iCs/>
          <w:spacing w:val="-5"/>
          <w:lang w:eastAsia="en-US"/>
        </w:rPr>
        <w:t xml:space="preserve">heakskiitmise </w:t>
      </w:r>
      <w:r w:rsidRPr="003331EF">
        <w:rPr>
          <w:iCs/>
          <w:spacing w:val="-5"/>
          <w:lang w:eastAsia="en-US"/>
        </w:rPr>
        <w:t>taotlemisel tuleb tasuda 1000 eurot. See kohaldub nii tegevusloa saanud emitendile kui ka krediidiasutusele.</w:t>
      </w:r>
    </w:p>
    <w:p w14:paraId="1F3318C8" w14:textId="77777777" w:rsidR="001A4507" w:rsidRPr="003331EF" w:rsidRDefault="001A4507" w:rsidP="003331EF">
      <w:pPr>
        <w:spacing w:before="0"/>
        <w:rPr>
          <w:iCs/>
          <w:spacing w:val="-5"/>
          <w:lang w:eastAsia="en-US"/>
        </w:rPr>
      </w:pPr>
    </w:p>
    <w:p w14:paraId="3214F9BB" w14:textId="0900002F" w:rsidR="00B90824" w:rsidRPr="003331EF" w:rsidRDefault="00C23204" w:rsidP="003331EF">
      <w:pPr>
        <w:spacing w:before="0"/>
        <w:rPr>
          <w:iCs/>
          <w:spacing w:val="-5"/>
          <w:lang w:eastAsia="en-US"/>
        </w:rPr>
      </w:pPr>
      <w:r w:rsidRPr="003331EF">
        <w:rPr>
          <w:b/>
          <w:bCs/>
          <w:iCs/>
          <w:spacing w:val="-5"/>
          <w:lang w:eastAsia="en-US"/>
        </w:rPr>
        <w:t>Lõige 3.</w:t>
      </w:r>
      <w:r w:rsidRPr="003331EF">
        <w:rPr>
          <w:iCs/>
          <w:spacing w:val="-5"/>
          <w:lang w:eastAsia="en-US"/>
        </w:rPr>
        <w:t xml:space="preserve"> </w:t>
      </w:r>
      <w:r w:rsidR="00B90824" w:rsidRPr="003331EF">
        <w:rPr>
          <w:iCs/>
          <w:spacing w:val="-5"/>
          <w:lang w:eastAsia="en-US"/>
        </w:rPr>
        <w:t xml:space="preserve">Kuigi muu </w:t>
      </w:r>
      <w:proofErr w:type="spellStart"/>
      <w:r w:rsidR="00B90824" w:rsidRPr="003331EF">
        <w:rPr>
          <w:iCs/>
          <w:spacing w:val="-5"/>
          <w:lang w:eastAsia="en-US"/>
        </w:rPr>
        <w:t>krüptovara</w:t>
      </w:r>
      <w:proofErr w:type="spellEnd"/>
      <w:r w:rsidR="00B90824" w:rsidRPr="003331EF">
        <w:rPr>
          <w:iCs/>
          <w:spacing w:val="-5"/>
          <w:lang w:eastAsia="en-US"/>
        </w:rPr>
        <w:t xml:space="preserve"> kui varapõhise </w:t>
      </w:r>
      <w:proofErr w:type="spellStart"/>
      <w:r w:rsidR="00B90824" w:rsidRPr="003331EF">
        <w:rPr>
          <w:iCs/>
          <w:spacing w:val="-5"/>
          <w:lang w:eastAsia="en-US"/>
        </w:rPr>
        <w:t>tokeni</w:t>
      </w:r>
      <w:proofErr w:type="spellEnd"/>
      <w:r w:rsidR="00B90824" w:rsidRPr="003331EF">
        <w:rPr>
          <w:iCs/>
          <w:spacing w:val="-5"/>
          <w:lang w:eastAsia="en-US"/>
        </w:rPr>
        <w:t xml:space="preserve"> või e-</w:t>
      </w:r>
      <w:proofErr w:type="spellStart"/>
      <w:r w:rsidR="00B90824" w:rsidRPr="003331EF">
        <w:rPr>
          <w:iCs/>
          <w:spacing w:val="-5"/>
          <w:lang w:eastAsia="en-US"/>
        </w:rPr>
        <w:t>tokeni</w:t>
      </w:r>
      <w:proofErr w:type="spellEnd"/>
      <w:r w:rsidR="00B90824" w:rsidRPr="003331EF">
        <w:rPr>
          <w:iCs/>
          <w:spacing w:val="-5"/>
          <w:lang w:eastAsia="en-US"/>
        </w:rPr>
        <w:t xml:space="preserve"> valge raamatu puhul </w:t>
      </w:r>
      <w:r w:rsidR="00723249" w:rsidRPr="003331EF">
        <w:rPr>
          <w:iCs/>
          <w:spacing w:val="-5"/>
          <w:lang w:eastAsia="en-US"/>
        </w:rPr>
        <w:t xml:space="preserve">on </w:t>
      </w:r>
      <w:proofErr w:type="spellStart"/>
      <w:r w:rsidR="00B90824" w:rsidRPr="003331EF">
        <w:rPr>
          <w:iCs/>
          <w:spacing w:val="-5"/>
          <w:lang w:eastAsia="en-US"/>
        </w:rPr>
        <w:t>M</w:t>
      </w:r>
      <w:r w:rsidR="00723249" w:rsidRPr="003331EF">
        <w:rPr>
          <w:iCs/>
          <w:spacing w:val="-5"/>
          <w:lang w:eastAsia="en-US"/>
        </w:rPr>
        <w:t>i</w:t>
      </w:r>
      <w:r w:rsidR="00B90824" w:rsidRPr="003331EF">
        <w:rPr>
          <w:iCs/>
          <w:spacing w:val="-5"/>
          <w:lang w:eastAsia="en-US"/>
        </w:rPr>
        <w:t>CA</w:t>
      </w:r>
      <w:proofErr w:type="spellEnd"/>
      <w:r w:rsidR="00B90824" w:rsidRPr="003331EF">
        <w:rPr>
          <w:iCs/>
          <w:spacing w:val="-5"/>
          <w:lang w:eastAsia="en-US"/>
        </w:rPr>
        <w:t xml:space="preserve"> </w:t>
      </w:r>
      <w:r w:rsidR="00723249" w:rsidRPr="003331EF">
        <w:rPr>
          <w:iCs/>
          <w:spacing w:val="-5"/>
          <w:lang w:eastAsia="en-US"/>
        </w:rPr>
        <w:t xml:space="preserve">määruse </w:t>
      </w:r>
      <w:r w:rsidR="00B90824" w:rsidRPr="003331EF">
        <w:rPr>
          <w:iCs/>
          <w:spacing w:val="-5"/>
          <w:lang w:eastAsia="en-US"/>
        </w:rPr>
        <w:t xml:space="preserve">artikli 8 lõikes 3 kirjas, et pädevad asutused ei nõua </w:t>
      </w:r>
      <w:proofErr w:type="spellStart"/>
      <w:r w:rsidR="00B90824" w:rsidRPr="003331EF">
        <w:rPr>
          <w:iCs/>
          <w:spacing w:val="-5"/>
          <w:lang w:eastAsia="en-US"/>
        </w:rPr>
        <w:t>krüptovara</w:t>
      </w:r>
      <w:proofErr w:type="spellEnd"/>
      <w:r w:rsidR="00B90824" w:rsidRPr="003331EF">
        <w:rPr>
          <w:iCs/>
          <w:spacing w:val="-5"/>
          <w:lang w:eastAsia="en-US"/>
        </w:rPr>
        <w:t xml:space="preserve"> valge raamatu eelnevat heakskiitmist enne nende avaldamist, peab Finantsinspektsioon siiski läbi viima teatud toimingud</w:t>
      </w:r>
      <w:r w:rsidR="00723249" w:rsidRPr="003331EF">
        <w:rPr>
          <w:iCs/>
          <w:spacing w:val="-5"/>
          <w:lang w:eastAsia="en-US"/>
        </w:rPr>
        <w:t xml:space="preserve"> </w:t>
      </w:r>
      <w:r w:rsidR="00D5076E" w:rsidRPr="003331EF">
        <w:rPr>
          <w:iCs/>
          <w:spacing w:val="-5"/>
          <w:lang w:eastAsia="en-US"/>
        </w:rPr>
        <w:t>(s</w:t>
      </w:r>
      <w:r w:rsidR="00BE33F2">
        <w:rPr>
          <w:iCs/>
          <w:spacing w:val="-5"/>
          <w:lang w:eastAsia="en-US"/>
        </w:rPr>
        <w:t>h</w:t>
      </w:r>
      <w:r w:rsidR="00D5076E" w:rsidRPr="003331EF">
        <w:rPr>
          <w:iCs/>
          <w:spacing w:val="-5"/>
          <w:lang w:eastAsia="en-US"/>
        </w:rPr>
        <w:t xml:space="preserve"> vastuvõtvate liikmesriikide ühtsete kontaktpunktide ja ESMA teavitamine) </w:t>
      </w:r>
      <w:r w:rsidR="00723249" w:rsidRPr="003331EF">
        <w:rPr>
          <w:iCs/>
          <w:spacing w:val="-5"/>
          <w:lang w:eastAsia="en-US"/>
        </w:rPr>
        <w:t xml:space="preserve">ning kuna muu </w:t>
      </w:r>
      <w:proofErr w:type="spellStart"/>
      <w:r w:rsidR="00723249" w:rsidRPr="003331EF">
        <w:rPr>
          <w:iCs/>
          <w:spacing w:val="-5"/>
          <w:lang w:eastAsia="en-US"/>
        </w:rPr>
        <w:t>krüptovara</w:t>
      </w:r>
      <w:proofErr w:type="spellEnd"/>
      <w:r w:rsidR="00723249" w:rsidRPr="003331EF">
        <w:rPr>
          <w:iCs/>
          <w:spacing w:val="-5"/>
          <w:lang w:eastAsia="en-US"/>
        </w:rPr>
        <w:t xml:space="preserve"> pakkuja ja kauplemisele võtmist taotleva isik</w:t>
      </w:r>
      <w:r w:rsidR="00D5076E" w:rsidRPr="003331EF">
        <w:rPr>
          <w:iCs/>
          <w:spacing w:val="-5"/>
          <w:lang w:eastAsia="en-US"/>
        </w:rPr>
        <w:t xml:space="preserve"> ei tasu</w:t>
      </w:r>
      <w:r w:rsidR="00723249" w:rsidRPr="003331EF">
        <w:rPr>
          <w:iCs/>
          <w:spacing w:val="-5"/>
          <w:lang w:eastAsia="en-US"/>
        </w:rPr>
        <w:t xml:space="preserve"> järelevalvetasu, peavad nad </w:t>
      </w:r>
      <w:proofErr w:type="spellStart"/>
      <w:r w:rsidR="00D5076E" w:rsidRPr="003331EF">
        <w:rPr>
          <w:iCs/>
          <w:spacing w:val="-5"/>
          <w:lang w:eastAsia="en-US"/>
        </w:rPr>
        <w:t>Finantsinspekstioonile</w:t>
      </w:r>
      <w:proofErr w:type="spellEnd"/>
      <w:r w:rsidR="00D5076E" w:rsidRPr="003331EF">
        <w:rPr>
          <w:iCs/>
          <w:spacing w:val="-5"/>
          <w:lang w:eastAsia="en-US"/>
        </w:rPr>
        <w:t xml:space="preserve"> </w:t>
      </w:r>
      <w:r w:rsidR="00723249" w:rsidRPr="003331EF">
        <w:rPr>
          <w:iCs/>
          <w:spacing w:val="-5"/>
          <w:lang w:eastAsia="en-US"/>
        </w:rPr>
        <w:t xml:space="preserve">valge raamatu esitamisel tasuma ühekorda summa </w:t>
      </w:r>
      <w:r w:rsidRPr="003331EF">
        <w:rPr>
          <w:iCs/>
          <w:spacing w:val="-5"/>
          <w:lang w:eastAsia="en-US"/>
        </w:rPr>
        <w:t>1000</w:t>
      </w:r>
      <w:r w:rsidR="00723249" w:rsidRPr="003331EF">
        <w:rPr>
          <w:iCs/>
          <w:spacing w:val="-5"/>
          <w:lang w:eastAsia="en-US"/>
        </w:rPr>
        <w:t xml:space="preserve"> eurot.</w:t>
      </w:r>
    </w:p>
    <w:p w14:paraId="461C010A" w14:textId="77777777" w:rsidR="00C23204" w:rsidRPr="003331EF" w:rsidRDefault="00C23204" w:rsidP="003331EF">
      <w:pPr>
        <w:spacing w:before="0"/>
        <w:rPr>
          <w:iCs/>
          <w:spacing w:val="-5"/>
          <w:lang w:eastAsia="en-US"/>
        </w:rPr>
      </w:pPr>
    </w:p>
    <w:p w14:paraId="06A16484" w14:textId="1F2B3EC7" w:rsidR="00C23204" w:rsidRPr="003331EF" w:rsidRDefault="00C23204" w:rsidP="003331EF">
      <w:pPr>
        <w:spacing w:before="0"/>
        <w:rPr>
          <w:iCs/>
          <w:spacing w:val="-5"/>
          <w:lang w:eastAsia="en-US"/>
        </w:rPr>
      </w:pPr>
      <w:r w:rsidRPr="003331EF">
        <w:rPr>
          <w:iCs/>
          <w:spacing w:val="-5"/>
          <w:lang w:eastAsia="en-US"/>
        </w:rPr>
        <w:t xml:space="preserve">Tulenevalt uue tasu kehtestamisest on muudetud paragrahvi pealkirja. </w:t>
      </w:r>
    </w:p>
    <w:p w14:paraId="6FC81CD2" w14:textId="77777777" w:rsidR="00977468" w:rsidRPr="003331EF" w:rsidRDefault="00977468" w:rsidP="003331EF">
      <w:pPr>
        <w:spacing w:before="0"/>
        <w:rPr>
          <w:iCs/>
          <w:spacing w:val="-5"/>
          <w:lang w:eastAsia="en-US"/>
        </w:rPr>
      </w:pPr>
    </w:p>
    <w:p w14:paraId="209592B9" w14:textId="77777777" w:rsidR="003237B7" w:rsidRPr="003331EF" w:rsidRDefault="007804CF" w:rsidP="003331EF">
      <w:pPr>
        <w:pStyle w:val="Normaallaadveeb"/>
        <w:shd w:val="clear" w:color="auto" w:fill="FFFFFF"/>
        <w:spacing w:before="0" w:beforeAutospacing="0" w:after="0" w:afterAutospacing="0"/>
        <w:jc w:val="both"/>
        <w:rPr>
          <w:lang w:val="et-EE"/>
        </w:rPr>
      </w:pPr>
      <w:r w:rsidRPr="003331EF">
        <w:rPr>
          <w:b/>
          <w:bCs/>
          <w:lang w:val="et-EE"/>
        </w:rPr>
        <w:t xml:space="preserve">Punkt </w:t>
      </w:r>
      <w:r w:rsidR="00CB3A18" w:rsidRPr="003331EF">
        <w:rPr>
          <w:b/>
          <w:bCs/>
        </w:rPr>
        <w:t>16</w:t>
      </w:r>
      <w:r w:rsidRPr="003331EF">
        <w:rPr>
          <w:b/>
          <w:bCs/>
          <w:lang w:val="et-EE"/>
        </w:rPr>
        <w:t>.</w:t>
      </w:r>
      <w:r w:rsidR="00CB3A18" w:rsidRPr="003331EF">
        <w:t xml:space="preserve"> </w:t>
      </w:r>
      <w:r w:rsidRPr="003331EF">
        <w:rPr>
          <w:lang w:val="et-EE"/>
        </w:rPr>
        <w:t xml:space="preserve">FIS § </w:t>
      </w:r>
      <w:r w:rsidR="00CB3A18" w:rsidRPr="003331EF">
        <w:t>45</w:t>
      </w:r>
      <w:r w:rsidR="00CB3A18" w:rsidRPr="003331EF">
        <w:rPr>
          <w:vertAlign w:val="superscript"/>
        </w:rPr>
        <w:t>7</w:t>
      </w:r>
      <w:r w:rsidR="00CB3A18" w:rsidRPr="003331EF">
        <w:t xml:space="preserve"> </w:t>
      </w:r>
      <w:r w:rsidRPr="003331EF">
        <w:rPr>
          <w:lang w:val="et-EE"/>
        </w:rPr>
        <w:t>reguleerib  investeerimisfondi tingimuste, aktsiaseltsina asutatud fondi põhikirja ja nende muutmise kooskõlastamise ning välisriigi fondi osakute või aktsiate pakkumise ja fondivalitseja registreerimise taotlemisel makstavat menetlustasu. Eelnõuga tõstetakse FIS § 45</w:t>
      </w:r>
      <w:r w:rsidRPr="003331EF">
        <w:rPr>
          <w:vertAlign w:val="superscript"/>
          <w:lang w:val="et-EE"/>
        </w:rPr>
        <w:t>7</w:t>
      </w:r>
      <w:r w:rsidRPr="003331EF">
        <w:rPr>
          <w:lang w:val="et-EE"/>
        </w:rPr>
        <w:t xml:space="preserve"> lõikes 4 kehtestatud väikefondi valitseja, kes oma tegevust Finantsinspektsioonis registreerida soovib (so IFS §-s 453 sätestatud väikefondi valitseja) menetlustasu 1</w:t>
      </w:r>
      <w:r w:rsidR="00B13178" w:rsidRPr="003331EF">
        <w:rPr>
          <w:lang w:val="et-EE"/>
        </w:rPr>
        <w:t xml:space="preserve"> </w:t>
      </w:r>
      <w:r w:rsidRPr="003331EF">
        <w:rPr>
          <w:lang w:val="et-EE"/>
        </w:rPr>
        <w:t xml:space="preserve">000 eurolt </w:t>
      </w:r>
      <w:r w:rsidR="00CB3A18" w:rsidRPr="003331EF">
        <w:t>2</w:t>
      </w:r>
      <w:r w:rsidR="00B13178" w:rsidRPr="003331EF">
        <w:rPr>
          <w:lang w:val="et-EE"/>
        </w:rPr>
        <w:t xml:space="preserve"> </w:t>
      </w:r>
      <w:r w:rsidR="00CB3A18" w:rsidRPr="003331EF">
        <w:t>000</w:t>
      </w:r>
      <w:r w:rsidRPr="003331EF">
        <w:rPr>
          <w:lang w:val="et-EE"/>
        </w:rPr>
        <w:t xml:space="preserve"> eurole. Kehtivas </w:t>
      </w:r>
      <w:proofErr w:type="spellStart"/>
      <w:r w:rsidRPr="003331EF">
        <w:rPr>
          <w:lang w:val="et-EE"/>
        </w:rPr>
        <w:t>FIS-s</w:t>
      </w:r>
      <w:proofErr w:type="spellEnd"/>
      <w:r w:rsidRPr="003331EF">
        <w:rPr>
          <w:lang w:val="et-EE"/>
        </w:rPr>
        <w:t xml:space="preserve"> on väikefondi valitseja registreerimise menetlustasu võrdne fondivalitseja tegevusloa taotlemise menetlustasuga. Eelnõuga tõstetakse </w:t>
      </w:r>
      <w:r w:rsidR="00B13178" w:rsidRPr="003331EF">
        <w:rPr>
          <w:lang w:val="et-EE"/>
        </w:rPr>
        <w:t xml:space="preserve">fondivalitseja tegevusloa taotlemise menetlustasu 1 000 eurolt </w:t>
      </w:r>
      <w:commentRangeStart w:id="76"/>
      <w:r w:rsidR="00B13178" w:rsidRPr="003331EF">
        <w:rPr>
          <w:lang w:val="et-EE"/>
        </w:rPr>
        <w:t xml:space="preserve">3 000 eurole </w:t>
      </w:r>
      <w:commentRangeEnd w:id="76"/>
      <w:r w:rsidR="00574F00">
        <w:rPr>
          <w:rStyle w:val="Kommentaariviide"/>
          <w:rFonts w:eastAsia="Times New Roman"/>
          <w:lang w:val="en-GB" w:eastAsia="en-US"/>
        </w:rPr>
        <w:commentReference w:id="76"/>
      </w:r>
      <w:r w:rsidR="00B13178" w:rsidRPr="003331EF">
        <w:rPr>
          <w:lang w:val="et-EE"/>
        </w:rPr>
        <w:t>(vt punkti 13 ehk FIS § 45</w:t>
      </w:r>
      <w:r w:rsidR="00B13178" w:rsidRPr="003331EF">
        <w:rPr>
          <w:vertAlign w:val="superscript"/>
          <w:lang w:val="et-EE"/>
        </w:rPr>
        <w:t xml:space="preserve">3 </w:t>
      </w:r>
      <w:r w:rsidR="00B13178" w:rsidRPr="003331EF">
        <w:rPr>
          <w:lang w:val="et-EE"/>
        </w:rPr>
        <w:t>lõike 2 muutmise selgitust). Arvestades praktikas kujunenud olukorda, kus väikefondi valitsejate registreerimistaotluste menetlemine on Finantsinspektsiooni jaoks ressursimahukas ja ei jää mahult palju alla tegevusloataotluste menetlusele, tõstetakse eelnõuga ka registreerimise menetlustasu, kuid seda siiski väiksemas ulatuses kui tegevusloa puhul.</w:t>
      </w:r>
    </w:p>
    <w:p w14:paraId="70322F89" w14:textId="32EF4778" w:rsidR="001A4507" w:rsidRPr="003331EF" w:rsidRDefault="00B13178" w:rsidP="003331EF">
      <w:pPr>
        <w:pStyle w:val="Normaallaadveeb"/>
        <w:shd w:val="clear" w:color="auto" w:fill="FFFFFF"/>
        <w:spacing w:before="0" w:beforeAutospacing="0" w:after="0" w:afterAutospacing="0"/>
        <w:jc w:val="both"/>
        <w:rPr>
          <w:i/>
          <w:iCs/>
        </w:rPr>
      </w:pPr>
      <w:r w:rsidRPr="003331EF">
        <w:rPr>
          <w:lang w:val="et-EE"/>
        </w:rPr>
        <w:t xml:space="preserve">  </w:t>
      </w:r>
    </w:p>
    <w:p w14:paraId="6427C86D" w14:textId="2DB64D93" w:rsidR="00927CF7" w:rsidRPr="003331EF" w:rsidRDefault="00927CF7" w:rsidP="003331EF">
      <w:pPr>
        <w:spacing w:before="0"/>
        <w:rPr>
          <w:rStyle w:val="cf01"/>
          <w:rFonts w:eastAsiaTheme="majorEastAsia"/>
        </w:rPr>
      </w:pPr>
      <w:r w:rsidRPr="003331EF">
        <w:rPr>
          <w:b/>
          <w:bCs/>
        </w:rPr>
        <w:t>Punkt 1</w:t>
      </w:r>
      <w:r w:rsidR="00CB3A18" w:rsidRPr="003331EF">
        <w:rPr>
          <w:b/>
          <w:bCs/>
        </w:rPr>
        <w:t>7</w:t>
      </w:r>
      <w:r w:rsidRPr="003331EF">
        <w:rPr>
          <w:b/>
          <w:bCs/>
        </w:rPr>
        <w:t>.</w:t>
      </w:r>
      <w:r w:rsidRPr="003331EF">
        <w:t xml:space="preserve"> </w:t>
      </w:r>
      <w:r w:rsidRPr="003331EF">
        <w:rPr>
          <w:b/>
          <w:bCs/>
          <w:iCs/>
          <w:spacing w:val="-5"/>
          <w:lang w:eastAsia="en-US"/>
        </w:rPr>
        <w:t>FIS § 45</w:t>
      </w:r>
      <w:r w:rsidRPr="003331EF">
        <w:rPr>
          <w:b/>
          <w:bCs/>
          <w:iCs/>
          <w:spacing w:val="-5"/>
          <w:vertAlign w:val="superscript"/>
          <w:lang w:eastAsia="en-US"/>
        </w:rPr>
        <w:t>12</w:t>
      </w:r>
      <w:r w:rsidRPr="003331EF">
        <w:rPr>
          <w:b/>
          <w:bCs/>
          <w:iCs/>
          <w:spacing w:val="-5"/>
          <w:lang w:eastAsia="en-US"/>
        </w:rPr>
        <w:t xml:space="preserve"> lõige 6</w:t>
      </w:r>
      <w:r w:rsidRPr="003331EF">
        <w:rPr>
          <w:iCs/>
          <w:spacing w:val="-5"/>
          <w:lang w:eastAsia="en-US"/>
        </w:rPr>
        <w:t xml:space="preserve"> reguleerib menetlustasu tagastamist. Muudatuse kohaselt ei ole isikul õigust nõuda menetlustasu tagastamist, </w:t>
      </w:r>
      <w:r w:rsidR="00762752" w:rsidRPr="003331EF">
        <w:rPr>
          <w:iCs/>
          <w:spacing w:val="-5"/>
          <w:lang w:eastAsia="en-US"/>
        </w:rPr>
        <w:t>kui</w:t>
      </w:r>
      <w:r w:rsidRPr="003331EF">
        <w:rPr>
          <w:iCs/>
          <w:spacing w:val="-5"/>
          <w:lang w:eastAsia="en-US"/>
        </w:rPr>
        <w:t xml:space="preserve"> menetlus</w:t>
      </w:r>
      <w:r w:rsidR="00762752" w:rsidRPr="003331EF">
        <w:rPr>
          <w:iCs/>
          <w:spacing w:val="-5"/>
          <w:lang w:eastAsia="en-US"/>
        </w:rPr>
        <w:t>e ja toimingutega</w:t>
      </w:r>
      <w:r w:rsidRPr="003331EF">
        <w:rPr>
          <w:iCs/>
          <w:spacing w:val="-5"/>
          <w:lang w:eastAsia="en-US"/>
        </w:rPr>
        <w:t xml:space="preserve"> on </w:t>
      </w:r>
      <w:r w:rsidR="00762752" w:rsidRPr="003331EF">
        <w:rPr>
          <w:iCs/>
          <w:spacing w:val="-5"/>
          <w:lang w:eastAsia="en-US"/>
        </w:rPr>
        <w:t xml:space="preserve">juba </w:t>
      </w:r>
      <w:r w:rsidRPr="003331EF">
        <w:rPr>
          <w:iCs/>
          <w:spacing w:val="-5"/>
          <w:lang w:eastAsia="en-US"/>
        </w:rPr>
        <w:t>alustatud. Selline lahend peaks taotlejaid paremini distsiplineerima, et koostatud dokumendid oleksid kvaliteetsed ning taotluse esitamine oleks läbimõeldud otsus.</w:t>
      </w:r>
    </w:p>
    <w:p w14:paraId="27733B55" w14:textId="77777777" w:rsidR="00927CF7" w:rsidRPr="003331EF" w:rsidRDefault="00927CF7" w:rsidP="003331EF">
      <w:pPr>
        <w:spacing w:before="0"/>
        <w:rPr>
          <w:b/>
          <w:bCs/>
        </w:rPr>
      </w:pPr>
    </w:p>
    <w:p w14:paraId="577F2AE1" w14:textId="67185FA1" w:rsidR="0027362F" w:rsidRPr="003331EF" w:rsidRDefault="001A4507" w:rsidP="003331EF">
      <w:pPr>
        <w:spacing w:before="0"/>
        <w:rPr>
          <w:iCs/>
          <w:spacing w:val="-5"/>
          <w:lang w:eastAsia="en-US"/>
        </w:rPr>
      </w:pPr>
      <w:r w:rsidRPr="003331EF">
        <w:rPr>
          <w:b/>
          <w:bCs/>
        </w:rPr>
        <w:t>Punkt 1</w:t>
      </w:r>
      <w:r w:rsidR="00CB3A18" w:rsidRPr="003331EF">
        <w:rPr>
          <w:b/>
          <w:bCs/>
        </w:rPr>
        <w:t>8</w:t>
      </w:r>
      <w:r w:rsidRPr="003331EF">
        <w:rPr>
          <w:b/>
          <w:bCs/>
        </w:rPr>
        <w:t>.</w:t>
      </w:r>
      <w:r w:rsidRPr="003331EF">
        <w:rPr>
          <w:iCs/>
          <w:spacing w:val="-5"/>
          <w:lang w:eastAsia="en-US"/>
        </w:rPr>
        <w:t xml:space="preserve"> </w:t>
      </w:r>
      <w:r w:rsidR="0027362F" w:rsidRPr="003331EF">
        <w:rPr>
          <w:b/>
          <w:bCs/>
          <w:iCs/>
          <w:spacing w:val="-5"/>
          <w:lang w:eastAsia="en-US"/>
        </w:rPr>
        <w:t>FIS § 48 lõike 2</w:t>
      </w:r>
      <w:r w:rsidR="0027362F" w:rsidRPr="003331EF">
        <w:rPr>
          <w:iCs/>
          <w:spacing w:val="-5"/>
          <w:lang w:eastAsia="en-US"/>
        </w:rPr>
        <w:t xml:space="preserve"> kohaselt on Finantsinspektsioonil kohustus anda teiste seas Rahapesu Andmebüroole teavet, mis on vajalik tema ülesannete täitmiseks, tingimusel, et</w:t>
      </w:r>
      <w:r w:rsidR="00852477">
        <w:rPr>
          <w:iCs/>
          <w:spacing w:val="-5"/>
          <w:lang w:eastAsia="en-US"/>
        </w:rPr>
        <w:t xml:space="preserve"> see on vajalik </w:t>
      </w:r>
      <w:r w:rsidR="00852477" w:rsidRPr="00852477">
        <w:rPr>
          <w:iCs/>
          <w:spacing w:val="-5"/>
          <w:lang w:eastAsia="en-US"/>
        </w:rPr>
        <w:t>rahapesu ja terrorismi rahastamise tõkestamise seadusest tulenevate ülesannete täitmiseks</w:t>
      </w:r>
      <w:r w:rsidR="00852477" w:rsidRPr="00852477" w:rsidDel="00852477">
        <w:rPr>
          <w:iCs/>
          <w:spacing w:val="-5"/>
          <w:lang w:eastAsia="en-US"/>
        </w:rPr>
        <w:t xml:space="preserve"> </w:t>
      </w:r>
      <w:r w:rsidR="0027362F" w:rsidRPr="003331EF">
        <w:rPr>
          <w:iCs/>
          <w:spacing w:val="-5"/>
          <w:lang w:eastAsia="en-US"/>
        </w:rPr>
        <w:t>. Finantsjärelevalve käigus saadud teave on FIS § 54 lõike 2 kohaselt konfidentsiaalne ning isikud ja asutused, kellele on konfidentsiaalset teavet lubatud avaldada, on nimetatud FIS § 54 erinevates lõigetes. Samas ei ole FIS §-s 54 nimetatud Rahapesu Andmebürood, kellele Finantsinspektsioon on FIS § 48 lõike 2 alusel kohustatud teavet andma. Seetõttu on täiendatud FIS § 54 lõike 4 loetelu Rahapesu Andmebürooga.</w:t>
      </w:r>
    </w:p>
    <w:p w14:paraId="2544D70D" w14:textId="77777777" w:rsidR="001A4507" w:rsidRPr="003331EF" w:rsidRDefault="001A4507" w:rsidP="003331EF">
      <w:pPr>
        <w:spacing w:before="0"/>
      </w:pPr>
    </w:p>
    <w:p w14:paraId="58B15858" w14:textId="774D703B" w:rsidR="00375279" w:rsidRPr="003331EF" w:rsidRDefault="00375279" w:rsidP="003331EF">
      <w:pPr>
        <w:spacing w:before="0"/>
      </w:pPr>
      <w:r w:rsidRPr="003331EF">
        <w:rPr>
          <w:b/>
          <w:bCs/>
        </w:rPr>
        <w:t xml:space="preserve">Paragrahv </w:t>
      </w:r>
      <w:r w:rsidR="004F1C46" w:rsidRPr="003331EF">
        <w:rPr>
          <w:b/>
          <w:bCs/>
        </w:rPr>
        <w:t>50</w:t>
      </w:r>
      <w:r w:rsidRPr="003331EF">
        <w:t xml:space="preserve">. </w:t>
      </w:r>
      <w:r w:rsidRPr="003331EF">
        <w:rPr>
          <w:b/>
          <w:bCs/>
        </w:rPr>
        <w:t>Investeerimisfondide seaduse muutmine</w:t>
      </w:r>
    </w:p>
    <w:p w14:paraId="0EFA4926" w14:textId="77777777" w:rsidR="00375279" w:rsidRPr="003331EF" w:rsidRDefault="00375279" w:rsidP="003331EF">
      <w:pPr>
        <w:spacing w:before="0"/>
        <w:rPr>
          <w:b/>
          <w:bCs/>
        </w:rPr>
      </w:pPr>
    </w:p>
    <w:p w14:paraId="23CC2A2D" w14:textId="1FE7E17C" w:rsidR="001E6CE6" w:rsidRPr="003331EF" w:rsidRDefault="001A4507" w:rsidP="003331EF">
      <w:pPr>
        <w:spacing w:before="0"/>
        <w:rPr>
          <w:iCs/>
          <w:spacing w:val="-5"/>
          <w:lang w:eastAsia="en-US"/>
        </w:rPr>
      </w:pPr>
      <w:r w:rsidRPr="003331EF">
        <w:rPr>
          <w:b/>
          <w:bCs/>
        </w:rPr>
        <w:t>Paragrahviga</w:t>
      </w:r>
      <w:r w:rsidRPr="003331EF">
        <w:t xml:space="preserve"> </w:t>
      </w:r>
      <w:r w:rsidR="004F1C46" w:rsidRPr="003331EF">
        <w:rPr>
          <w:b/>
          <w:bCs/>
          <w:iCs/>
          <w:spacing w:val="-5"/>
          <w:lang w:eastAsia="en-US"/>
        </w:rPr>
        <w:t>50</w:t>
      </w:r>
      <w:r w:rsidRPr="003331EF">
        <w:rPr>
          <w:b/>
          <w:bCs/>
          <w:iCs/>
          <w:spacing w:val="-5"/>
          <w:lang w:eastAsia="en-US"/>
        </w:rPr>
        <w:t xml:space="preserve"> </w:t>
      </w:r>
      <w:r w:rsidR="001E6CE6" w:rsidRPr="003331EF">
        <w:rPr>
          <w:iCs/>
          <w:spacing w:val="-5"/>
          <w:lang w:eastAsia="en-US"/>
        </w:rPr>
        <w:t>tehakse muudatused</w:t>
      </w:r>
      <w:r w:rsidRPr="003331EF">
        <w:rPr>
          <w:iCs/>
          <w:spacing w:val="-5"/>
          <w:lang w:eastAsia="en-US"/>
        </w:rPr>
        <w:t xml:space="preserve"> IFS</w:t>
      </w:r>
      <w:r w:rsidR="001E6CE6" w:rsidRPr="003331EF">
        <w:rPr>
          <w:iCs/>
          <w:spacing w:val="-5"/>
          <w:lang w:eastAsia="en-US"/>
        </w:rPr>
        <w:t>-s.</w:t>
      </w:r>
    </w:p>
    <w:p w14:paraId="046B1B85" w14:textId="18D44E4A" w:rsidR="001E6CE6" w:rsidRPr="003331EF" w:rsidRDefault="001A4507" w:rsidP="003331EF">
      <w:pPr>
        <w:spacing w:before="0"/>
      </w:pPr>
      <w:r w:rsidRPr="003331EF">
        <w:t xml:space="preserve"> </w:t>
      </w:r>
    </w:p>
    <w:p w14:paraId="1A17D33B" w14:textId="6E2F8126" w:rsidR="00797C84" w:rsidRPr="003331EF" w:rsidRDefault="001F526F" w:rsidP="003331EF">
      <w:pPr>
        <w:spacing w:before="0"/>
      </w:pPr>
      <w:r w:rsidRPr="003331EF">
        <w:rPr>
          <w:b/>
          <w:bCs/>
        </w:rPr>
        <w:t xml:space="preserve">Punkt 1. </w:t>
      </w:r>
      <w:proofErr w:type="spellStart"/>
      <w:r w:rsidR="00797C84" w:rsidRPr="003331EF">
        <w:rPr>
          <w:b/>
          <w:bCs/>
        </w:rPr>
        <w:t>IFS-i</w:t>
      </w:r>
      <w:proofErr w:type="spellEnd"/>
      <w:r w:rsidR="00797C84" w:rsidRPr="003331EF">
        <w:rPr>
          <w:b/>
          <w:bCs/>
        </w:rPr>
        <w:t xml:space="preserve"> täiendamine uue §-i</w:t>
      </w:r>
      <w:r w:rsidRPr="003331EF">
        <w:rPr>
          <w:b/>
          <w:bCs/>
        </w:rPr>
        <w:t>ga</w:t>
      </w:r>
      <w:r w:rsidR="00797C84" w:rsidRPr="003331EF">
        <w:rPr>
          <w:b/>
          <w:bCs/>
        </w:rPr>
        <w:t xml:space="preserve"> 243</w:t>
      </w:r>
      <w:r w:rsidR="00797C84" w:rsidRPr="003331EF">
        <w:rPr>
          <w:b/>
          <w:bCs/>
          <w:vertAlign w:val="superscript"/>
        </w:rPr>
        <w:t>1</w:t>
      </w:r>
      <w:r w:rsidR="00797C84" w:rsidRPr="003331EF">
        <w:rPr>
          <w:b/>
          <w:bCs/>
        </w:rPr>
        <w:t xml:space="preserve"> </w:t>
      </w:r>
      <w:r w:rsidR="00797C84" w:rsidRPr="003331EF">
        <w:rPr>
          <w:iCs/>
          <w:spacing w:val="-5"/>
          <w:lang w:eastAsia="en-US"/>
        </w:rPr>
        <w:t xml:space="preserve">– selle kohaselt peab fondivalitseja </w:t>
      </w:r>
      <w:r w:rsidR="00C47528" w:rsidRPr="003331EF">
        <w:rPr>
          <w:iCs/>
          <w:spacing w:val="-5"/>
          <w:lang w:eastAsia="en-US"/>
        </w:rPr>
        <w:t xml:space="preserve">viivitamata (ehk </w:t>
      </w:r>
      <w:r w:rsidR="00797C84" w:rsidRPr="003331EF">
        <w:rPr>
          <w:iCs/>
          <w:spacing w:val="-5"/>
          <w:lang w:eastAsia="en-US"/>
        </w:rPr>
        <w:t>esimesel võimalusel</w:t>
      </w:r>
      <w:r w:rsidR="00C47528" w:rsidRPr="003331EF">
        <w:rPr>
          <w:iCs/>
          <w:spacing w:val="-5"/>
          <w:lang w:eastAsia="en-US"/>
        </w:rPr>
        <w:t>)</w:t>
      </w:r>
      <w:r w:rsidR="00797C84" w:rsidRPr="003331EF">
        <w:rPr>
          <w:iCs/>
          <w:spacing w:val="-5"/>
          <w:lang w:eastAsia="en-US"/>
        </w:rPr>
        <w:t xml:space="preserve"> teavitama Finantsinspektsiooni kui ta asutab/moodustab mitte-avaliku fondi </w:t>
      </w:r>
      <w:proofErr w:type="spellStart"/>
      <w:r w:rsidR="00797C84" w:rsidRPr="003331EF">
        <w:rPr>
          <w:iCs/>
          <w:spacing w:val="-5"/>
          <w:lang w:eastAsia="en-US"/>
        </w:rPr>
        <w:t>IFS</w:t>
      </w:r>
      <w:r w:rsidR="00E06F8D" w:rsidRPr="003331EF">
        <w:rPr>
          <w:iCs/>
          <w:spacing w:val="-5"/>
          <w:lang w:eastAsia="en-US"/>
        </w:rPr>
        <w:t>-</w:t>
      </w:r>
      <w:r w:rsidR="00797C84" w:rsidRPr="003331EF">
        <w:rPr>
          <w:iCs/>
          <w:spacing w:val="-5"/>
          <w:lang w:eastAsia="en-US"/>
        </w:rPr>
        <w:t>i</w:t>
      </w:r>
      <w:proofErr w:type="spellEnd"/>
      <w:r w:rsidR="00797C84" w:rsidRPr="003331EF">
        <w:rPr>
          <w:iCs/>
          <w:spacing w:val="-5"/>
          <w:lang w:eastAsia="en-US"/>
        </w:rPr>
        <w:t xml:space="preserve"> alusel (kas siis lepingulise fondi, aktsiaseltsifondi või usaldusfondi). Kuna mitte-avaliku fondi investorikaitse režiim on tunduvalt leebem kui avalike fondide puhul, siis esitatakse selliste fondide kohta üksnes väga üldine info ja seega ei tohiks selle nõude täitmine olla fondivalitsejate jaoks ülemäära koormav.</w:t>
      </w:r>
    </w:p>
    <w:p w14:paraId="1F0F3522" w14:textId="77777777" w:rsidR="00797C84" w:rsidRPr="003331EF" w:rsidRDefault="00797C84" w:rsidP="003331EF">
      <w:pPr>
        <w:spacing w:before="0"/>
      </w:pPr>
    </w:p>
    <w:p w14:paraId="7F4CFDA3" w14:textId="46A5A752" w:rsidR="001E6CE6" w:rsidRPr="003331EF" w:rsidRDefault="001F526F" w:rsidP="003331EF">
      <w:pPr>
        <w:spacing w:before="0"/>
      </w:pPr>
      <w:r w:rsidRPr="003331EF">
        <w:rPr>
          <w:b/>
          <w:bCs/>
        </w:rPr>
        <w:t xml:space="preserve">Punkt 2. </w:t>
      </w:r>
      <w:r w:rsidR="001E6CE6" w:rsidRPr="003331EF">
        <w:rPr>
          <w:b/>
          <w:bCs/>
          <w:iCs/>
          <w:spacing w:val="-5"/>
          <w:lang w:eastAsia="en-US"/>
        </w:rPr>
        <w:t>IFS § 306 lõike 3 muutmine</w:t>
      </w:r>
      <w:r w:rsidR="001E6CE6" w:rsidRPr="003331EF">
        <w:rPr>
          <w:iCs/>
          <w:spacing w:val="-5"/>
          <w:lang w:eastAsia="en-US"/>
        </w:rPr>
        <w:t>. Lõike 3 esimeses lauses on sätestatud, et kui väikefondi valitseja ei taotle tegevusluba, peab ta registreerima oma tegevuse Finantsinspektsioonis vastavalt IFS §-s 453 sätestatule ja täitma §-s 454 sätestatud teabe Finantsinspektsioonile esitamise kohustust. Tulenevalt uute nõuete kehtestamisest lisatavate §-dega</w:t>
      </w:r>
      <w:r w:rsidR="001E6CE6" w:rsidRPr="003331EF">
        <w:t xml:space="preserve"> 453</w:t>
      </w:r>
      <w:r w:rsidR="001E6CE6" w:rsidRPr="003331EF">
        <w:rPr>
          <w:vertAlign w:val="superscript"/>
        </w:rPr>
        <w:t>1</w:t>
      </w:r>
      <w:r w:rsidR="001E6CE6" w:rsidRPr="003331EF">
        <w:t xml:space="preserve"> ja 453</w:t>
      </w:r>
      <w:r w:rsidR="001E6CE6" w:rsidRPr="003331EF">
        <w:rPr>
          <w:vertAlign w:val="superscript"/>
        </w:rPr>
        <w:t>2</w:t>
      </w:r>
      <w:r w:rsidR="001E6CE6" w:rsidRPr="003331EF">
        <w:t xml:space="preserve"> </w:t>
      </w:r>
      <w:r w:rsidR="001E6CE6" w:rsidRPr="003331EF">
        <w:rPr>
          <w:iCs/>
          <w:spacing w:val="-5"/>
          <w:lang w:eastAsia="en-US"/>
        </w:rPr>
        <w:t xml:space="preserve">lisatakse kõnealusesse lausesse </w:t>
      </w:r>
      <w:r w:rsidR="001E6CE6" w:rsidRPr="003331EF">
        <w:rPr>
          <w:iCs/>
          <w:spacing w:val="-5"/>
          <w:lang w:eastAsia="en-US"/>
        </w:rPr>
        <w:lastRenderedPageBreak/>
        <w:t>viited ka nendes paragrahvides registreeritud väikefondi valitseja tegevuse suhtes kehtestatud nõuete täitmisele.</w:t>
      </w:r>
    </w:p>
    <w:p w14:paraId="03AA10CA" w14:textId="77777777" w:rsidR="001E6CE6" w:rsidRPr="003331EF" w:rsidRDefault="001E6CE6" w:rsidP="003331EF">
      <w:pPr>
        <w:spacing w:before="0"/>
      </w:pPr>
    </w:p>
    <w:p w14:paraId="4243217D" w14:textId="2753EDB6" w:rsidR="001E6CE6" w:rsidRPr="003331EF" w:rsidRDefault="001F526F" w:rsidP="003331EF">
      <w:pPr>
        <w:spacing w:before="0"/>
      </w:pPr>
      <w:r w:rsidRPr="003331EF">
        <w:rPr>
          <w:b/>
          <w:bCs/>
        </w:rPr>
        <w:t xml:space="preserve">Punkt 3. </w:t>
      </w:r>
      <w:r w:rsidR="001E6CE6" w:rsidRPr="003331EF">
        <w:rPr>
          <w:b/>
          <w:bCs/>
          <w:iCs/>
          <w:spacing w:val="-5"/>
          <w:lang w:eastAsia="en-US"/>
        </w:rPr>
        <w:t>IFS §-i 306 täiendamine uu</w:t>
      </w:r>
      <w:r w:rsidR="00C20CE7" w:rsidRPr="003331EF">
        <w:rPr>
          <w:b/>
          <w:bCs/>
          <w:iCs/>
          <w:spacing w:val="-5"/>
          <w:lang w:eastAsia="en-US"/>
        </w:rPr>
        <w:t>te</w:t>
      </w:r>
      <w:r w:rsidR="001E6CE6" w:rsidRPr="003331EF">
        <w:rPr>
          <w:b/>
          <w:bCs/>
          <w:iCs/>
          <w:spacing w:val="-5"/>
          <w:lang w:eastAsia="en-US"/>
        </w:rPr>
        <w:t xml:space="preserve"> lõi</w:t>
      </w:r>
      <w:r w:rsidR="00C20CE7" w:rsidRPr="003331EF">
        <w:rPr>
          <w:b/>
          <w:bCs/>
          <w:iCs/>
          <w:spacing w:val="-5"/>
          <w:lang w:eastAsia="en-US"/>
        </w:rPr>
        <w:t>g</w:t>
      </w:r>
      <w:r w:rsidR="001E6CE6" w:rsidRPr="003331EF">
        <w:rPr>
          <w:b/>
          <w:bCs/>
          <w:iCs/>
          <w:spacing w:val="-5"/>
          <w:lang w:eastAsia="en-US"/>
        </w:rPr>
        <w:t>e</w:t>
      </w:r>
      <w:r w:rsidR="00C20CE7" w:rsidRPr="003331EF">
        <w:rPr>
          <w:b/>
          <w:bCs/>
          <w:iCs/>
          <w:spacing w:val="-5"/>
          <w:lang w:eastAsia="en-US"/>
        </w:rPr>
        <w:t>te</w:t>
      </w:r>
      <w:r w:rsidR="001E6CE6" w:rsidRPr="003331EF">
        <w:rPr>
          <w:b/>
          <w:bCs/>
          <w:iCs/>
          <w:spacing w:val="-5"/>
          <w:lang w:eastAsia="en-US"/>
        </w:rPr>
        <w:t>ga 11</w:t>
      </w:r>
      <w:r w:rsidR="00C20CE7" w:rsidRPr="003331EF">
        <w:rPr>
          <w:b/>
          <w:bCs/>
          <w:iCs/>
          <w:spacing w:val="-5"/>
          <w:lang w:eastAsia="en-US"/>
        </w:rPr>
        <w:t xml:space="preserve"> ja 12</w:t>
      </w:r>
      <w:r w:rsidR="001E6CE6" w:rsidRPr="003331EF">
        <w:rPr>
          <w:iCs/>
          <w:spacing w:val="-5"/>
          <w:lang w:eastAsia="en-US"/>
        </w:rPr>
        <w:t xml:space="preserve">, mille kohaselt kohaldatakse eurofondi ja alternatiivfondi valitsejale </w:t>
      </w:r>
      <w:proofErr w:type="spellStart"/>
      <w:r w:rsidR="001E6CE6" w:rsidRPr="003331EF">
        <w:rPr>
          <w:iCs/>
          <w:spacing w:val="-5"/>
          <w:lang w:eastAsia="en-US"/>
        </w:rPr>
        <w:t>M</w:t>
      </w:r>
      <w:r w:rsidR="00EF6123" w:rsidRPr="003331EF">
        <w:rPr>
          <w:iCs/>
          <w:spacing w:val="-5"/>
          <w:lang w:eastAsia="en-US"/>
        </w:rPr>
        <w:t>i</w:t>
      </w:r>
      <w:r w:rsidR="001E6CE6" w:rsidRPr="003331EF">
        <w:rPr>
          <w:iCs/>
          <w:spacing w:val="-5"/>
          <w:lang w:eastAsia="en-US"/>
        </w:rPr>
        <w:t>CA</w:t>
      </w:r>
      <w:proofErr w:type="spellEnd"/>
      <w:r w:rsidR="001E6CE6" w:rsidRPr="003331EF">
        <w:rPr>
          <w:iCs/>
          <w:spacing w:val="-5"/>
          <w:lang w:eastAsia="en-US"/>
        </w:rPr>
        <w:t xml:space="preserve"> määruses </w:t>
      </w:r>
      <w:proofErr w:type="spellStart"/>
      <w:r w:rsidR="001E6CE6" w:rsidRPr="003331EF">
        <w:rPr>
          <w:iCs/>
          <w:spacing w:val="-5"/>
          <w:lang w:eastAsia="en-US"/>
        </w:rPr>
        <w:t>krüptovarateenuse</w:t>
      </w:r>
      <w:proofErr w:type="spellEnd"/>
      <w:r w:rsidR="001E6CE6" w:rsidRPr="003331EF">
        <w:rPr>
          <w:iCs/>
          <w:spacing w:val="-5"/>
          <w:lang w:eastAsia="en-US"/>
        </w:rPr>
        <w:t xml:space="preserve"> osutamise kohta sätestatut, kui ta on selleks MICA määruse alusel õiguse saanud.</w:t>
      </w:r>
      <w:r w:rsidR="001E6CE6" w:rsidRPr="003331EF">
        <w:t xml:space="preserve">  </w:t>
      </w:r>
      <w:r w:rsidR="006F7384" w:rsidRPr="003331EF">
        <w:rPr>
          <w:b/>
          <w:bCs/>
        </w:rPr>
        <w:t>Lõike 12</w:t>
      </w:r>
      <w:r w:rsidR="006F7384" w:rsidRPr="003331EF">
        <w:t xml:space="preserve"> eesmärk on täpsustada, et kui </w:t>
      </w:r>
      <w:proofErr w:type="spellStart"/>
      <w:r w:rsidR="006F7384" w:rsidRPr="003331EF">
        <w:t>IFSis</w:t>
      </w:r>
      <w:proofErr w:type="spellEnd"/>
      <w:r w:rsidR="006F7384" w:rsidRPr="003331EF">
        <w:t xml:space="preserve"> ja </w:t>
      </w:r>
      <w:proofErr w:type="spellStart"/>
      <w:r w:rsidR="006F7384" w:rsidRPr="003331EF">
        <w:t>KrÜTSis</w:t>
      </w:r>
      <w:proofErr w:type="spellEnd"/>
      <w:r w:rsidR="006F7384" w:rsidRPr="003331EF">
        <w:t xml:space="preserve"> (</w:t>
      </w:r>
      <w:proofErr w:type="spellStart"/>
      <w:r w:rsidR="006F7384" w:rsidRPr="003331EF">
        <w:t>KrÜTS</w:t>
      </w:r>
      <w:proofErr w:type="spellEnd"/>
      <w:r w:rsidR="006F7384" w:rsidRPr="003331EF">
        <w:t xml:space="preserve"> kaudu </w:t>
      </w:r>
      <w:proofErr w:type="spellStart"/>
      <w:r w:rsidR="006F7384" w:rsidRPr="003331EF">
        <w:t>MiCA</w:t>
      </w:r>
      <w:proofErr w:type="spellEnd"/>
      <w:r w:rsidR="006F7384" w:rsidRPr="003331EF">
        <w:t xml:space="preserve"> määruses) on ette nähtud nõuded sama tegevuse suhtes, kohaldatakse fondivalitsejale nõudeid, mis on detailsemad või rangemad</w:t>
      </w:r>
      <w:r w:rsidR="00EF6123" w:rsidRPr="003331EF">
        <w:t xml:space="preserve">. Samas </w:t>
      </w:r>
      <w:r w:rsidR="00852477">
        <w:t>t</w:t>
      </w:r>
      <w:r w:rsidR="00EF6123" w:rsidRPr="003331EF">
        <w:t xml:space="preserve">asub ka meeles pidada, </w:t>
      </w:r>
      <w:r w:rsidR="00A83008" w:rsidRPr="003331EF">
        <w:t xml:space="preserve">et </w:t>
      </w:r>
      <w:proofErr w:type="spellStart"/>
      <w:r w:rsidR="00A83008" w:rsidRPr="003331EF">
        <w:t>krüptovarateenuse</w:t>
      </w:r>
      <w:proofErr w:type="spellEnd"/>
      <w:r w:rsidR="00A83008" w:rsidRPr="003331EF">
        <w:t xml:space="preserve"> osutamisel ei kohaldada</w:t>
      </w:r>
      <w:r w:rsidR="00EF6123" w:rsidRPr="003331EF">
        <w:t xml:space="preserve"> fondivalitsejale </w:t>
      </w:r>
      <w:proofErr w:type="spellStart"/>
      <w:r w:rsidR="00EF6123" w:rsidRPr="003331EF">
        <w:t>MiCA</w:t>
      </w:r>
      <w:proofErr w:type="spellEnd"/>
      <w:r w:rsidR="00EF6123" w:rsidRPr="003331EF">
        <w:t xml:space="preserve"> määruse artikleid 62, 63, 64, 67, 83 </w:t>
      </w:r>
      <w:r w:rsidR="00A83008" w:rsidRPr="003331EF">
        <w:t>ja</w:t>
      </w:r>
      <w:r w:rsidR="00EF6123" w:rsidRPr="003331EF">
        <w:t xml:space="preserve"> 84</w:t>
      </w:r>
      <w:r w:rsidR="00A83008" w:rsidRPr="003331EF">
        <w:t>.</w:t>
      </w:r>
    </w:p>
    <w:p w14:paraId="38CDF325" w14:textId="77777777" w:rsidR="001E6CE6" w:rsidRPr="003331EF" w:rsidRDefault="001E6CE6" w:rsidP="003331EF">
      <w:pPr>
        <w:spacing w:before="0"/>
      </w:pPr>
    </w:p>
    <w:p w14:paraId="1E6B71B2" w14:textId="235F4DDE" w:rsidR="001E6CE6" w:rsidRPr="003331EF" w:rsidRDefault="001F526F" w:rsidP="003331EF">
      <w:pPr>
        <w:spacing w:before="0"/>
        <w:rPr>
          <w:iCs/>
          <w:spacing w:val="-5"/>
          <w:lang w:eastAsia="en-US"/>
        </w:rPr>
      </w:pPr>
      <w:r w:rsidRPr="003331EF">
        <w:rPr>
          <w:b/>
          <w:bCs/>
        </w:rPr>
        <w:t xml:space="preserve">Punkt 4. </w:t>
      </w:r>
      <w:r w:rsidR="001E6CE6" w:rsidRPr="003331EF">
        <w:rPr>
          <w:b/>
          <w:bCs/>
          <w:iCs/>
          <w:spacing w:val="-5"/>
          <w:lang w:eastAsia="en-US"/>
        </w:rPr>
        <w:t>IFS § 453 teksti muutmine.</w:t>
      </w:r>
      <w:r w:rsidR="001E6CE6" w:rsidRPr="003331EF">
        <w:rPr>
          <w:iCs/>
          <w:spacing w:val="-5"/>
          <w:lang w:eastAsia="en-US"/>
        </w:rPr>
        <w:t xml:space="preserve"> Paragrahv reguleerib tegevusloata väikefondi valitseja tegevuse registreerimist. Eelnõuga antakse kogu paragrahvile uus sõnastus.</w:t>
      </w:r>
    </w:p>
    <w:p w14:paraId="705E663B" w14:textId="77777777" w:rsidR="001E6CE6" w:rsidRPr="003331EF" w:rsidRDefault="001E6CE6" w:rsidP="003331EF">
      <w:pPr>
        <w:spacing w:before="0"/>
      </w:pPr>
    </w:p>
    <w:p w14:paraId="1AF573BC" w14:textId="77777777" w:rsidR="001E6CE6" w:rsidRPr="003331EF" w:rsidRDefault="001E6CE6" w:rsidP="003331EF">
      <w:pPr>
        <w:spacing w:before="0"/>
        <w:rPr>
          <w:iCs/>
          <w:spacing w:val="-5"/>
          <w:lang w:eastAsia="en-US"/>
        </w:rPr>
      </w:pPr>
      <w:r w:rsidRPr="003331EF">
        <w:rPr>
          <w:b/>
          <w:bCs/>
        </w:rPr>
        <w:t>Lõige 1</w:t>
      </w:r>
      <w:r w:rsidRPr="003331EF">
        <w:t xml:space="preserve"> </w:t>
      </w:r>
      <w:r w:rsidRPr="003331EF">
        <w:rPr>
          <w:iCs/>
          <w:spacing w:val="-5"/>
          <w:lang w:eastAsia="en-US"/>
        </w:rPr>
        <w:t xml:space="preserve">kehtestab üldise nõude, et Eestis asutatud väikefondi valitseja, kes Finantsinspektsioonilt tegevusluba ei taotle (tulenevalt IFS § 306 lõikes 3 sätestatust), peab siiski oma tegevuse registreerima, kui tal on kavatsus hakata väikefondi valitsema, sealhulgas usaldusfondi täisosanikuna. Võrreldes kehtiva seadusega on muudetud registreerimise ajahetke – see on toodud ettepoole. Tegevus ei tule registreerida mitte pärast fondi valitsemisega alustamist, aga enne ehk siis, kui on kavas fondi valitsema hakata. Selline on ka üldine praktika finantssektoris tervikuna, kus teenuse pakkumine ei olegi lubatud enne vastava tegevusloa või registreeringu saamist. Muudatusega välistatakse risk, et väikefondi valitseja hakkab teenust osutama olukorras, kus tema tegevus on veel registreerimata ja puudub selgus, kas tegevus üldse registreeritakse.  </w:t>
      </w:r>
    </w:p>
    <w:p w14:paraId="35C66BD3" w14:textId="77777777" w:rsidR="001E6CE6" w:rsidRPr="003331EF" w:rsidRDefault="001E6CE6" w:rsidP="003331EF">
      <w:pPr>
        <w:spacing w:before="0"/>
      </w:pPr>
    </w:p>
    <w:p w14:paraId="5565C45E" w14:textId="77777777" w:rsidR="001E6CE6" w:rsidRPr="003331EF" w:rsidRDefault="001E6CE6" w:rsidP="003331EF">
      <w:pPr>
        <w:spacing w:before="0"/>
        <w:rPr>
          <w:iCs/>
          <w:spacing w:val="-5"/>
          <w:lang w:eastAsia="en-US"/>
        </w:rPr>
      </w:pPr>
      <w:r w:rsidRPr="003331EF">
        <w:rPr>
          <w:b/>
          <w:bCs/>
        </w:rPr>
        <w:t>Lõige 2</w:t>
      </w:r>
      <w:r w:rsidRPr="003331EF">
        <w:t xml:space="preserve"> </w:t>
      </w:r>
      <w:r w:rsidRPr="003331EF">
        <w:rPr>
          <w:iCs/>
          <w:spacing w:val="-5"/>
          <w:lang w:eastAsia="en-US"/>
        </w:rPr>
        <w:t xml:space="preserve">reguleerib väikefondi valitseja registreerimise taotlust. Registreerimise taotlemiseks tuleb Finantsinspektsioonile esitada kirjalik avaldus ning järgmised andmed ja dokumendid: (i) väikefondi valitseja kontaktandmed ja põhikiri või muu samaväärne dokument; (ii) taotleja juhatuse liikmete andmed, mis sisaldavad neist igaühe ees- ja perekonnanime, isikukoodi või selle puudumisel sünniaega, kodakondsust ning elukohta; (iii) taotleja aktsionäride või osanike nimekiri, milles on märgitud iga aktsionäri või osaniku nimi, olemasolul registrikood või isikukood või selle puudumisel sünniaeg ning andmed iga aktsionäri või osaniku omandatavate või talle kuuluvate aktsiate või osade ja häälte arvu kohta; (iv) kavandatavate fondide arv ja nende nimetused või ärinimed; (v) teave millise riigi õiguse alusel on kavas fondid moodustada või asutada; (vi) teave kavandatavate fondide investeerimispoliitika kohta, sealhulgas fondi investeeringute ja kaubeldavate instrumentide, kauplemiskohtade, fondi peamiste riskide ning valitsetava vara koosseisu ja koguväärtuse kohta; (vii) hinnang kavandatava tegevuse vastavuse kohta alternatiivse investeerimisfondi valitseja tegevuse tunnustele; (viii) tõend, mis kinnitab kapitalinõude täitmist ning (ix) tõend Finantsinspektsioonile menetlustasu maksmise kohta. </w:t>
      </w:r>
    </w:p>
    <w:p w14:paraId="6E140D4D" w14:textId="77777777" w:rsidR="001F526F" w:rsidRPr="003331EF" w:rsidRDefault="001F526F" w:rsidP="003331EF">
      <w:pPr>
        <w:spacing w:before="0"/>
        <w:rPr>
          <w:iCs/>
          <w:spacing w:val="-5"/>
          <w:lang w:eastAsia="en-US"/>
        </w:rPr>
      </w:pPr>
    </w:p>
    <w:p w14:paraId="3C2B3885" w14:textId="77777777" w:rsidR="001E6CE6" w:rsidRPr="003331EF" w:rsidRDefault="001E6CE6" w:rsidP="003331EF">
      <w:pPr>
        <w:spacing w:before="0"/>
        <w:rPr>
          <w:iCs/>
          <w:spacing w:val="-5"/>
          <w:lang w:eastAsia="en-US"/>
        </w:rPr>
      </w:pPr>
      <w:r w:rsidRPr="003331EF">
        <w:rPr>
          <w:iCs/>
          <w:spacing w:val="-5"/>
          <w:lang w:eastAsia="en-US"/>
        </w:rPr>
        <w:t xml:space="preserve">Et eelnõu kohaselt tuleb tegevus registreerida enne fondi valitsemisega alustamist, on lõike 2 punktist 5 välja jäetud kohustus esitada registreerimise taotlemisel valitsetavate fondide moodustamise või asutamise kuupäevad. Fondid saavad edaspidi asutatud või moodustatud pärast fondivalitseja tegevuse registreerimist. </w:t>
      </w:r>
    </w:p>
    <w:p w14:paraId="463804F7" w14:textId="77777777" w:rsidR="005E129C" w:rsidRPr="003331EF" w:rsidRDefault="005E129C" w:rsidP="003331EF">
      <w:pPr>
        <w:spacing w:before="0"/>
      </w:pPr>
    </w:p>
    <w:p w14:paraId="61240F25" w14:textId="77777777" w:rsidR="001E6CE6" w:rsidRPr="003331EF" w:rsidRDefault="001E6CE6" w:rsidP="003331EF">
      <w:pPr>
        <w:spacing w:before="0"/>
        <w:rPr>
          <w:iCs/>
          <w:spacing w:val="-5"/>
          <w:lang w:eastAsia="en-US"/>
        </w:rPr>
      </w:pPr>
      <w:r w:rsidRPr="003331EF">
        <w:rPr>
          <w:iCs/>
          <w:spacing w:val="-5"/>
          <w:lang w:eastAsia="en-US"/>
        </w:rPr>
        <w:t>Uute nõuetena on taotlemisel esitatavate andmete ja dokumentide loetellu lisatud andmed taotleja juhatuse liikmete ning aktsionäride või osanike kohta, hinnang tegevuse vastavusele alternatiivse investeerimisfondi valitseja tegevuse tunnustele ning tõendid menetlustasu maksmise ja eelnõuga kehtestatava kapitalinõude täitmise kohta (lõike 2 punktid 2 ja 3 ning 7–9). Kapitalinõue ongi uus, mistõttu on ka vastav punkt taotlusele lisatud. Menetlustasu tuleb Finantsinspektsioonile Finantsinspektsiooni seaduse kohaselt maksta kõigil tegevusluba või registreeringut taotlevatel isikutel. Nii tuleb Finantsinspektsiooni seaduse §</w:t>
      </w:r>
      <w:r w:rsidRPr="003331EF">
        <w:t xml:space="preserve"> 45</w:t>
      </w:r>
      <w:r w:rsidRPr="003331EF">
        <w:rPr>
          <w:vertAlign w:val="superscript"/>
        </w:rPr>
        <w:t>7</w:t>
      </w:r>
      <w:r w:rsidRPr="003331EF">
        <w:t xml:space="preserve"> </w:t>
      </w:r>
      <w:r w:rsidRPr="003331EF">
        <w:rPr>
          <w:iCs/>
          <w:spacing w:val="-5"/>
          <w:lang w:eastAsia="en-US"/>
        </w:rPr>
        <w:t xml:space="preserve">lõike 4 kohaselt väikefondi valitseja registreerimisel tasuda menetlustasu 1 000 eurot. Menetlustasu maksmise tõend lisatakse eelnõuga </w:t>
      </w:r>
      <w:r w:rsidRPr="003331EF">
        <w:rPr>
          <w:iCs/>
          <w:spacing w:val="-5"/>
          <w:lang w:eastAsia="en-US"/>
        </w:rPr>
        <w:lastRenderedPageBreak/>
        <w:t xml:space="preserve">registreerimise taotlemisel esitatavate dokumentide loetellu, et Finantsinspektsioonil ei tuleks seda iga kord menetluse käigus eraldi küsida. </w:t>
      </w:r>
    </w:p>
    <w:p w14:paraId="4E8C772D" w14:textId="77777777" w:rsidR="00375279" w:rsidRPr="003331EF" w:rsidRDefault="00375279" w:rsidP="003331EF">
      <w:pPr>
        <w:spacing w:before="0"/>
        <w:rPr>
          <w:iCs/>
          <w:spacing w:val="-5"/>
          <w:lang w:eastAsia="en-US"/>
        </w:rPr>
      </w:pPr>
    </w:p>
    <w:p w14:paraId="3F65ED8F" w14:textId="77777777" w:rsidR="001E6CE6" w:rsidRPr="003331EF" w:rsidRDefault="001E6CE6" w:rsidP="003331EF">
      <w:pPr>
        <w:spacing w:before="0"/>
      </w:pPr>
      <w:r w:rsidRPr="003331EF">
        <w:rPr>
          <w:iCs/>
          <w:spacing w:val="-5"/>
          <w:lang w:eastAsia="en-US"/>
        </w:rPr>
        <w:t>Kuivõrd praktikas pole alati üheselt selge tegevuse iseloom, milleks väikefondi valitsejana end registreerida soovitakse ning tuleb ette olukordi, kus planeeritav tegevus ei vasta alternatiivse investeerimisfondi valitseja tegevuse tunnustele, täiendatakse eelnõuga dokumentide loetelu taotleja koostatud hinnanguga sellele, et planeeritav tegevus, millele registreeringut taotletakse, vastab alternatiivse investeerimisfondi valitseja tegevusele, nagu seda näeb ette Euroopa Parlamendi ja nõukogu direktiiv 2011/61/EL. Hinnangu andmisel saab taotleja tugineda ka Euroopa Väärtpaberiturujärelevalve ESMA poolt välja antud vastavatele suunistele, mis  selgitavad, millistele tunnustele peavad vastama alternatiivne investeerimisfond ja selle valitseja (vt täpsemalt ESMA/2013/611</w:t>
      </w:r>
      <w:r w:rsidRPr="003331EF">
        <w:rPr>
          <w:rStyle w:val="Allmrkuseviide"/>
        </w:rPr>
        <w:footnoteReference w:id="27"/>
      </w:r>
      <w:r w:rsidRPr="003331EF">
        <w:t>).</w:t>
      </w:r>
    </w:p>
    <w:p w14:paraId="5C4ABC38" w14:textId="77777777" w:rsidR="005E129C" w:rsidRPr="003331EF" w:rsidRDefault="005E129C" w:rsidP="003331EF">
      <w:pPr>
        <w:spacing w:before="0"/>
      </w:pPr>
    </w:p>
    <w:p w14:paraId="44576F19" w14:textId="77777777" w:rsidR="001E6CE6" w:rsidRPr="003331EF" w:rsidRDefault="001E6CE6" w:rsidP="003331EF">
      <w:pPr>
        <w:spacing w:before="0"/>
        <w:rPr>
          <w:iCs/>
          <w:spacing w:val="-5"/>
          <w:lang w:eastAsia="en-US"/>
        </w:rPr>
      </w:pPr>
      <w:r w:rsidRPr="003331EF">
        <w:rPr>
          <w:iCs/>
          <w:spacing w:val="-5"/>
          <w:lang w:eastAsia="en-US"/>
        </w:rPr>
        <w:t xml:space="preserve">Andmed juhatuse liikmete ja aktsionäride või osanike kohta on tegevuse registreerimisel samuti olulised, seda muuhulgas nii majandustegevuse koha ja tegelike kasusaajate päritoluriikide määratlemisel kui rahapesu ja terrorismi rahastamise tõkestamisega seonduvalt.  </w:t>
      </w:r>
    </w:p>
    <w:p w14:paraId="1D596009" w14:textId="77777777" w:rsidR="001E6CE6" w:rsidRPr="003331EF" w:rsidRDefault="001E6CE6" w:rsidP="003331EF">
      <w:pPr>
        <w:spacing w:before="0"/>
      </w:pPr>
    </w:p>
    <w:p w14:paraId="694DFE5A" w14:textId="77777777" w:rsidR="001E6CE6" w:rsidRPr="003331EF" w:rsidRDefault="001E6CE6" w:rsidP="003331EF">
      <w:pPr>
        <w:spacing w:before="0"/>
      </w:pPr>
      <w:r w:rsidRPr="003331EF">
        <w:rPr>
          <w:b/>
          <w:bCs/>
        </w:rPr>
        <w:t>Lõikes 3</w:t>
      </w:r>
      <w:r w:rsidRPr="003331EF">
        <w:t xml:space="preserve"> </w:t>
      </w:r>
      <w:r w:rsidRPr="003331EF">
        <w:rPr>
          <w:iCs/>
          <w:spacing w:val="-5"/>
          <w:lang w:eastAsia="en-US"/>
        </w:rPr>
        <w:t>on sarnaselt kehtivas sõnastuses lõikes 2 sätestatule kehtestatud nõue esitada lõike 2 punktides 4–6 nimetatud andmed komisjoni delegeeritud määruse (EL) nr 231/2013 lisas 4 esitatud vormil. Erinevalt kehtivast seadusest on eelnõus esitatud vorminõue viidetega konkreetsetele andmetele, mis tuleb etteantud vormil esitada. Kõiki registreerimise taotlemisel esitatavaid andmeid ja dokumente Euroopa Komisjoni delegeeritud määruse lisas esitatud vormil Finantsinspektsioonile esitada ei tule.</w:t>
      </w:r>
      <w:r w:rsidRPr="003331EF">
        <w:t xml:space="preserve">  </w:t>
      </w:r>
    </w:p>
    <w:p w14:paraId="4F882284" w14:textId="77777777" w:rsidR="00083FE9" w:rsidRPr="003331EF" w:rsidRDefault="00083FE9" w:rsidP="003331EF">
      <w:pPr>
        <w:spacing w:before="0"/>
      </w:pPr>
    </w:p>
    <w:p w14:paraId="7023AE97" w14:textId="0E2CC1F7" w:rsidR="001E6CE6" w:rsidRPr="003331EF" w:rsidRDefault="001E6CE6" w:rsidP="003331EF">
      <w:pPr>
        <w:spacing w:before="0"/>
        <w:rPr>
          <w:iCs/>
          <w:spacing w:val="-5"/>
          <w:lang w:eastAsia="en-US"/>
        </w:rPr>
      </w:pPr>
      <w:r w:rsidRPr="003331EF">
        <w:rPr>
          <w:b/>
          <w:bCs/>
        </w:rPr>
        <w:t>Lõikes 4</w:t>
      </w:r>
      <w:r w:rsidRPr="003331EF">
        <w:t xml:space="preserve"> </w:t>
      </w:r>
      <w:r w:rsidRPr="003331EF">
        <w:rPr>
          <w:iCs/>
          <w:spacing w:val="-5"/>
          <w:lang w:eastAsia="en-US"/>
        </w:rPr>
        <w:t xml:space="preserve">sätestatakse, et Finantsinspektsioonil on õigus nõuda lõikes 2 nimetatud andmete ja dokumentide täpsustamiseks või muude registreerimise seisukohast oluliste asjaolude väljaselgitamiseks lisaandmeid ja dokumente. Sisuliselt on sellega esitatud kehtivas sõnastuses paragrahvi lõikes 3 kehtestatud Finantsinspektsiooni õigus lisaandmeid ja -selgitusi küsida, kuid sätte sõnastust on täpsustatud. Sõnastust on ühtlustatud IFS-s ja teistes finantssektori seadustes läbivalt kasutatud terminoloogiaga, asendades „lisaandmed või -selgitused“ „lisaandmete ja -dokumentidega“, mis hõlmabki muuhulgas ka selgitusi. Finantsinspektsioon võib eelnõu kohaselt küsida lisaandmeid ja -dokumente ka muude registreerimise seisukohast oluliste asjaolude väljaselgitamiseks. Seega laiendab eelnõu mõnevõrra teabe ringi, mida Finantsinspektsioon saab menetluse käigus taotlejalt küsida. Seda põhjusel, et oleks võimalik välja selgitada kõiki tegevuse registreerimise seisukohast olulisi asjaolusid. Asjaolud ei pruugi piirduda üksnes registreerimiskohustuse väljaselgitamisega, millele viitab kehtivas sõnastuses norm. </w:t>
      </w:r>
      <w:r w:rsidR="003237B7" w:rsidRPr="003331EF">
        <w:rPr>
          <w:iCs/>
          <w:spacing w:val="-5"/>
          <w:lang w:eastAsia="en-US"/>
        </w:rPr>
        <w:t xml:space="preserve">Lisaandmed ja -dokumendid tuleb taotlejal esitada Finantsinspektsiooni määratud mõistliku tähtaja jooksul. Sarnane on praktika ka teiste Finantsinspektsiooni menetletavate taotluste puhul. </w:t>
      </w:r>
    </w:p>
    <w:p w14:paraId="2F87C57C" w14:textId="77777777" w:rsidR="001E6CE6" w:rsidRPr="003331EF" w:rsidRDefault="001E6CE6" w:rsidP="003331EF">
      <w:pPr>
        <w:spacing w:before="0"/>
      </w:pPr>
    </w:p>
    <w:p w14:paraId="23EDC647" w14:textId="77777777" w:rsidR="001E6CE6" w:rsidRPr="003331EF" w:rsidRDefault="001E6CE6" w:rsidP="003331EF">
      <w:pPr>
        <w:spacing w:before="0"/>
      </w:pPr>
      <w:r w:rsidRPr="003331EF">
        <w:rPr>
          <w:b/>
          <w:bCs/>
        </w:rPr>
        <w:t>Lõikes 5</w:t>
      </w:r>
      <w:r w:rsidRPr="003331EF">
        <w:t xml:space="preserve"> </w:t>
      </w:r>
      <w:r w:rsidRPr="003331EF">
        <w:rPr>
          <w:iCs/>
          <w:spacing w:val="-5"/>
          <w:lang w:eastAsia="en-US"/>
        </w:rPr>
        <w:t xml:space="preserve">on </w:t>
      </w:r>
      <w:proofErr w:type="spellStart"/>
      <w:r w:rsidRPr="003331EF">
        <w:rPr>
          <w:iCs/>
          <w:spacing w:val="-5"/>
          <w:lang w:eastAsia="en-US"/>
        </w:rPr>
        <w:t>taasesitatud</w:t>
      </w:r>
      <w:proofErr w:type="spellEnd"/>
      <w:r w:rsidRPr="003331EF">
        <w:rPr>
          <w:iCs/>
          <w:spacing w:val="-5"/>
          <w:lang w:eastAsia="en-US"/>
        </w:rPr>
        <w:t xml:space="preserve"> kehtivas sõnastuses paragrahvi lõige 4, mis ütleb, et taotluse võib esitada eesti- või ingliskeelsena ning et Finantsinspektsioonil on õigus vajaduse korral nõuda ingliskeelsena esitatud andmete ja dokumentide tõlkimist eesti keelde. </w:t>
      </w:r>
    </w:p>
    <w:p w14:paraId="29A4F161" w14:textId="77777777" w:rsidR="001E6CE6" w:rsidRPr="003331EF" w:rsidRDefault="001E6CE6" w:rsidP="003331EF">
      <w:pPr>
        <w:spacing w:before="0"/>
      </w:pPr>
    </w:p>
    <w:p w14:paraId="73DC492A" w14:textId="00BD2F04" w:rsidR="001E6CE6" w:rsidRPr="003331EF" w:rsidRDefault="001E6CE6" w:rsidP="003331EF">
      <w:pPr>
        <w:spacing w:before="0"/>
        <w:rPr>
          <w:iCs/>
          <w:spacing w:val="-5"/>
          <w:lang w:eastAsia="en-US"/>
        </w:rPr>
      </w:pPr>
      <w:r w:rsidRPr="003331EF">
        <w:rPr>
          <w:b/>
          <w:bCs/>
        </w:rPr>
        <w:t>Lõige 6</w:t>
      </w:r>
      <w:r w:rsidRPr="003331EF">
        <w:t xml:space="preserve"> </w:t>
      </w:r>
      <w:r w:rsidRPr="003331EF">
        <w:rPr>
          <w:iCs/>
          <w:spacing w:val="-5"/>
          <w:lang w:eastAsia="en-US"/>
        </w:rPr>
        <w:t>reguleerib nõuetele mittevastavat (puudustega) taotlust ja sätestab, et Finantsinspektsioon</w:t>
      </w:r>
      <w:r w:rsidR="003237B7" w:rsidRPr="003331EF">
        <w:rPr>
          <w:kern w:val="2"/>
          <w14:ligatures w14:val="standardContextual"/>
        </w:rPr>
        <w:t xml:space="preserve"> nõuab</w:t>
      </w:r>
      <w:r w:rsidRPr="003331EF">
        <w:rPr>
          <w:iCs/>
          <w:spacing w:val="-5"/>
          <w:lang w:eastAsia="en-US"/>
        </w:rPr>
        <w:t xml:space="preserve"> taotlejalt puuduste kõrvaldamist, kui taotlus ei vasta lõigetes 2 ja 3 sätestatud nõuetele või on taotlusele lisatud andmed või dokumendid eksitavad või mittetäielikud või ei ole need nõuetekohaselt vormistatud. </w:t>
      </w:r>
      <w:r w:rsidR="003237B7" w:rsidRPr="003331EF">
        <w:rPr>
          <w:iCs/>
          <w:spacing w:val="-5"/>
          <w:lang w:eastAsia="en-US"/>
        </w:rPr>
        <w:t>Võrreldes kehtiva normiga kirjutatakse e</w:t>
      </w:r>
      <w:r w:rsidRPr="003331EF">
        <w:rPr>
          <w:iCs/>
          <w:spacing w:val="-5"/>
          <w:lang w:eastAsia="en-US"/>
        </w:rPr>
        <w:t xml:space="preserve">elnõuga  selgemalt lahti, millistel juhtudel saab taotlust pidada puudustega olevaks – so olukord, kus ei ole esitatud nõutud </w:t>
      </w:r>
      <w:r w:rsidRPr="003331EF">
        <w:rPr>
          <w:iCs/>
          <w:spacing w:val="-5"/>
          <w:lang w:eastAsia="en-US"/>
        </w:rPr>
        <w:lastRenderedPageBreak/>
        <w:t xml:space="preserve">andmeid või dokumente, pole tehtud seda nõutud vormis või on esitatud andmed või dokumendid eksitavad või mittetäielikud. </w:t>
      </w:r>
    </w:p>
    <w:p w14:paraId="40F7E8BC" w14:textId="77777777" w:rsidR="00375279" w:rsidRPr="003331EF" w:rsidRDefault="00375279" w:rsidP="003331EF">
      <w:pPr>
        <w:spacing w:before="0"/>
        <w:rPr>
          <w:iCs/>
          <w:spacing w:val="-5"/>
          <w:lang w:eastAsia="en-US"/>
        </w:rPr>
      </w:pPr>
    </w:p>
    <w:p w14:paraId="64EFB303" w14:textId="08D95141" w:rsidR="001E6CE6" w:rsidRPr="003331EF" w:rsidRDefault="001E6CE6" w:rsidP="003331EF">
      <w:pPr>
        <w:spacing w:before="0"/>
        <w:rPr>
          <w:iCs/>
          <w:spacing w:val="-5"/>
          <w:lang w:eastAsia="en-US"/>
        </w:rPr>
      </w:pPr>
      <w:r w:rsidRPr="003331EF">
        <w:rPr>
          <w:iCs/>
          <w:spacing w:val="-5"/>
          <w:lang w:eastAsia="en-US"/>
        </w:rPr>
        <w:t>Kui kehtiv seadus lubab puudustega taotluse puhul nõuda Finantsinspektsioonil taotlejalt puuduste kõrvaldamist või jätta registreerimisavaldus rahuldamata, siis eelnõu</w:t>
      </w:r>
      <w:r w:rsidR="00C26115" w:rsidRPr="003331EF">
        <w:rPr>
          <w:iCs/>
          <w:spacing w:val="-5"/>
          <w:lang w:eastAsia="en-US"/>
        </w:rPr>
        <w:t xml:space="preserve"> toob juurde taotluse läbi vaatamata jätmise võimaluse (</w:t>
      </w:r>
      <w:r w:rsidR="00C26115" w:rsidRPr="003331EF">
        <w:rPr>
          <w:b/>
          <w:bCs/>
          <w:iCs/>
          <w:spacing w:val="-5"/>
          <w:lang w:eastAsia="en-US"/>
        </w:rPr>
        <w:t>lõige 7</w:t>
      </w:r>
      <w:r w:rsidR="00C26115" w:rsidRPr="003331EF">
        <w:rPr>
          <w:iCs/>
          <w:spacing w:val="-5"/>
          <w:lang w:eastAsia="en-US"/>
        </w:rPr>
        <w:t>).</w:t>
      </w:r>
      <w:r w:rsidRPr="003331EF">
        <w:rPr>
          <w:iCs/>
          <w:spacing w:val="-5"/>
          <w:lang w:eastAsia="en-US"/>
        </w:rPr>
        <w:t xml:space="preserve"> </w:t>
      </w:r>
      <w:r w:rsidR="00C26115" w:rsidRPr="003331EF">
        <w:rPr>
          <w:iCs/>
          <w:spacing w:val="-5"/>
          <w:lang w:eastAsia="en-US"/>
        </w:rPr>
        <w:t xml:space="preserve">Finantsinspektsioon võib jätta taotluse läbi vaatamata, kui taotleja ei ole kõrvaldanud lõikes 6 nimetatud puudusi ette nähtud tähtajal, ei ole tähtpäevaks esitanud Finantsinspektsiooni nõutud lisaandmeid või -dokumente või on esitanud need oluliste puudustega. Sarnane õigus on </w:t>
      </w:r>
      <w:r w:rsidRPr="003331EF">
        <w:rPr>
          <w:iCs/>
          <w:spacing w:val="-5"/>
          <w:lang w:eastAsia="en-US"/>
        </w:rPr>
        <w:t>Finantsinspektsioonil ka muudes finantssekori erinevates menetlustes</w:t>
      </w:r>
      <w:r w:rsidR="00C26115" w:rsidRPr="003331EF">
        <w:rPr>
          <w:iCs/>
          <w:spacing w:val="-5"/>
          <w:lang w:eastAsia="en-US"/>
        </w:rPr>
        <w:t>, mis hoiab</w:t>
      </w:r>
      <w:r w:rsidRPr="003331EF">
        <w:rPr>
          <w:iCs/>
          <w:spacing w:val="-5"/>
          <w:lang w:eastAsia="en-US"/>
        </w:rPr>
        <w:t xml:space="preserve"> halduskoormus</w:t>
      </w:r>
      <w:r w:rsidR="00C26115" w:rsidRPr="003331EF">
        <w:rPr>
          <w:iCs/>
          <w:spacing w:val="-5"/>
          <w:lang w:eastAsia="en-US"/>
        </w:rPr>
        <w:t>t mõnevõrra väiksemana</w:t>
      </w:r>
      <w:r w:rsidRPr="003331EF">
        <w:rPr>
          <w:iCs/>
          <w:spacing w:val="-5"/>
          <w:lang w:eastAsia="en-US"/>
        </w:rPr>
        <w:t xml:space="preserve">.   </w:t>
      </w:r>
    </w:p>
    <w:p w14:paraId="33689DFD" w14:textId="77777777" w:rsidR="001F526F" w:rsidRPr="003331EF" w:rsidRDefault="001F526F" w:rsidP="003331EF">
      <w:pPr>
        <w:spacing w:before="0"/>
      </w:pPr>
    </w:p>
    <w:p w14:paraId="5AB36383" w14:textId="51E9D133" w:rsidR="001E6CE6" w:rsidRPr="003331EF" w:rsidRDefault="001E6CE6" w:rsidP="003331EF">
      <w:pPr>
        <w:spacing w:before="0"/>
        <w:rPr>
          <w:iCs/>
          <w:spacing w:val="-5"/>
          <w:lang w:eastAsia="en-US"/>
        </w:rPr>
      </w:pPr>
      <w:r w:rsidRPr="003331EF">
        <w:rPr>
          <w:iCs/>
          <w:spacing w:val="-5"/>
          <w:lang w:eastAsia="en-US"/>
        </w:rPr>
        <w:t>Eelnõu lahendab praktilist probleemi, kus taotluse läbi vaatamata jätmise võimaluse puudumisel tuleb kulutada aega taotluse menetlusele, kuigi see on esitatud sedavõrd oluliste puuduste või vigadega, et puuduvad igasugused võimalused taotleja tegevuse registreerimiseks</w:t>
      </w:r>
      <w:r w:rsidR="00C26115" w:rsidRPr="003331EF">
        <w:rPr>
          <w:iCs/>
          <w:spacing w:val="-5"/>
          <w:lang w:eastAsia="en-US"/>
        </w:rPr>
        <w:t>, ja neid puuduseid ei ole taotleja olnud suuteline kõrvaldama</w:t>
      </w:r>
      <w:r w:rsidRPr="003331EF">
        <w:rPr>
          <w:iCs/>
          <w:spacing w:val="-5"/>
          <w:lang w:eastAsia="en-US"/>
        </w:rPr>
        <w:t xml:space="preserve">. Eelnõu võimaldab </w:t>
      </w:r>
      <w:r w:rsidR="00C26115" w:rsidRPr="003331EF">
        <w:rPr>
          <w:iCs/>
          <w:spacing w:val="-5"/>
          <w:lang w:eastAsia="en-US"/>
        </w:rPr>
        <w:t xml:space="preserve">seeläbi </w:t>
      </w:r>
      <w:r w:rsidRPr="003331EF">
        <w:rPr>
          <w:iCs/>
          <w:spacing w:val="-5"/>
          <w:lang w:eastAsia="en-US"/>
        </w:rPr>
        <w:t>oluliselt vähendada halduskoormust registreerimismenetluste läbiviimisel.</w:t>
      </w:r>
    </w:p>
    <w:p w14:paraId="4A04A638" w14:textId="77777777" w:rsidR="00C26115" w:rsidRPr="003331EF" w:rsidRDefault="00C26115" w:rsidP="003331EF">
      <w:pPr>
        <w:spacing w:before="0"/>
        <w:rPr>
          <w:iCs/>
          <w:spacing w:val="-5"/>
          <w:lang w:eastAsia="en-US"/>
        </w:rPr>
      </w:pPr>
    </w:p>
    <w:p w14:paraId="383C44EB" w14:textId="04E58BDC" w:rsidR="00C26115" w:rsidRPr="003331EF" w:rsidRDefault="00C26115" w:rsidP="003331EF">
      <w:pPr>
        <w:spacing w:before="0"/>
        <w:rPr>
          <w:iCs/>
          <w:spacing w:val="-5"/>
          <w:lang w:eastAsia="en-US"/>
        </w:rPr>
      </w:pPr>
      <w:r w:rsidRPr="003331EF">
        <w:rPr>
          <w:b/>
          <w:bCs/>
          <w:iCs/>
          <w:spacing w:val="-5"/>
          <w:lang w:eastAsia="en-US"/>
        </w:rPr>
        <w:t>Lõike 8</w:t>
      </w:r>
      <w:r w:rsidRPr="003331EF">
        <w:rPr>
          <w:iCs/>
          <w:spacing w:val="-5"/>
          <w:lang w:eastAsia="en-US"/>
        </w:rPr>
        <w:t xml:space="preserve"> kohaselt otsustab Finantsinspektsioon väikefondi valitseja registrisse kandmise või taotluse rahuldamata jätmise kahe kuu jooksul nõuetekohase taotluse saamise päevast alates. Seda põhimõtete eelnõuga ei ole muudetud. Positiivse otsuse korral kantakse registrisse väikefondi valitseja nimi ja kontaktandmed, nagu see on olnud ka seni (vt kehtiv IFS § 453 lg 6). </w:t>
      </w:r>
    </w:p>
    <w:p w14:paraId="49825F33" w14:textId="77777777" w:rsidR="001E6CE6" w:rsidRPr="003331EF" w:rsidRDefault="001E6CE6" w:rsidP="003331EF">
      <w:pPr>
        <w:spacing w:before="0"/>
      </w:pPr>
    </w:p>
    <w:p w14:paraId="2EFD883C" w14:textId="01F04807" w:rsidR="001E6CE6" w:rsidRPr="003331EF" w:rsidRDefault="001E6CE6" w:rsidP="003331EF">
      <w:pPr>
        <w:spacing w:before="0"/>
      </w:pPr>
      <w:r w:rsidRPr="003331EF">
        <w:rPr>
          <w:b/>
          <w:bCs/>
        </w:rPr>
        <w:t xml:space="preserve">Lõige </w:t>
      </w:r>
      <w:r w:rsidR="00C26115" w:rsidRPr="003331EF">
        <w:rPr>
          <w:b/>
          <w:bCs/>
        </w:rPr>
        <w:t>9</w:t>
      </w:r>
      <w:r w:rsidRPr="003331EF">
        <w:t xml:space="preserve"> k</w:t>
      </w:r>
      <w:r w:rsidRPr="003331EF">
        <w:rPr>
          <w:iCs/>
          <w:spacing w:val="-5"/>
          <w:lang w:eastAsia="en-US"/>
        </w:rPr>
        <w:t xml:space="preserve">ehtestab </w:t>
      </w:r>
      <w:r w:rsidR="00C26115" w:rsidRPr="003331EF">
        <w:rPr>
          <w:iCs/>
          <w:spacing w:val="-5"/>
          <w:lang w:eastAsia="en-US"/>
        </w:rPr>
        <w:t>taotluse</w:t>
      </w:r>
      <w:r w:rsidRPr="003331EF">
        <w:rPr>
          <w:iCs/>
          <w:spacing w:val="-5"/>
          <w:lang w:eastAsia="en-US"/>
        </w:rPr>
        <w:t xml:space="preserve"> rahuldamata jätmise alused. Eelnõuga täiendatakse aluseid, millal Finantsinspektsioonil on õigus jätta </w:t>
      </w:r>
      <w:r w:rsidR="00C26115" w:rsidRPr="003331EF">
        <w:rPr>
          <w:iCs/>
          <w:spacing w:val="-5"/>
          <w:lang w:eastAsia="en-US"/>
        </w:rPr>
        <w:t>taotlus</w:t>
      </w:r>
      <w:r w:rsidRPr="003331EF">
        <w:rPr>
          <w:iCs/>
          <w:spacing w:val="-5"/>
          <w:lang w:eastAsia="en-US"/>
        </w:rPr>
        <w:t xml:space="preserve"> rahuldamata. </w:t>
      </w:r>
      <w:r w:rsidR="00C26115" w:rsidRPr="003331EF">
        <w:rPr>
          <w:iCs/>
          <w:spacing w:val="-5"/>
          <w:lang w:eastAsia="en-US"/>
        </w:rPr>
        <w:t xml:space="preserve">Seoses kapitalinõude kehtestamisega </w:t>
      </w:r>
      <w:r w:rsidR="009C5912" w:rsidRPr="003331EF">
        <w:rPr>
          <w:iCs/>
          <w:spacing w:val="-5"/>
          <w:lang w:eastAsia="en-US"/>
        </w:rPr>
        <w:t xml:space="preserve">saab </w:t>
      </w:r>
      <w:r w:rsidRPr="003331EF">
        <w:rPr>
          <w:iCs/>
          <w:spacing w:val="-5"/>
          <w:lang w:eastAsia="en-US"/>
        </w:rPr>
        <w:t xml:space="preserve">selliseks täiendavaks aluseks kapitalinõude mittetäitmine.  </w:t>
      </w:r>
    </w:p>
    <w:p w14:paraId="39A919C6" w14:textId="77777777" w:rsidR="00375279" w:rsidRPr="003331EF" w:rsidRDefault="00375279" w:rsidP="003331EF">
      <w:pPr>
        <w:spacing w:before="0"/>
      </w:pPr>
    </w:p>
    <w:p w14:paraId="386AF96D" w14:textId="57A3D646" w:rsidR="001E6CE6" w:rsidRPr="003331EF" w:rsidRDefault="00542216" w:rsidP="003331EF">
      <w:pPr>
        <w:spacing w:before="0"/>
        <w:rPr>
          <w:iCs/>
          <w:spacing w:val="-5"/>
          <w:lang w:eastAsia="en-US"/>
        </w:rPr>
      </w:pPr>
      <w:r w:rsidRPr="003331EF">
        <w:rPr>
          <w:iCs/>
          <w:spacing w:val="-5"/>
          <w:lang w:eastAsia="en-US"/>
        </w:rPr>
        <w:t>S</w:t>
      </w:r>
      <w:r w:rsidR="001E6CE6" w:rsidRPr="003331EF">
        <w:rPr>
          <w:iCs/>
          <w:spacing w:val="-5"/>
          <w:lang w:eastAsia="en-US"/>
        </w:rPr>
        <w:t>äilivad ka kehtivas seaduses olevad registreerimisavalduse rahuldamata jätmise alused: (i) esitatud andmetest ei selgu üheselt, et taotleja asukoht ja tegevuskoht, sealhulgas püsiva ja kestva majandustegevuse koht, on Eestis; (ii) t</w:t>
      </w:r>
      <w:r w:rsidRPr="003331EF">
        <w:rPr>
          <w:iCs/>
          <w:spacing w:val="-5"/>
          <w:lang w:eastAsia="en-US"/>
        </w:rPr>
        <w:t xml:space="preserve">egemist ei ole </w:t>
      </w:r>
      <w:r w:rsidR="001E6CE6" w:rsidRPr="003331EF">
        <w:rPr>
          <w:iCs/>
          <w:spacing w:val="-5"/>
          <w:lang w:eastAsia="en-US"/>
        </w:rPr>
        <w:t xml:space="preserve">IFS § 2 lõike 1 </w:t>
      </w:r>
      <w:r w:rsidR="00CC5580" w:rsidRPr="003331EF">
        <w:rPr>
          <w:iCs/>
          <w:spacing w:val="-5"/>
          <w:lang w:eastAsia="en-US"/>
        </w:rPr>
        <w:t xml:space="preserve">tähenduses </w:t>
      </w:r>
      <w:r w:rsidR="001E6CE6" w:rsidRPr="003331EF">
        <w:rPr>
          <w:iCs/>
          <w:spacing w:val="-5"/>
          <w:lang w:eastAsia="en-US"/>
        </w:rPr>
        <w:t>investeerimisfondi</w:t>
      </w:r>
      <w:r w:rsidR="00CC5580" w:rsidRPr="003331EF">
        <w:rPr>
          <w:iCs/>
          <w:spacing w:val="-5"/>
          <w:lang w:eastAsia="en-US"/>
        </w:rPr>
        <w:t>ga</w:t>
      </w:r>
      <w:r w:rsidR="001E6CE6" w:rsidRPr="003331EF">
        <w:rPr>
          <w:iCs/>
          <w:spacing w:val="-5"/>
          <w:lang w:eastAsia="en-US"/>
        </w:rPr>
        <w:t xml:space="preserve">; (iii) Finantsinspektsioonile esitatud andmed või dokumendid on ebaõiged või eksitavad. </w:t>
      </w:r>
      <w:r w:rsidR="00CC5580" w:rsidRPr="003331EF">
        <w:rPr>
          <w:iCs/>
          <w:spacing w:val="-5"/>
          <w:lang w:eastAsia="en-US"/>
        </w:rPr>
        <w:t xml:space="preserve">Neist ühe sõnastust täpsustatakse. </w:t>
      </w:r>
      <w:r w:rsidRPr="003331EF">
        <w:rPr>
          <w:iCs/>
          <w:spacing w:val="-5"/>
          <w:lang w:eastAsia="en-US"/>
        </w:rPr>
        <w:t>Arvestades, et tegevuse registreerimine tuuakse eelnõuga ajaliselt ette poole</w:t>
      </w:r>
      <w:r w:rsidR="00CC5580" w:rsidRPr="003331EF">
        <w:rPr>
          <w:iCs/>
          <w:spacing w:val="-5"/>
          <w:lang w:eastAsia="en-US"/>
        </w:rPr>
        <w:t xml:space="preserve"> – see tuleb ära teha enne fondide valitsemisega alustamist, pole registreerimisavalduse rahuldamata jätmise alustes kohane viidata valitsetavale fondile. Antud ajahetkel on tegemist fondiga, mida kavatsetakse valitsema hakata. Eelnõuga tehakse vastav parandus – avaldus</w:t>
      </w:r>
      <w:r w:rsidRPr="003331EF">
        <w:rPr>
          <w:iCs/>
          <w:spacing w:val="-5"/>
          <w:lang w:eastAsia="en-US"/>
        </w:rPr>
        <w:t xml:space="preserve"> jäetakse rahuldamata, kui fondid, mida taotleja kavatseb valitsema hakata, ei vasta IFS § 2 lõikes 1 sätestatud investeerimisfondi mõistele.    </w:t>
      </w:r>
    </w:p>
    <w:p w14:paraId="55783C8B" w14:textId="77777777" w:rsidR="001E6CE6" w:rsidRPr="003331EF" w:rsidRDefault="001E6CE6" w:rsidP="003331EF">
      <w:pPr>
        <w:spacing w:before="0"/>
      </w:pPr>
    </w:p>
    <w:p w14:paraId="334EC1AD" w14:textId="2F3695EE" w:rsidR="001E6CE6" w:rsidRPr="003331EF" w:rsidRDefault="00F6348B" w:rsidP="003331EF">
      <w:pPr>
        <w:spacing w:before="0"/>
        <w:rPr>
          <w:iCs/>
          <w:spacing w:val="-5"/>
          <w:lang w:eastAsia="en-US"/>
        </w:rPr>
      </w:pPr>
      <w:r w:rsidRPr="003331EF">
        <w:rPr>
          <w:b/>
          <w:bCs/>
        </w:rPr>
        <w:t xml:space="preserve">Punkt 5. </w:t>
      </w:r>
      <w:r w:rsidR="001E6CE6" w:rsidRPr="003331EF">
        <w:rPr>
          <w:b/>
          <w:bCs/>
          <w:iCs/>
          <w:spacing w:val="-5"/>
          <w:lang w:eastAsia="en-US"/>
        </w:rPr>
        <w:t>Paragrahv</w:t>
      </w:r>
      <w:r w:rsidR="000A43BF" w:rsidRPr="003331EF">
        <w:rPr>
          <w:b/>
          <w:bCs/>
          <w:iCs/>
          <w:spacing w:val="-5"/>
          <w:lang w:eastAsia="en-US"/>
        </w:rPr>
        <w:t>id</w:t>
      </w:r>
      <w:r w:rsidR="001E6CE6" w:rsidRPr="003331EF">
        <w:rPr>
          <w:b/>
          <w:bCs/>
          <w:iCs/>
          <w:spacing w:val="-5"/>
          <w:lang w:eastAsia="en-US"/>
        </w:rPr>
        <w:t xml:space="preserve"> 453</w:t>
      </w:r>
      <w:r w:rsidR="001E6CE6" w:rsidRPr="003331EF">
        <w:rPr>
          <w:b/>
          <w:bCs/>
          <w:iCs/>
          <w:spacing w:val="-5"/>
          <w:vertAlign w:val="superscript"/>
          <w:lang w:eastAsia="en-US"/>
        </w:rPr>
        <w:t>¹</w:t>
      </w:r>
      <w:r w:rsidR="000A43BF" w:rsidRPr="003331EF">
        <w:rPr>
          <w:b/>
          <w:bCs/>
          <w:iCs/>
          <w:spacing w:val="-5"/>
          <w:lang w:eastAsia="en-US"/>
        </w:rPr>
        <w:t xml:space="preserve"> ja 453</w:t>
      </w:r>
      <w:r w:rsidR="000A43BF" w:rsidRPr="003331EF">
        <w:rPr>
          <w:b/>
          <w:bCs/>
          <w:iCs/>
          <w:spacing w:val="-5"/>
          <w:vertAlign w:val="superscript"/>
          <w:lang w:eastAsia="en-US"/>
        </w:rPr>
        <w:t>2</w:t>
      </w:r>
      <w:r w:rsidR="001E6CE6" w:rsidRPr="003331EF">
        <w:rPr>
          <w:b/>
          <w:bCs/>
          <w:iCs/>
          <w:spacing w:val="-5"/>
          <w:lang w:eastAsia="en-US"/>
        </w:rPr>
        <w:t xml:space="preserve"> </w:t>
      </w:r>
      <w:r w:rsidR="001E6CE6" w:rsidRPr="003331EF">
        <w:rPr>
          <w:iCs/>
          <w:spacing w:val="-5"/>
          <w:lang w:eastAsia="en-US"/>
        </w:rPr>
        <w:t xml:space="preserve">Eelnõuga täiendatakse seadust </w:t>
      </w:r>
      <w:r w:rsidR="000A43BF" w:rsidRPr="003331EF">
        <w:rPr>
          <w:iCs/>
          <w:spacing w:val="-5"/>
          <w:lang w:eastAsia="en-US"/>
        </w:rPr>
        <w:t xml:space="preserve">kahe </w:t>
      </w:r>
      <w:r w:rsidR="001E6CE6" w:rsidRPr="003331EF">
        <w:rPr>
          <w:iCs/>
          <w:spacing w:val="-5"/>
          <w:lang w:eastAsia="en-US"/>
        </w:rPr>
        <w:t>uue paragrahviga</w:t>
      </w:r>
      <w:r w:rsidR="000A43BF" w:rsidRPr="003331EF">
        <w:rPr>
          <w:iCs/>
          <w:spacing w:val="-5"/>
          <w:lang w:eastAsia="en-US"/>
        </w:rPr>
        <w:t>.</w:t>
      </w:r>
      <w:r w:rsidR="001E6CE6" w:rsidRPr="003331EF">
        <w:rPr>
          <w:iCs/>
          <w:spacing w:val="-5"/>
          <w:lang w:eastAsia="en-US"/>
        </w:rPr>
        <w:t xml:space="preserve"> </w:t>
      </w:r>
      <w:r w:rsidR="000A43BF" w:rsidRPr="003331EF">
        <w:rPr>
          <w:iCs/>
          <w:spacing w:val="-5"/>
          <w:lang w:eastAsia="en-US"/>
        </w:rPr>
        <w:t>Esimesega neist (</w:t>
      </w:r>
      <w:r w:rsidR="000A43BF" w:rsidRPr="003331EF">
        <w:rPr>
          <w:b/>
          <w:bCs/>
          <w:iCs/>
          <w:spacing w:val="-5"/>
          <w:lang w:eastAsia="en-US"/>
        </w:rPr>
        <w:t>§ 453</w:t>
      </w:r>
      <w:r w:rsidR="000A43BF" w:rsidRPr="003331EF">
        <w:rPr>
          <w:b/>
          <w:bCs/>
          <w:iCs/>
          <w:spacing w:val="-5"/>
          <w:vertAlign w:val="superscript"/>
          <w:lang w:eastAsia="en-US"/>
        </w:rPr>
        <w:t>1</w:t>
      </w:r>
      <w:r w:rsidR="000A43BF" w:rsidRPr="003331EF">
        <w:rPr>
          <w:iCs/>
          <w:spacing w:val="-5"/>
          <w:lang w:eastAsia="en-US"/>
        </w:rPr>
        <w:t xml:space="preserve">) </w:t>
      </w:r>
      <w:r w:rsidR="001E6CE6" w:rsidRPr="003331EF">
        <w:rPr>
          <w:iCs/>
          <w:spacing w:val="-5"/>
          <w:lang w:eastAsia="en-US"/>
        </w:rPr>
        <w:t>kehtestatakse nõuded registreeritud väikefondi valitseja</w:t>
      </w:r>
      <w:r w:rsidR="00CC5580" w:rsidRPr="003331EF">
        <w:rPr>
          <w:iCs/>
          <w:spacing w:val="-5"/>
          <w:lang w:eastAsia="en-US"/>
        </w:rPr>
        <w:t>le ja tema</w:t>
      </w:r>
      <w:r w:rsidR="001E6CE6" w:rsidRPr="003331EF">
        <w:rPr>
          <w:iCs/>
          <w:spacing w:val="-5"/>
          <w:lang w:eastAsia="en-US"/>
        </w:rPr>
        <w:t xml:space="preserve"> tegevusele.</w:t>
      </w:r>
    </w:p>
    <w:p w14:paraId="1A83BF6A" w14:textId="77777777" w:rsidR="001E6CE6" w:rsidRPr="003331EF" w:rsidRDefault="001E6CE6" w:rsidP="003331EF">
      <w:pPr>
        <w:spacing w:before="0"/>
      </w:pPr>
    </w:p>
    <w:p w14:paraId="6F68E6FB" w14:textId="4B7604AD" w:rsidR="001E6CE6" w:rsidRPr="003331EF" w:rsidRDefault="001E6CE6" w:rsidP="003331EF">
      <w:pPr>
        <w:spacing w:before="0"/>
      </w:pPr>
      <w:r w:rsidRPr="003331EF">
        <w:rPr>
          <w:b/>
          <w:bCs/>
        </w:rPr>
        <w:t>Lõikes 1</w:t>
      </w:r>
      <w:r w:rsidRPr="003331EF">
        <w:t xml:space="preserve"> </w:t>
      </w:r>
      <w:r w:rsidRPr="003331EF">
        <w:rPr>
          <w:iCs/>
          <w:spacing w:val="-5"/>
          <w:lang w:eastAsia="en-US"/>
        </w:rPr>
        <w:t>kehtestatakse tegevusloata väikefondi valitsejale aktsia- või osakapitalile miinimumnõue. Võrreldes kehtiva seadusega on tegemist uue nõudega. Muudatuse eesmärgiks on ühelt poolt tõsta tegevusloata väikefondi valitsejate vastutuse ulatust ja tekitada fondivalitseja tegevuseks vajalik puhver ning teiselt poolt kehtestada ka turule sisenemise barjäär, mis aitaks maandada nö riiulifirmade või lihtsalt edasimüügiks registreeritud kehade tekkimise riski. Analoogne nõue kehtib ka näiteks Lätis. Eelnõu vähendab regulatiivse arbitraaži kasutamise võimalust, sest kaotab seni eksisteerinud kapitalinõude puudumisest tingitud Eesti regulatsiooni eelise.</w:t>
      </w:r>
    </w:p>
    <w:p w14:paraId="5F0FF07A" w14:textId="77777777" w:rsidR="00375279" w:rsidRPr="003331EF" w:rsidRDefault="00375279" w:rsidP="003331EF">
      <w:pPr>
        <w:spacing w:before="0"/>
      </w:pPr>
    </w:p>
    <w:p w14:paraId="03B27568" w14:textId="58FC4C50" w:rsidR="001E6CE6" w:rsidRPr="003331EF" w:rsidRDefault="001E6CE6" w:rsidP="003331EF">
      <w:pPr>
        <w:spacing w:before="0"/>
        <w:rPr>
          <w:iCs/>
          <w:spacing w:val="-5"/>
          <w:lang w:eastAsia="en-US"/>
        </w:rPr>
      </w:pPr>
      <w:r w:rsidRPr="003331EF">
        <w:rPr>
          <w:iCs/>
          <w:spacing w:val="-5"/>
          <w:lang w:eastAsia="en-US"/>
        </w:rPr>
        <w:t xml:space="preserve">Eelnõuga kehtestatakse aktsia- või osakapitali miinimumnõudeks 25 000 eurot. Sama suur on aktsiakapitali miinimumnõue tavalisele aktsiaseltsile. Kui fondivalitseja tegutseb näiteks osaühingu või usaldusühingu vormis, siis sellisel juhul, muutub regulatsioon rangemaks. </w:t>
      </w:r>
      <w:r w:rsidR="009C5912" w:rsidRPr="003331EF">
        <w:rPr>
          <w:iCs/>
          <w:spacing w:val="-5"/>
          <w:lang w:eastAsia="en-US"/>
        </w:rPr>
        <w:t xml:space="preserve">Võrreldes </w:t>
      </w:r>
      <w:r w:rsidR="009C5912" w:rsidRPr="003331EF">
        <w:rPr>
          <w:iCs/>
          <w:spacing w:val="-5"/>
          <w:lang w:eastAsia="en-US"/>
        </w:rPr>
        <w:lastRenderedPageBreak/>
        <w:t xml:space="preserve">finantssektoris üldiselt kehtivate kapitalinõuetega on eelnõuga kehtestatav nõue siiski </w:t>
      </w:r>
      <w:r w:rsidRPr="003331EF">
        <w:rPr>
          <w:iCs/>
          <w:spacing w:val="-5"/>
          <w:lang w:eastAsia="en-US"/>
        </w:rPr>
        <w:t xml:space="preserve">väga </w:t>
      </w:r>
      <w:r w:rsidR="009C5912" w:rsidRPr="003331EF">
        <w:rPr>
          <w:iCs/>
          <w:spacing w:val="-5"/>
          <w:lang w:eastAsia="en-US"/>
        </w:rPr>
        <w:t>tagasihoidlik</w:t>
      </w:r>
      <w:r w:rsidRPr="003331EF">
        <w:rPr>
          <w:iCs/>
          <w:spacing w:val="-5"/>
          <w:lang w:eastAsia="en-US"/>
        </w:rPr>
        <w:t xml:space="preserve">, mistõttu ei peaks see olema fondivalitsejana tegutsemisel takistuseks, kui tegelik eesmärk on alternatiivseid investeerimisfonde valitseda. Võrdluseks, et tegevusloaga väikefondi valitseja kapitalinõudeks on 50 000 eurot (asutamisel peab aktsia- või osakapital olema vähemalt 25 000 eurot, mis tuleb tõsta 50 000 euroni asutamisest kolme aasta jooksul) ja seda samuti sõltumata äriühingu vormist.  Kohustusliku pensionifondi valitseja algkapitali nõue on näiteks 1 000 000 eurot, vabatahtliku pensionifondi valitsejal 500 000 eurot ning eurofondi ja alternatiivfondi valitsejal 125 000 eurot, millele lisanduvad veel täiendavad omavahendite nõuded.  </w:t>
      </w:r>
    </w:p>
    <w:p w14:paraId="676D0ED3" w14:textId="77777777" w:rsidR="00375279" w:rsidRPr="003331EF" w:rsidRDefault="00375279" w:rsidP="003331EF">
      <w:pPr>
        <w:spacing w:before="0"/>
        <w:rPr>
          <w:iCs/>
          <w:spacing w:val="-5"/>
          <w:lang w:eastAsia="en-US"/>
        </w:rPr>
      </w:pPr>
    </w:p>
    <w:p w14:paraId="762511C3" w14:textId="4B65A780" w:rsidR="009C5912" w:rsidRPr="003331EF" w:rsidRDefault="009C5912" w:rsidP="003331EF">
      <w:pPr>
        <w:spacing w:before="0"/>
        <w:rPr>
          <w:iCs/>
          <w:spacing w:val="-5"/>
          <w:lang w:eastAsia="en-US"/>
        </w:rPr>
      </w:pPr>
      <w:r w:rsidRPr="003331EF">
        <w:rPr>
          <w:iCs/>
          <w:spacing w:val="-5"/>
          <w:lang w:eastAsia="en-US"/>
        </w:rPr>
        <w:t>Väikefondi valitsejate puhul on siiski tegemist finantssektori turuosalistega ja kapitalinõue on siin sektoris üheks peamiseks ja oluliseks regulatiivseks nõudeks. Finantsinspektsioon teostab väikefondi valitseja puhul, kes on oma tegevuse Finantsinspektsioonis registreerinud, järelevalvet vaid registreerimiskohustuse täitmise ja teabe andmise üle. Sellest tulenevalt ei saa investorid kaebuste korral pöörduda Finantsinspektsiooni poole ning kõikvõimalikud nõuded tuleb lahendada kohtus (või ühingulepingus määratud muul viisil), millega kaasnevad arvestatavad kulud. Olenemata sellest, kas tegemist on alles alustava äriühinguga, peab väikefondi valitseja ühingulepingu rikkumise korral olema valmis ja suuteline hüvitama usaldusfondile ja osaomanikele tekitatud kahju ning võttes arvesse sektori varakünnist, võivad fondide mahud ja investeeringud ületada Eesti turul tegutsevate tegevusloaga fondivalitsejate ja nende valitsetavate fondide omi.</w:t>
      </w:r>
    </w:p>
    <w:p w14:paraId="072759C2" w14:textId="77777777" w:rsidR="009C5912" w:rsidRPr="003331EF" w:rsidRDefault="009C5912" w:rsidP="003331EF">
      <w:pPr>
        <w:spacing w:before="0"/>
        <w:rPr>
          <w:iCs/>
          <w:spacing w:val="-5"/>
          <w:lang w:eastAsia="en-US"/>
        </w:rPr>
      </w:pPr>
    </w:p>
    <w:p w14:paraId="0BAB1AF5" w14:textId="37D081CE" w:rsidR="009C5912" w:rsidRPr="003331EF" w:rsidRDefault="009C5912" w:rsidP="003331EF">
      <w:pPr>
        <w:spacing w:before="0"/>
        <w:rPr>
          <w:iCs/>
          <w:spacing w:val="-5"/>
          <w:lang w:eastAsia="en-US"/>
        </w:rPr>
      </w:pPr>
      <w:r w:rsidRPr="003331EF">
        <w:rPr>
          <w:iCs/>
          <w:spacing w:val="-5"/>
          <w:lang w:eastAsia="en-US"/>
        </w:rPr>
        <w:t xml:space="preserve">Sellest tulenevalt on kapitalinõude kehtestamine asjakohane. Teisalt, nagu juba öeldud, ei ole antud nõue ka liigselt koormav, sest kapitalinõude summa ei ole suur. </w:t>
      </w:r>
    </w:p>
    <w:p w14:paraId="3E35D450" w14:textId="77777777" w:rsidR="009C5912" w:rsidRPr="003331EF" w:rsidRDefault="009C5912" w:rsidP="003331EF">
      <w:pPr>
        <w:spacing w:before="0"/>
        <w:rPr>
          <w:iCs/>
          <w:spacing w:val="-5"/>
          <w:lang w:eastAsia="en-US"/>
        </w:rPr>
      </w:pPr>
    </w:p>
    <w:p w14:paraId="7417B7E9" w14:textId="49E99560" w:rsidR="009C5912" w:rsidRPr="003331EF" w:rsidRDefault="009C5912" w:rsidP="003331EF">
      <w:pPr>
        <w:spacing w:before="0"/>
        <w:rPr>
          <w:iCs/>
          <w:spacing w:val="-5"/>
          <w:lang w:eastAsia="en-US"/>
        </w:rPr>
      </w:pPr>
      <w:r w:rsidRPr="003331EF">
        <w:rPr>
          <w:iCs/>
          <w:spacing w:val="-5"/>
          <w:lang w:eastAsia="en-US"/>
        </w:rPr>
        <w:t>25 000 euro suurune kapital peab olema tasutud rahalise sissemaksena väikefondi valitseja asutamisel. Juba tegutsevate väikefondi valitsejate puhul rahalist sissemakset tegema ei pea, kui bilansis on piisavad vahendid olemas (nt jaotamata kasum).</w:t>
      </w:r>
    </w:p>
    <w:p w14:paraId="25D5D83C" w14:textId="77777777" w:rsidR="009C5912" w:rsidRPr="003331EF" w:rsidRDefault="009C5912" w:rsidP="003331EF">
      <w:pPr>
        <w:spacing w:before="0"/>
        <w:rPr>
          <w:iCs/>
          <w:spacing w:val="-5"/>
          <w:lang w:eastAsia="en-US"/>
        </w:rPr>
      </w:pPr>
    </w:p>
    <w:p w14:paraId="16C3D968" w14:textId="77777777" w:rsidR="001E6CE6" w:rsidRPr="003331EF" w:rsidRDefault="001E6CE6" w:rsidP="003331EF">
      <w:pPr>
        <w:spacing w:before="0"/>
        <w:rPr>
          <w:iCs/>
          <w:spacing w:val="-5"/>
          <w:lang w:eastAsia="en-US"/>
        </w:rPr>
      </w:pPr>
      <w:r w:rsidRPr="003331EF">
        <w:rPr>
          <w:b/>
          <w:bCs/>
        </w:rPr>
        <w:t>Lõikes 2</w:t>
      </w:r>
      <w:r w:rsidRPr="003331EF">
        <w:t xml:space="preserve"> </w:t>
      </w:r>
      <w:r w:rsidRPr="003331EF">
        <w:rPr>
          <w:iCs/>
          <w:spacing w:val="-5"/>
          <w:lang w:eastAsia="en-US"/>
        </w:rPr>
        <w:t xml:space="preserve">on </w:t>
      </w:r>
      <w:proofErr w:type="spellStart"/>
      <w:r w:rsidRPr="003331EF">
        <w:rPr>
          <w:iCs/>
          <w:spacing w:val="-5"/>
          <w:lang w:eastAsia="en-US"/>
        </w:rPr>
        <w:t>taasesitatud</w:t>
      </w:r>
      <w:proofErr w:type="spellEnd"/>
      <w:r w:rsidRPr="003331EF">
        <w:rPr>
          <w:iCs/>
          <w:spacing w:val="-5"/>
          <w:lang w:eastAsia="en-US"/>
        </w:rPr>
        <w:t xml:space="preserve"> kehtivas sõnastuses IFS § 453 lõige 8, mis kohustab registreeritud väikefondi valitsejat esitama Finantsinspektsioonile regulaarset teavet vastavalt IFS §-s 454 sätestatule (teabe nõuded on kehtestatud komisjoni delegeeritud määruses (EL) nr 231/2013). </w:t>
      </w:r>
    </w:p>
    <w:p w14:paraId="47E5957A" w14:textId="77777777" w:rsidR="001E6CE6" w:rsidRPr="003331EF" w:rsidRDefault="001E6CE6" w:rsidP="003331EF">
      <w:pPr>
        <w:spacing w:before="0"/>
      </w:pPr>
    </w:p>
    <w:p w14:paraId="4992D32A" w14:textId="293E29DB" w:rsidR="001E6CE6" w:rsidRPr="003331EF" w:rsidRDefault="001E6CE6" w:rsidP="003331EF">
      <w:pPr>
        <w:spacing w:before="0"/>
        <w:rPr>
          <w:iCs/>
          <w:spacing w:val="-5"/>
          <w:lang w:eastAsia="en-US"/>
        </w:rPr>
      </w:pPr>
      <w:r w:rsidRPr="003331EF">
        <w:rPr>
          <w:b/>
          <w:bCs/>
        </w:rPr>
        <w:t xml:space="preserve">Lõikes </w:t>
      </w:r>
      <w:r w:rsidR="009C5912" w:rsidRPr="003331EF">
        <w:rPr>
          <w:b/>
          <w:bCs/>
        </w:rPr>
        <w:t>3</w:t>
      </w:r>
      <w:r w:rsidRPr="003331EF">
        <w:t xml:space="preserve"> </w:t>
      </w:r>
      <w:r w:rsidRPr="003331EF">
        <w:rPr>
          <w:iCs/>
          <w:spacing w:val="-5"/>
          <w:lang w:eastAsia="en-US"/>
        </w:rPr>
        <w:t>reguleeritakse registreeritud väikefondi valitseja valitsetavate fondide kohta reklaami avaldamist. Tegemist on uue nõudega. Eelnõu lubab selliste fondide kohta edaspidi reklaami avaldada üksnes tingimusel, et reklaam sisaldab teavet ka selle kohta, et väikefondi valitseja tegutseb registreeringu alusel ja ei oma fondivalitseja ega väikefondi valitseja tegevusluba ning</w:t>
      </w:r>
      <w:r w:rsidR="00AD0B64" w:rsidRPr="003331EF">
        <w:rPr>
          <w:iCs/>
          <w:spacing w:val="-5"/>
          <w:lang w:eastAsia="en-US"/>
        </w:rPr>
        <w:t xml:space="preserve"> et</w:t>
      </w:r>
      <w:r w:rsidRPr="003331EF">
        <w:rPr>
          <w:iCs/>
          <w:spacing w:val="-5"/>
          <w:lang w:eastAsia="en-US"/>
        </w:rPr>
        <w:t xml:space="preserve"> Finantsinspektsioon ei teosta tema tegevuse üle järelevalvet. </w:t>
      </w:r>
    </w:p>
    <w:p w14:paraId="616121C3" w14:textId="77777777" w:rsidR="00F6348B" w:rsidRPr="003331EF" w:rsidRDefault="00F6348B" w:rsidP="003331EF">
      <w:pPr>
        <w:spacing w:before="0"/>
        <w:rPr>
          <w:iCs/>
          <w:spacing w:val="-5"/>
          <w:lang w:eastAsia="en-US"/>
        </w:rPr>
      </w:pPr>
    </w:p>
    <w:p w14:paraId="20BBC5BB" w14:textId="50D88C93" w:rsidR="001E6CE6" w:rsidRPr="003331EF" w:rsidRDefault="001E6CE6" w:rsidP="003331EF">
      <w:pPr>
        <w:spacing w:before="0"/>
        <w:rPr>
          <w:iCs/>
          <w:spacing w:val="-5"/>
          <w:lang w:eastAsia="en-US"/>
        </w:rPr>
      </w:pPr>
      <w:r w:rsidRPr="003331EF">
        <w:rPr>
          <w:iCs/>
          <w:spacing w:val="-5"/>
          <w:lang w:eastAsia="en-US"/>
        </w:rPr>
        <w:t>Registreeritud väikefondi valitsejate puhul on kujunenud praktika, kus investorite leidmiseks kasutatakse tihti professionaalselt koostatud veebilehti, mis on tehtud sarnaseks avaliku fondi pakkumise reklaamile ja on kättesaadavad kõigile. Kuigi üldjuhul ei sisalda vastavad veebilehed otseseid üleskutseid fondi investeerida, näidatakse neis fondide tootlust ja muid andmeid, rõhutades häid investeerimisvõimalusi. Selliseid fonde ei ole lubatud pakkuda avalikult, mistõttu ei peaks mitteavaliku fondi valitseja võimaldama selliselt kolmandatele isikutele ligipääsu fondi dokumentatsioonile, tulemustele ega seda fondi puudutavale statistikale laiemalt. Eelnõuga suurendatakse avaldatava reklaami läbipaistvust</w:t>
      </w:r>
      <w:r w:rsidR="00AD0B64" w:rsidRPr="003331EF">
        <w:rPr>
          <w:iCs/>
          <w:spacing w:val="-5"/>
          <w:lang w:eastAsia="en-US"/>
        </w:rPr>
        <w:t>, juhtides potentsiaalsete investorite tähelepanu selliste investeeringute olulistele asjaoludele.</w:t>
      </w:r>
      <w:r w:rsidRPr="003331EF">
        <w:rPr>
          <w:iCs/>
          <w:spacing w:val="-5"/>
          <w:lang w:eastAsia="en-US"/>
        </w:rPr>
        <w:t xml:space="preserve"> </w:t>
      </w:r>
    </w:p>
    <w:p w14:paraId="69148A7F" w14:textId="77777777" w:rsidR="001E6CE6" w:rsidRPr="003331EF" w:rsidRDefault="001E6CE6" w:rsidP="003331EF">
      <w:pPr>
        <w:spacing w:before="0"/>
      </w:pPr>
    </w:p>
    <w:p w14:paraId="5E9D57BF" w14:textId="1E95D153" w:rsidR="001E6CE6" w:rsidRPr="003331EF" w:rsidRDefault="001E6CE6" w:rsidP="003331EF">
      <w:pPr>
        <w:spacing w:before="0"/>
        <w:rPr>
          <w:iCs/>
          <w:spacing w:val="-5"/>
          <w:lang w:eastAsia="en-US"/>
        </w:rPr>
      </w:pPr>
      <w:r w:rsidRPr="003331EF">
        <w:rPr>
          <w:b/>
          <w:bCs/>
        </w:rPr>
        <w:t xml:space="preserve">Lõikes </w:t>
      </w:r>
      <w:r w:rsidR="00AD0B64" w:rsidRPr="003331EF">
        <w:rPr>
          <w:b/>
          <w:bCs/>
        </w:rPr>
        <w:t>4</w:t>
      </w:r>
      <w:r w:rsidRPr="003331EF">
        <w:t xml:space="preserve"> </w:t>
      </w:r>
      <w:r w:rsidRPr="003331EF">
        <w:rPr>
          <w:iCs/>
          <w:spacing w:val="-5"/>
          <w:lang w:eastAsia="en-US"/>
        </w:rPr>
        <w:t xml:space="preserve">kehtestatakse Finantsinspektsiooni teavitamise kohustus. Registreeritud väikefondi valitsejal tuleb teavitada viivitamata Finantsinspektsiooni oma kontaktandmete, juhatuse liikmete, aktsionäride või osanike struktuuri ja põhikirja või muu samaväärse dokumendi muutmisest ning esitada vastavad andmed või dokumendid. Sarnane teavitamiskohustus oli kehtivas sõnastuses IFS § 453 lõikes 7. Eelnõuga laiendatakse teavitamiskohustust juhatuse liikmete ja omanike struktuuri </w:t>
      </w:r>
      <w:r w:rsidRPr="003331EF">
        <w:rPr>
          <w:iCs/>
          <w:spacing w:val="-5"/>
          <w:lang w:eastAsia="en-US"/>
        </w:rPr>
        <w:lastRenderedPageBreak/>
        <w:t xml:space="preserve">muudatustest teavitamisele, mille kohta tuleb eelnõu kohaselt andmed esitada ka registreerimise taotlemisel. Muudatustest teavitamine on vajalik, et oleks võimalik veenduda registrist kustutamise aluste puudumises. </w:t>
      </w:r>
    </w:p>
    <w:p w14:paraId="0798E1DB" w14:textId="77777777" w:rsidR="001E6CE6" w:rsidRPr="003331EF" w:rsidRDefault="001E6CE6" w:rsidP="003331EF">
      <w:pPr>
        <w:spacing w:before="0"/>
      </w:pPr>
    </w:p>
    <w:p w14:paraId="553C18CC" w14:textId="1817ED25" w:rsidR="001E6CE6" w:rsidRPr="003331EF" w:rsidRDefault="000A43BF" w:rsidP="003331EF">
      <w:pPr>
        <w:spacing w:before="0"/>
        <w:rPr>
          <w:iCs/>
          <w:spacing w:val="-5"/>
          <w:lang w:eastAsia="en-US"/>
        </w:rPr>
      </w:pPr>
      <w:r w:rsidRPr="003331EF">
        <w:rPr>
          <w:iCs/>
          <w:spacing w:val="-5"/>
          <w:lang w:eastAsia="en-US"/>
        </w:rPr>
        <w:t>T</w:t>
      </w:r>
      <w:r w:rsidR="001E6CE6" w:rsidRPr="003331EF">
        <w:rPr>
          <w:iCs/>
          <w:spacing w:val="-5"/>
          <w:lang w:eastAsia="en-US"/>
        </w:rPr>
        <w:t>ei</w:t>
      </w:r>
      <w:r w:rsidRPr="003331EF">
        <w:rPr>
          <w:iCs/>
          <w:spacing w:val="-5"/>
          <w:lang w:eastAsia="en-US"/>
        </w:rPr>
        <w:t>s</w:t>
      </w:r>
      <w:r w:rsidR="001E6CE6" w:rsidRPr="003331EF">
        <w:rPr>
          <w:iCs/>
          <w:spacing w:val="-5"/>
          <w:lang w:eastAsia="en-US"/>
        </w:rPr>
        <w:t>e uu</w:t>
      </w:r>
      <w:r w:rsidRPr="003331EF">
        <w:rPr>
          <w:iCs/>
          <w:spacing w:val="-5"/>
          <w:lang w:eastAsia="en-US"/>
        </w:rPr>
        <w:t>e</w:t>
      </w:r>
      <w:r w:rsidR="001E6CE6" w:rsidRPr="003331EF">
        <w:rPr>
          <w:iCs/>
          <w:spacing w:val="-5"/>
          <w:lang w:eastAsia="en-US"/>
        </w:rPr>
        <w:t xml:space="preserve"> paragrahv</w:t>
      </w:r>
      <w:r w:rsidRPr="003331EF">
        <w:rPr>
          <w:iCs/>
          <w:spacing w:val="-5"/>
          <w:lang w:eastAsia="en-US"/>
        </w:rPr>
        <w:t>iga (</w:t>
      </w:r>
      <w:r w:rsidRPr="003331EF">
        <w:rPr>
          <w:b/>
          <w:bCs/>
          <w:iCs/>
          <w:spacing w:val="-5"/>
          <w:lang w:eastAsia="en-US"/>
        </w:rPr>
        <w:t>§ 453</w:t>
      </w:r>
      <w:r w:rsidRPr="003331EF">
        <w:rPr>
          <w:b/>
          <w:bCs/>
          <w:iCs/>
          <w:spacing w:val="-5"/>
          <w:vertAlign w:val="superscript"/>
          <w:lang w:eastAsia="en-US"/>
        </w:rPr>
        <w:t>2</w:t>
      </w:r>
      <w:r w:rsidRPr="003331EF">
        <w:rPr>
          <w:iCs/>
          <w:spacing w:val="-5"/>
          <w:lang w:eastAsia="en-US"/>
        </w:rPr>
        <w:t>)</w:t>
      </w:r>
      <w:r w:rsidR="001E6CE6" w:rsidRPr="003331EF">
        <w:rPr>
          <w:iCs/>
          <w:spacing w:val="-5"/>
          <w:lang w:eastAsia="en-US"/>
        </w:rPr>
        <w:t xml:space="preserve"> reguleeritakse väikefondi valitseja registrist kustutamist. Registrist kustutamist puudutavad normid on kehtestatud kehtivas sõnastuses IFS § 453 lõigetes 9 ja 10, mis tuuakse eelnõuga uude paragrahvi.  </w:t>
      </w:r>
    </w:p>
    <w:p w14:paraId="549963B0" w14:textId="77777777" w:rsidR="001E6CE6" w:rsidRPr="003331EF" w:rsidRDefault="001E6CE6" w:rsidP="003331EF">
      <w:pPr>
        <w:spacing w:before="0"/>
      </w:pPr>
    </w:p>
    <w:p w14:paraId="7D901EDA" w14:textId="77777777" w:rsidR="001E6CE6" w:rsidRPr="003331EF" w:rsidRDefault="001E6CE6" w:rsidP="003331EF">
      <w:pPr>
        <w:spacing w:before="0"/>
        <w:rPr>
          <w:iCs/>
          <w:spacing w:val="-5"/>
          <w:lang w:eastAsia="en-US"/>
        </w:rPr>
      </w:pPr>
      <w:r w:rsidRPr="003331EF">
        <w:rPr>
          <w:b/>
          <w:bCs/>
        </w:rPr>
        <w:t>Lõike 1</w:t>
      </w:r>
      <w:r w:rsidRPr="003331EF">
        <w:t xml:space="preserve"> </w:t>
      </w:r>
      <w:r w:rsidRPr="003331EF">
        <w:rPr>
          <w:iCs/>
          <w:spacing w:val="-5"/>
          <w:lang w:eastAsia="en-US"/>
        </w:rPr>
        <w:t xml:space="preserve">kohaselt tuleb väikefondi valitsejal teavitada viivitamata Finantsinspektsiooni väikefondi valitsejana tegutsemise lõpetamisest või kui ta ei ole kuue kuu jooksul tema registreerimisest arvates alustanud fondi valitsemist ning esitada vastavat asjaolu kinnitavad andmed. Sama näeb ette ka kehtiv norm (IFS § 453 lg 9 esimene lause). </w:t>
      </w:r>
    </w:p>
    <w:p w14:paraId="51C7FB14" w14:textId="77777777" w:rsidR="001E6CE6" w:rsidRPr="003331EF" w:rsidRDefault="001E6CE6" w:rsidP="003331EF">
      <w:pPr>
        <w:spacing w:before="0"/>
      </w:pPr>
    </w:p>
    <w:p w14:paraId="1CFC7BBF" w14:textId="41417913" w:rsidR="001E6CE6" w:rsidRPr="003331EF" w:rsidRDefault="001E6CE6" w:rsidP="003331EF">
      <w:pPr>
        <w:spacing w:before="0"/>
      </w:pPr>
      <w:r w:rsidRPr="003331EF">
        <w:rPr>
          <w:b/>
          <w:bCs/>
        </w:rPr>
        <w:t>Lõike</w:t>
      </w:r>
      <w:r w:rsidR="00CC5580" w:rsidRPr="003331EF">
        <w:rPr>
          <w:b/>
          <w:bCs/>
        </w:rPr>
        <w:t>s</w:t>
      </w:r>
      <w:r w:rsidRPr="003331EF">
        <w:rPr>
          <w:b/>
          <w:bCs/>
        </w:rPr>
        <w:t xml:space="preserve"> 2 </w:t>
      </w:r>
      <w:r w:rsidRPr="003331EF">
        <w:t xml:space="preserve"> </w:t>
      </w:r>
      <w:r w:rsidR="00CC5580" w:rsidRPr="003331EF">
        <w:t xml:space="preserve">sätestatakse, et </w:t>
      </w:r>
      <w:r w:rsidRPr="003331EF">
        <w:rPr>
          <w:iCs/>
          <w:spacing w:val="-5"/>
          <w:lang w:eastAsia="en-US"/>
        </w:rPr>
        <w:t>Finantsinspektsioon kustutab väikefondi valitseja registrist väikefondi valitseja lõppemisel (so kui väikefondi valitseja on likvideeritud või sundlõpetatud või tema suhtes on pankrot väljakuulutatud või algatatud pankrotimenetlus on raugenud).</w:t>
      </w:r>
    </w:p>
    <w:p w14:paraId="68C36C55" w14:textId="77777777" w:rsidR="001E6CE6" w:rsidRPr="003331EF" w:rsidRDefault="001E6CE6" w:rsidP="003331EF">
      <w:pPr>
        <w:spacing w:before="0"/>
      </w:pPr>
    </w:p>
    <w:p w14:paraId="0B1D394E" w14:textId="6F2C58E6" w:rsidR="001E6CE6" w:rsidRPr="003331EF" w:rsidRDefault="00CC5580" w:rsidP="003331EF">
      <w:pPr>
        <w:spacing w:before="0"/>
      </w:pPr>
      <w:r w:rsidRPr="003331EF">
        <w:t>Lisaks kehtestab</w:t>
      </w:r>
      <w:r w:rsidRPr="003331EF">
        <w:rPr>
          <w:b/>
          <w:bCs/>
        </w:rPr>
        <w:t xml:space="preserve"> l</w:t>
      </w:r>
      <w:r w:rsidR="001E6CE6" w:rsidRPr="003331EF">
        <w:rPr>
          <w:b/>
          <w:bCs/>
        </w:rPr>
        <w:t>õige 3</w:t>
      </w:r>
      <w:r w:rsidRPr="003331EF">
        <w:rPr>
          <w:b/>
          <w:bCs/>
        </w:rPr>
        <w:t xml:space="preserve"> </w:t>
      </w:r>
      <w:r w:rsidRPr="003331EF">
        <w:t>täiendavad alused</w:t>
      </w:r>
      <w:r w:rsidR="001E6CE6" w:rsidRPr="003331EF">
        <w:rPr>
          <w:iCs/>
          <w:spacing w:val="-5"/>
          <w:lang w:eastAsia="en-US"/>
        </w:rPr>
        <w:t xml:space="preserve">, mil Finantsinspektsioon saab kaaluda väikefondi valitseja registrist kustutamist. Finantsinspektsioon võib väikefondi valitseja registrist kustutada, kui: (i) väikefondi valitseja ei ole kuue kuu jooksul tema registreerimisest arvates alustanud fondi valitsemist; (ii) registreeringu taotlemisel on Finantsinspektsioonile esitatud ebaõigeid, eksitavaid või puudulikke andmeid, millel oli registreerimise otsustamisel oluline tähendus; (iii) väikefondi valitseja avaldab oma tegevuse või tegutsemise õiguse kohta oluliselt ebaõigeid või eksitavaid andmeid või reklaami; (iv) väikefondi valitseja on toime pannud rahapesualase rikkumise või rikub õigusaktiga kehtestatud rahapesu ja terrorismi rahastamise tõkestamise korda; (v) esinevad IFS § 453 lõikes </w:t>
      </w:r>
      <w:r w:rsidR="00AD0B64" w:rsidRPr="003331EF">
        <w:rPr>
          <w:iCs/>
          <w:spacing w:val="-5"/>
          <w:lang w:eastAsia="en-US"/>
        </w:rPr>
        <w:t>9</w:t>
      </w:r>
      <w:r w:rsidR="001E6CE6" w:rsidRPr="003331EF">
        <w:rPr>
          <w:iCs/>
          <w:spacing w:val="-5"/>
          <w:lang w:eastAsia="en-US"/>
        </w:rPr>
        <w:t xml:space="preserve"> sätestatud alused või (vi) väikefondi valitseja ei ole esitanud IFS §-s 454 ette nähtud teavet tähtaegselt. Sellised alused on ka kehtivas regulatsioonis, vt IFS § 453 lõiget 10. Uue normina on eelnõuga registrist kustutamise aluste loetellu lisatud </w:t>
      </w:r>
      <w:r w:rsidR="00AD0B64" w:rsidRPr="003331EF">
        <w:rPr>
          <w:iCs/>
          <w:spacing w:val="-5"/>
          <w:lang w:eastAsia="en-US"/>
        </w:rPr>
        <w:t xml:space="preserve">üksnes </w:t>
      </w:r>
      <w:r w:rsidR="001E6CE6" w:rsidRPr="003331EF">
        <w:rPr>
          <w:iCs/>
          <w:spacing w:val="-5"/>
          <w:lang w:eastAsia="en-US"/>
        </w:rPr>
        <w:t xml:space="preserve">IFS §-s 454 ette nähtud teabe tähtaegselt esitamata jätmine. </w:t>
      </w:r>
    </w:p>
    <w:p w14:paraId="73A7E72B" w14:textId="77777777" w:rsidR="00E06F8D" w:rsidRPr="003331EF" w:rsidRDefault="00E06F8D" w:rsidP="003331EF">
      <w:pPr>
        <w:spacing w:before="0"/>
      </w:pPr>
    </w:p>
    <w:p w14:paraId="7B2C0BC5" w14:textId="76F21554" w:rsidR="001E6CE6" w:rsidRPr="003331EF" w:rsidRDefault="001E6CE6" w:rsidP="003331EF">
      <w:pPr>
        <w:spacing w:before="0"/>
      </w:pPr>
      <w:r w:rsidRPr="003331EF">
        <w:rPr>
          <w:iCs/>
          <w:spacing w:val="-5"/>
          <w:lang w:eastAsia="en-US"/>
        </w:rPr>
        <w:t xml:space="preserve">Lõigetes </w:t>
      </w:r>
      <w:r w:rsidR="00CC5580" w:rsidRPr="003331EF">
        <w:rPr>
          <w:iCs/>
          <w:spacing w:val="-5"/>
          <w:lang w:eastAsia="en-US"/>
        </w:rPr>
        <w:t>4</w:t>
      </w:r>
      <w:r w:rsidRPr="003331EF">
        <w:rPr>
          <w:iCs/>
          <w:spacing w:val="-5"/>
          <w:lang w:eastAsia="en-US"/>
        </w:rPr>
        <w:t xml:space="preserve"> ja </w:t>
      </w:r>
      <w:r w:rsidR="00CC5580" w:rsidRPr="003331EF">
        <w:rPr>
          <w:iCs/>
          <w:spacing w:val="-5"/>
          <w:lang w:eastAsia="en-US"/>
        </w:rPr>
        <w:t>5</w:t>
      </w:r>
      <w:r w:rsidRPr="003331EF">
        <w:rPr>
          <w:iCs/>
          <w:spacing w:val="-5"/>
          <w:lang w:eastAsia="en-US"/>
        </w:rPr>
        <w:t xml:space="preserve"> on uued normid. </w:t>
      </w:r>
      <w:r w:rsidRPr="003331EF">
        <w:rPr>
          <w:b/>
          <w:bCs/>
        </w:rPr>
        <w:t xml:space="preserve">Lõige </w:t>
      </w:r>
      <w:r w:rsidR="00CC5580" w:rsidRPr="003331EF">
        <w:rPr>
          <w:b/>
          <w:bCs/>
        </w:rPr>
        <w:t>4</w:t>
      </w:r>
      <w:r w:rsidRPr="003331EF">
        <w:t xml:space="preserve"> </w:t>
      </w:r>
      <w:r w:rsidRPr="003331EF">
        <w:rPr>
          <w:iCs/>
          <w:spacing w:val="-5"/>
          <w:lang w:eastAsia="en-US"/>
        </w:rPr>
        <w:t>sätestab, et väikefondi valitseja kustutatakse registrist Finantsinspektsiooni otsusega ning et see otsus toimetakse viivitamata väikefondi valitsejale kätte. Täpsustus annab õigusselguse registrist kustutamise toimingu lõpule viimiseks.</w:t>
      </w:r>
    </w:p>
    <w:p w14:paraId="5F69C029" w14:textId="77777777" w:rsidR="001E6CE6" w:rsidRPr="003331EF" w:rsidRDefault="001E6CE6" w:rsidP="003331EF">
      <w:pPr>
        <w:spacing w:before="0"/>
      </w:pPr>
    </w:p>
    <w:p w14:paraId="63CC8BBC" w14:textId="402940DC" w:rsidR="001E6CE6" w:rsidRPr="003331EF" w:rsidRDefault="001E6CE6" w:rsidP="003331EF">
      <w:pPr>
        <w:spacing w:before="0"/>
      </w:pPr>
      <w:r w:rsidRPr="003331EF">
        <w:rPr>
          <w:b/>
          <w:bCs/>
        </w:rPr>
        <w:t xml:space="preserve">Lõige </w:t>
      </w:r>
      <w:r w:rsidR="00CC5580" w:rsidRPr="003331EF">
        <w:rPr>
          <w:b/>
          <w:bCs/>
        </w:rPr>
        <w:t>5</w:t>
      </w:r>
      <w:r w:rsidRPr="003331EF">
        <w:t xml:space="preserve"> </w:t>
      </w:r>
      <w:r w:rsidRPr="003331EF">
        <w:rPr>
          <w:iCs/>
          <w:spacing w:val="-5"/>
          <w:lang w:eastAsia="en-US"/>
        </w:rPr>
        <w:t>kehtestab fondivalitsejale kohustused, mida tal tuleb pärast registrist kustutamist täita, et oma tegevus väikefondi valitsejana ka praktiliselt lõpetada. Peale registrist kustutamist tuleb väikefondi valitsejal lõpetada oma valitsetavate fondide aktsiate või osade väljalaskmi</w:t>
      </w:r>
      <w:r w:rsidR="00C15680" w:rsidRPr="003331EF">
        <w:rPr>
          <w:iCs/>
          <w:spacing w:val="-5"/>
          <w:lang w:eastAsia="en-US"/>
        </w:rPr>
        <w:t>n</w:t>
      </w:r>
      <w:r w:rsidRPr="003331EF">
        <w:rPr>
          <w:iCs/>
          <w:spacing w:val="-5"/>
          <w:lang w:eastAsia="en-US"/>
        </w:rPr>
        <w:t>e, st fondivalitseja ei või enam uusi sissemakseid fondi vastu võtta. Kahe kuu jooksul registrist kustutamisest arvates tuleb fondivalitsejal alustada fondide likvideerimist või anda nende valitsemine üle teisele fondivalitsejale (kellel on olemas selleks vajalik tegevusluba või registreering). Et Finantsinspektsioon oleks väikefondi valitseja tegevuse lõpetamise protsessi asjaoludega kursis, tuleb teda fondide likvideerimise alustamisest</w:t>
      </w:r>
      <w:r w:rsidR="000A43BF" w:rsidRPr="003331EF">
        <w:rPr>
          <w:iCs/>
          <w:spacing w:val="-5"/>
          <w:lang w:eastAsia="en-US"/>
        </w:rPr>
        <w:t xml:space="preserve"> arvates viivitamata</w:t>
      </w:r>
      <w:r w:rsidRPr="003331EF">
        <w:rPr>
          <w:iCs/>
          <w:spacing w:val="-5"/>
          <w:lang w:eastAsia="en-US"/>
        </w:rPr>
        <w:t xml:space="preserve"> ka teavitada ning pärast likvideerimise lõpetamist esitada selle kohta ka aruanne.</w:t>
      </w:r>
      <w:r w:rsidRPr="003331EF">
        <w:t xml:space="preserve">  </w:t>
      </w:r>
    </w:p>
    <w:p w14:paraId="3BC417F3" w14:textId="77777777" w:rsidR="00762752" w:rsidRPr="003331EF" w:rsidRDefault="00762752" w:rsidP="003331EF">
      <w:pPr>
        <w:spacing w:before="0"/>
        <w:rPr>
          <w:iCs/>
          <w:spacing w:val="-5"/>
          <w:lang w:eastAsia="en-US"/>
        </w:rPr>
      </w:pPr>
    </w:p>
    <w:p w14:paraId="39199F36" w14:textId="77777777" w:rsidR="001E6CE6" w:rsidRPr="003331EF" w:rsidRDefault="001E6CE6" w:rsidP="003331EF">
      <w:pPr>
        <w:spacing w:before="0"/>
        <w:rPr>
          <w:iCs/>
          <w:spacing w:val="-5"/>
          <w:lang w:eastAsia="en-US"/>
        </w:rPr>
      </w:pPr>
      <w:r w:rsidRPr="003331EF">
        <w:rPr>
          <w:iCs/>
          <w:spacing w:val="-5"/>
          <w:lang w:eastAsia="en-US"/>
        </w:rPr>
        <w:t xml:space="preserve">Seaduse nõudeid rikkuva või nõuetele mittevastava väikefondi valitseja peamiseks sanktsiooniks on tema registrist kustutamine. Finantsinspektsioon ei ole saanud seda meedet aga praktikas rakendada, sest menetlusnormid ja kustutamise protsessi regulatsioon on puudulikud. Peamiseks probleemiks on tegutseva investeerimisfondi jätkamine olukorras, kus selle fondivalitseja ei oma enam õigust fondi valitseda. Eelnõus esitatud muudatused reguleerivad registrist kustutamise protsessi lõpuni ja tagavad selle, et pärast registrist kustutamist oleks fondide valitsemine üle antud või fondid likvideeritud.  </w:t>
      </w:r>
    </w:p>
    <w:p w14:paraId="0270A29B" w14:textId="77777777" w:rsidR="001E6CE6" w:rsidRPr="003331EF" w:rsidRDefault="001E6CE6" w:rsidP="003331EF">
      <w:pPr>
        <w:spacing w:before="0"/>
      </w:pPr>
    </w:p>
    <w:p w14:paraId="6DFDDE4D" w14:textId="741BFDEB" w:rsidR="001E6CE6" w:rsidRPr="003331EF" w:rsidRDefault="00F6348B" w:rsidP="003331EF">
      <w:pPr>
        <w:spacing w:before="0"/>
      </w:pPr>
      <w:r w:rsidRPr="003331EF">
        <w:rPr>
          <w:b/>
          <w:bCs/>
        </w:rPr>
        <w:lastRenderedPageBreak/>
        <w:t xml:space="preserve">Punkt </w:t>
      </w:r>
      <w:r w:rsidR="000A43BF" w:rsidRPr="003331EF">
        <w:rPr>
          <w:b/>
          <w:bCs/>
        </w:rPr>
        <w:t>6</w:t>
      </w:r>
      <w:r w:rsidRPr="003331EF">
        <w:rPr>
          <w:b/>
          <w:bCs/>
        </w:rPr>
        <w:t xml:space="preserve">. </w:t>
      </w:r>
      <w:r w:rsidR="001E6CE6" w:rsidRPr="003331EF">
        <w:rPr>
          <w:b/>
          <w:bCs/>
        </w:rPr>
        <w:t>IFS § 516 lõi</w:t>
      </w:r>
      <w:r w:rsidR="00AD0B64" w:rsidRPr="003331EF">
        <w:rPr>
          <w:b/>
          <w:bCs/>
        </w:rPr>
        <w:t>g</w:t>
      </w:r>
      <w:r w:rsidR="001E6CE6" w:rsidRPr="003331EF">
        <w:rPr>
          <w:b/>
          <w:bCs/>
        </w:rPr>
        <w:t>e 12.</w:t>
      </w:r>
      <w:r w:rsidR="001E6CE6" w:rsidRPr="003331EF">
        <w:t xml:space="preserve"> </w:t>
      </w:r>
      <w:proofErr w:type="spellStart"/>
      <w:r w:rsidR="001E6CE6" w:rsidRPr="003331EF">
        <w:rPr>
          <w:iCs/>
          <w:spacing w:val="-5"/>
          <w:lang w:eastAsia="en-US"/>
        </w:rPr>
        <w:t>IFSi</w:t>
      </w:r>
      <w:proofErr w:type="spellEnd"/>
      <w:r w:rsidR="001E6CE6" w:rsidRPr="003331EF">
        <w:rPr>
          <w:iCs/>
          <w:spacing w:val="-5"/>
          <w:lang w:eastAsia="en-US"/>
        </w:rPr>
        <w:t xml:space="preserve"> rakendussätetesse lisatakse uu</w:t>
      </w:r>
      <w:r w:rsidR="00AD0B64" w:rsidRPr="003331EF">
        <w:rPr>
          <w:iCs/>
          <w:spacing w:val="-5"/>
          <w:lang w:eastAsia="en-US"/>
        </w:rPr>
        <w:t>s</w:t>
      </w:r>
      <w:r w:rsidR="001E6CE6" w:rsidRPr="003331EF">
        <w:rPr>
          <w:iCs/>
          <w:spacing w:val="-5"/>
          <w:lang w:eastAsia="en-US"/>
        </w:rPr>
        <w:t xml:space="preserve"> lõige, milles reguleeritakse enne eelnõu jõustumist kehtivat registreeringut omavate väikefondi valitsejate ja nende valitsetavate fondide üleminekut </w:t>
      </w:r>
      <w:r w:rsidR="00AD0B64" w:rsidRPr="003331EF">
        <w:rPr>
          <w:iCs/>
          <w:spacing w:val="-5"/>
          <w:lang w:eastAsia="en-US"/>
        </w:rPr>
        <w:t xml:space="preserve">kehtestatavale </w:t>
      </w:r>
      <w:r w:rsidR="001E6CE6" w:rsidRPr="003331EF">
        <w:rPr>
          <w:iCs/>
          <w:spacing w:val="-5"/>
          <w:lang w:eastAsia="en-US"/>
        </w:rPr>
        <w:t>kapitalinõu</w:t>
      </w:r>
      <w:r w:rsidR="00AD0B64" w:rsidRPr="003331EF">
        <w:rPr>
          <w:iCs/>
          <w:spacing w:val="-5"/>
          <w:lang w:eastAsia="en-US"/>
        </w:rPr>
        <w:t>d</w:t>
      </w:r>
      <w:r w:rsidR="001E6CE6" w:rsidRPr="003331EF">
        <w:rPr>
          <w:iCs/>
          <w:spacing w:val="-5"/>
          <w:lang w:eastAsia="en-US"/>
        </w:rPr>
        <w:t>e</w:t>
      </w:r>
      <w:r w:rsidR="00AD0B64" w:rsidRPr="003331EF">
        <w:rPr>
          <w:iCs/>
          <w:spacing w:val="-5"/>
          <w:lang w:eastAsia="en-US"/>
        </w:rPr>
        <w:t>le</w:t>
      </w:r>
      <w:r w:rsidR="001E6CE6" w:rsidRPr="003331EF">
        <w:rPr>
          <w:iCs/>
          <w:spacing w:val="-5"/>
          <w:lang w:eastAsia="en-US"/>
        </w:rPr>
        <w:t>.</w:t>
      </w:r>
      <w:r w:rsidR="001E6CE6" w:rsidRPr="003331EF">
        <w:t xml:space="preserve"> Lõige 12 </w:t>
      </w:r>
      <w:r w:rsidR="001E6CE6" w:rsidRPr="003331EF">
        <w:rPr>
          <w:iCs/>
          <w:spacing w:val="-5"/>
          <w:lang w:eastAsia="en-US"/>
        </w:rPr>
        <w:t>annab kapitalinõude jõustumise ajal kehtivat registreeringut omavale väikefondi valitsejale 12 kuud tema aktsia- või osakapitali uuele nõudele vastavusse viimiseks. Ühtlasi kohustab eelnõu väikefondi valitsejat Finantsinspektsiooni viivitamata teavitama, kui aktsia- või osakapital on viidud eelnõus esitatud kapitalinõudega vastavusse (IFS § 453</w:t>
      </w:r>
      <w:r w:rsidR="001E6CE6" w:rsidRPr="003331EF">
        <w:rPr>
          <w:iCs/>
          <w:spacing w:val="-5"/>
          <w:vertAlign w:val="superscript"/>
          <w:lang w:eastAsia="en-US"/>
        </w:rPr>
        <w:t>1</w:t>
      </w:r>
      <w:r w:rsidR="001E6CE6" w:rsidRPr="003331EF">
        <w:rPr>
          <w:iCs/>
          <w:spacing w:val="-5"/>
          <w:lang w:eastAsia="en-US"/>
        </w:rPr>
        <w:t xml:space="preserve"> lõige 1). Kui väikefondi valitseja oma kapitali kehtestatud nõudega vastavusse ei vii, ilmneb IFS § 453 lõike </w:t>
      </w:r>
      <w:r w:rsidR="00AD0B64" w:rsidRPr="003331EF">
        <w:rPr>
          <w:iCs/>
          <w:spacing w:val="-5"/>
          <w:lang w:eastAsia="en-US"/>
        </w:rPr>
        <w:t>9</w:t>
      </w:r>
      <w:r w:rsidR="001E6CE6" w:rsidRPr="003331EF">
        <w:rPr>
          <w:iCs/>
          <w:spacing w:val="-5"/>
          <w:lang w:eastAsia="en-US"/>
        </w:rPr>
        <w:t xml:space="preserve"> punktis 4 sätestatud asjaolu, millest tingituna on Finantsinspektsioonil omakorda IFS § 453</w:t>
      </w:r>
      <w:r w:rsidR="001E6CE6" w:rsidRPr="003331EF">
        <w:rPr>
          <w:iCs/>
          <w:spacing w:val="-5"/>
          <w:vertAlign w:val="superscript"/>
          <w:lang w:eastAsia="en-US"/>
        </w:rPr>
        <w:t>2</w:t>
      </w:r>
      <w:r w:rsidR="001E6CE6" w:rsidRPr="003331EF">
        <w:rPr>
          <w:iCs/>
          <w:spacing w:val="-5"/>
          <w:lang w:eastAsia="en-US"/>
        </w:rPr>
        <w:t xml:space="preserve"> lõike 4 punkti 5 alusel õigus väikefondi valitseja registrist kustutada.</w:t>
      </w:r>
      <w:r w:rsidR="001E6CE6" w:rsidRPr="003331EF">
        <w:t xml:space="preserve"> </w:t>
      </w:r>
    </w:p>
    <w:p w14:paraId="125C3EAD" w14:textId="77777777" w:rsidR="00CB27E8" w:rsidRPr="003331EF" w:rsidRDefault="00CB27E8" w:rsidP="003331EF">
      <w:pPr>
        <w:pStyle w:val="Normal2"/>
        <w:rPr>
          <w:b/>
          <w:sz w:val="24"/>
        </w:rPr>
      </w:pPr>
    </w:p>
    <w:p w14:paraId="796C47FA" w14:textId="76CF4964" w:rsidR="009B5D29" w:rsidRPr="003331EF" w:rsidRDefault="009B5D29" w:rsidP="003331EF">
      <w:pPr>
        <w:pStyle w:val="Normal2"/>
        <w:rPr>
          <w:b/>
          <w:sz w:val="24"/>
        </w:rPr>
      </w:pPr>
      <w:r w:rsidRPr="003331EF">
        <w:rPr>
          <w:b/>
          <w:sz w:val="24"/>
        </w:rPr>
        <w:t>Paragrahv 5</w:t>
      </w:r>
      <w:r w:rsidR="00C20CE7" w:rsidRPr="003331EF">
        <w:rPr>
          <w:b/>
          <w:sz w:val="24"/>
        </w:rPr>
        <w:t>1</w:t>
      </w:r>
      <w:r w:rsidRPr="003331EF">
        <w:rPr>
          <w:b/>
          <w:sz w:val="24"/>
        </w:rPr>
        <w:t>. Kindlustustegevuse seaduse muutmine</w:t>
      </w:r>
    </w:p>
    <w:p w14:paraId="31CA0FF4" w14:textId="77777777" w:rsidR="009B5D29" w:rsidRPr="003331EF" w:rsidRDefault="009B5D29" w:rsidP="003331EF">
      <w:pPr>
        <w:pStyle w:val="Normal2"/>
        <w:rPr>
          <w:b/>
          <w:sz w:val="24"/>
        </w:rPr>
      </w:pPr>
    </w:p>
    <w:p w14:paraId="62B56308" w14:textId="578BAD1F" w:rsidR="00A934AE" w:rsidRPr="003331EF" w:rsidRDefault="009B5D29" w:rsidP="003331EF">
      <w:pPr>
        <w:spacing w:before="0"/>
        <w:rPr>
          <w:iCs/>
          <w:spacing w:val="-5"/>
          <w:lang w:eastAsia="en-US"/>
        </w:rPr>
      </w:pPr>
      <w:r w:rsidRPr="003331EF">
        <w:rPr>
          <w:b/>
          <w:shd w:val="clear" w:color="auto" w:fill="FFFFFF"/>
        </w:rPr>
        <w:t>Paragrahviga 5</w:t>
      </w:r>
      <w:r w:rsidR="00C20CE7" w:rsidRPr="003331EF">
        <w:rPr>
          <w:b/>
          <w:shd w:val="clear" w:color="auto" w:fill="FFFFFF"/>
        </w:rPr>
        <w:t>1</w:t>
      </w:r>
      <w:r w:rsidRPr="003331EF">
        <w:rPr>
          <w:shd w:val="clear" w:color="auto" w:fill="FFFFFF"/>
        </w:rPr>
        <w:t xml:space="preserve"> </w:t>
      </w:r>
      <w:r w:rsidRPr="003331EF">
        <w:rPr>
          <w:iCs/>
          <w:spacing w:val="-5"/>
          <w:lang w:eastAsia="en-US"/>
        </w:rPr>
        <w:t xml:space="preserve">sätestatakse </w:t>
      </w:r>
      <w:proofErr w:type="spellStart"/>
      <w:r w:rsidRPr="003331EF">
        <w:rPr>
          <w:iCs/>
          <w:spacing w:val="-5"/>
          <w:lang w:eastAsia="en-US"/>
        </w:rPr>
        <w:t>KindlTS</w:t>
      </w:r>
      <w:proofErr w:type="spellEnd"/>
      <w:r w:rsidRPr="003331EF">
        <w:rPr>
          <w:iCs/>
          <w:spacing w:val="-5"/>
          <w:lang w:eastAsia="en-US"/>
        </w:rPr>
        <w:t xml:space="preserve"> muudatused. </w:t>
      </w:r>
    </w:p>
    <w:p w14:paraId="5175AF8B" w14:textId="77777777" w:rsidR="00A934AE" w:rsidRPr="003331EF" w:rsidRDefault="00A934AE" w:rsidP="003331EF">
      <w:pPr>
        <w:spacing w:before="0"/>
        <w:rPr>
          <w:iCs/>
          <w:spacing w:val="-5"/>
          <w:lang w:eastAsia="en-US"/>
        </w:rPr>
      </w:pPr>
    </w:p>
    <w:p w14:paraId="18FDC987" w14:textId="204B34CE" w:rsidR="00A934AE" w:rsidRPr="003331EF" w:rsidRDefault="00A934AE" w:rsidP="003331EF">
      <w:pPr>
        <w:spacing w:before="0"/>
        <w:rPr>
          <w:rFonts w:ascii="Arial" w:hAnsi="Arial" w:cs="Arial"/>
          <w:sz w:val="21"/>
          <w:szCs w:val="21"/>
          <w:shd w:val="clear" w:color="auto" w:fill="FFFFFF"/>
        </w:rPr>
      </w:pPr>
      <w:r w:rsidRPr="003331EF">
        <w:rPr>
          <w:b/>
          <w:bCs/>
          <w:iCs/>
          <w:spacing w:val="-5"/>
          <w:lang w:eastAsia="en-US"/>
        </w:rPr>
        <w:t xml:space="preserve">Punkt 1. </w:t>
      </w:r>
      <w:proofErr w:type="spellStart"/>
      <w:r w:rsidRPr="003331EF">
        <w:rPr>
          <w:b/>
          <w:bCs/>
          <w:iCs/>
          <w:spacing w:val="-5"/>
          <w:lang w:eastAsia="en-US"/>
        </w:rPr>
        <w:t>KindlTS</w:t>
      </w:r>
      <w:proofErr w:type="spellEnd"/>
      <w:r w:rsidRPr="003331EF">
        <w:rPr>
          <w:b/>
          <w:bCs/>
          <w:iCs/>
          <w:spacing w:val="-5"/>
          <w:lang w:eastAsia="en-US"/>
        </w:rPr>
        <w:t xml:space="preserve"> § 107 uus lõige 4</w:t>
      </w:r>
      <w:r w:rsidRPr="003331EF">
        <w:rPr>
          <w:b/>
          <w:bCs/>
          <w:iCs/>
          <w:spacing w:val="-5"/>
          <w:vertAlign w:val="superscript"/>
          <w:lang w:eastAsia="en-US"/>
        </w:rPr>
        <w:t>1</w:t>
      </w:r>
      <w:r w:rsidRPr="003331EF">
        <w:rPr>
          <w:b/>
          <w:bCs/>
          <w:iCs/>
          <w:spacing w:val="-5"/>
          <w:lang w:eastAsia="en-US"/>
        </w:rPr>
        <w:t xml:space="preserve">. </w:t>
      </w:r>
      <w:r w:rsidRPr="003331EF">
        <w:rPr>
          <w:iCs/>
          <w:spacing w:val="-5"/>
          <w:lang w:eastAsia="en-US"/>
        </w:rPr>
        <w:t>Kui § 107 lõike 7 kohaselt peab kindlustusandja teavitama Finantsinspektsiooni kindlustusandja juhi või vastutava isiku valimise või määramise kavatsusest, esitades Finantsinspektsioonile vastavad andmed ja dokumendid ning juhatuse liikme puhul tema vastutusvaldkonna kirjelduse vähemalt 30 päeva enne nimetatud otsuse tegemist, siis uue lõike 4</w:t>
      </w:r>
      <w:r w:rsidRPr="003331EF">
        <w:rPr>
          <w:iCs/>
          <w:spacing w:val="-5"/>
          <w:vertAlign w:val="superscript"/>
          <w:lang w:eastAsia="en-US"/>
        </w:rPr>
        <w:t>1</w:t>
      </w:r>
      <w:r w:rsidRPr="003331EF">
        <w:rPr>
          <w:iCs/>
          <w:spacing w:val="-5"/>
          <w:lang w:eastAsia="en-US"/>
        </w:rPr>
        <w:t xml:space="preserve"> kohaselt ei kohaldata viidatud tähtaega, kui dokumentide tähtaegselt esitamine ei ole mõjuval põhjusel võimalik (näiteks erakorralised, sh tervislikud põhjused). Sama kehtib Finantsinspektsiooni teavitamisele, kui kindlustusandja kavatseb pikendada juhi või vastutava isiku ametiaega.</w:t>
      </w:r>
    </w:p>
    <w:p w14:paraId="5F056EF0" w14:textId="77777777" w:rsidR="00A934AE" w:rsidRPr="003331EF" w:rsidRDefault="00A934AE" w:rsidP="003331EF">
      <w:pPr>
        <w:spacing w:before="0"/>
        <w:rPr>
          <w:iCs/>
          <w:spacing w:val="-5"/>
          <w:lang w:eastAsia="en-US"/>
        </w:rPr>
      </w:pPr>
    </w:p>
    <w:p w14:paraId="28B24EA7" w14:textId="61D76BB0" w:rsidR="009B5D29" w:rsidRPr="003331EF" w:rsidRDefault="000020ED" w:rsidP="003331EF">
      <w:pPr>
        <w:spacing w:before="0"/>
        <w:rPr>
          <w:bCs/>
        </w:rPr>
      </w:pPr>
      <w:r w:rsidRPr="003331EF">
        <w:rPr>
          <w:b/>
          <w:bCs/>
          <w:iCs/>
          <w:spacing w:val="-5"/>
          <w:lang w:eastAsia="en-US"/>
        </w:rPr>
        <w:t xml:space="preserve">Punkt 2. </w:t>
      </w:r>
      <w:proofErr w:type="spellStart"/>
      <w:r w:rsidR="009B5D29" w:rsidRPr="003331EF">
        <w:rPr>
          <w:b/>
          <w:bCs/>
          <w:iCs/>
          <w:spacing w:val="-5"/>
          <w:lang w:eastAsia="en-US"/>
        </w:rPr>
        <w:t>KindlTS</w:t>
      </w:r>
      <w:proofErr w:type="spellEnd"/>
      <w:r w:rsidR="009B5D29" w:rsidRPr="003331EF">
        <w:rPr>
          <w:b/>
          <w:bCs/>
          <w:iCs/>
          <w:spacing w:val="-5"/>
          <w:lang w:eastAsia="en-US"/>
        </w:rPr>
        <w:t>-i § 109 lõi</w:t>
      </w:r>
      <w:r w:rsidRPr="003331EF">
        <w:rPr>
          <w:b/>
          <w:bCs/>
          <w:iCs/>
          <w:spacing w:val="-5"/>
          <w:lang w:eastAsia="en-US"/>
        </w:rPr>
        <w:t>ke</w:t>
      </w:r>
      <w:r w:rsidR="009B5D29" w:rsidRPr="003331EF">
        <w:rPr>
          <w:b/>
          <w:bCs/>
          <w:iCs/>
          <w:spacing w:val="-5"/>
          <w:lang w:eastAsia="en-US"/>
        </w:rPr>
        <w:t xml:space="preserve"> 2</w:t>
      </w:r>
      <w:r w:rsidRPr="003331EF">
        <w:rPr>
          <w:b/>
          <w:bCs/>
          <w:iCs/>
          <w:spacing w:val="-5"/>
          <w:lang w:eastAsia="en-US"/>
        </w:rPr>
        <w:t xml:space="preserve"> muutmine</w:t>
      </w:r>
      <w:r w:rsidR="009B5D29" w:rsidRPr="003331EF">
        <w:rPr>
          <w:b/>
          <w:bCs/>
          <w:iCs/>
          <w:spacing w:val="-5"/>
          <w:lang w:eastAsia="en-US"/>
        </w:rPr>
        <w:t>.</w:t>
      </w:r>
      <w:r w:rsidR="009B5D29" w:rsidRPr="003331EF">
        <w:rPr>
          <w:iCs/>
          <w:spacing w:val="-5"/>
          <w:lang w:eastAsia="en-US"/>
        </w:rPr>
        <w:t xml:space="preserve"> Analoogselt teiste finantsteenuse osutajate juhatuse liikmete ja töötajatega ei või </w:t>
      </w:r>
      <w:proofErr w:type="spellStart"/>
      <w:r w:rsidR="009B5D29" w:rsidRPr="003331EF">
        <w:rPr>
          <w:iCs/>
          <w:spacing w:val="-5"/>
          <w:lang w:eastAsia="en-US"/>
        </w:rPr>
        <w:t>krüptovarateenuse</w:t>
      </w:r>
      <w:proofErr w:type="spellEnd"/>
      <w:r w:rsidR="009B5D29" w:rsidRPr="003331EF">
        <w:rPr>
          <w:iCs/>
          <w:spacing w:val="-5"/>
          <w:lang w:eastAsia="en-US"/>
        </w:rPr>
        <w:t xml:space="preserve"> osutaja</w:t>
      </w:r>
      <w:r w:rsidR="003B3259" w:rsidRPr="003331EF">
        <w:rPr>
          <w:iCs/>
          <w:spacing w:val="-5"/>
          <w:lang w:eastAsia="en-US"/>
        </w:rPr>
        <w:t xml:space="preserve">, varapõhise </w:t>
      </w:r>
      <w:proofErr w:type="spellStart"/>
      <w:r w:rsidR="003B3259" w:rsidRPr="003331EF">
        <w:rPr>
          <w:iCs/>
          <w:spacing w:val="-5"/>
          <w:lang w:eastAsia="en-US"/>
        </w:rPr>
        <w:t>tokeni</w:t>
      </w:r>
      <w:proofErr w:type="spellEnd"/>
      <w:r w:rsidR="003B3259" w:rsidRPr="003331EF">
        <w:rPr>
          <w:iCs/>
          <w:spacing w:val="-5"/>
          <w:lang w:eastAsia="en-US"/>
        </w:rPr>
        <w:t xml:space="preserve"> emitent</w:t>
      </w:r>
      <w:r w:rsidR="009B5D29" w:rsidRPr="003331EF">
        <w:rPr>
          <w:iCs/>
          <w:spacing w:val="-5"/>
          <w:lang w:eastAsia="en-US"/>
        </w:rPr>
        <w:t xml:space="preserve"> ja </w:t>
      </w:r>
      <w:proofErr w:type="spellStart"/>
      <w:r w:rsidR="009B5D29" w:rsidRPr="003331EF">
        <w:rPr>
          <w:iCs/>
          <w:spacing w:val="-5"/>
          <w:lang w:eastAsia="en-US"/>
        </w:rPr>
        <w:t>ühisrahastusteenuse</w:t>
      </w:r>
      <w:proofErr w:type="spellEnd"/>
      <w:r w:rsidR="009B5D29" w:rsidRPr="003331EF">
        <w:rPr>
          <w:iCs/>
          <w:spacing w:val="-5"/>
          <w:lang w:eastAsia="en-US"/>
        </w:rPr>
        <w:t xml:space="preserve"> osutaja olla kindlustusandja juhatuse liige, välja arvatud kindlustusandjaga samasse konsolideerimisgruppi kuuluva ettevõtja juhatuse liige või töötaja.</w:t>
      </w:r>
      <w:r w:rsidR="009B5D29" w:rsidRPr="003331EF">
        <w:rPr>
          <w:bCs/>
        </w:rPr>
        <w:t xml:space="preserve"> </w:t>
      </w:r>
    </w:p>
    <w:p w14:paraId="1AD2794B" w14:textId="77777777" w:rsidR="009B5D29" w:rsidRPr="003331EF" w:rsidRDefault="009B5D29" w:rsidP="003331EF">
      <w:pPr>
        <w:pStyle w:val="Normal2"/>
        <w:rPr>
          <w:b/>
          <w:sz w:val="24"/>
        </w:rPr>
      </w:pPr>
    </w:p>
    <w:p w14:paraId="194C421F" w14:textId="0035829B" w:rsidR="00A97910" w:rsidRPr="003331EF" w:rsidRDefault="00A97910" w:rsidP="003331EF">
      <w:pPr>
        <w:pStyle w:val="Normal2"/>
        <w:rPr>
          <w:b/>
          <w:sz w:val="24"/>
        </w:rPr>
      </w:pPr>
      <w:r w:rsidRPr="003331EF">
        <w:rPr>
          <w:b/>
          <w:sz w:val="24"/>
        </w:rPr>
        <w:t>Paragrahv 5</w:t>
      </w:r>
      <w:r w:rsidR="00C20CE7" w:rsidRPr="003331EF">
        <w:rPr>
          <w:b/>
          <w:sz w:val="24"/>
        </w:rPr>
        <w:t>2</w:t>
      </w:r>
      <w:r w:rsidRPr="003331EF">
        <w:rPr>
          <w:b/>
          <w:sz w:val="24"/>
        </w:rPr>
        <w:t>. Krediidiasutuste seaduse muutmine</w:t>
      </w:r>
    </w:p>
    <w:p w14:paraId="48A3D28E" w14:textId="77777777" w:rsidR="00E06F8D" w:rsidRPr="003331EF" w:rsidRDefault="00E06F8D" w:rsidP="003331EF">
      <w:pPr>
        <w:pStyle w:val="Normal2"/>
        <w:rPr>
          <w:b/>
          <w:sz w:val="24"/>
        </w:rPr>
      </w:pPr>
    </w:p>
    <w:p w14:paraId="062D3A13" w14:textId="1FE01787" w:rsidR="001A4507" w:rsidRPr="003331EF" w:rsidRDefault="001A4507" w:rsidP="003331EF">
      <w:pPr>
        <w:pStyle w:val="Normal2"/>
        <w:rPr>
          <w:rFonts w:eastAsia="Times New Roman"/>
          <w:sz w:val="24"/>
        </w:rPr>
      </w:pPr>
      <w:r w:rsidRPr="003331EF">
        <w:rPr>
          <w:b/>
          <w:sz w:val="24"/>
        </w:rPr>
        <w:t xml:space="preserve">Paragrahvis </w:t>
      </w:r>
      <w:r w:rsidR="00A97910" w:rsidRPr="003331EF">
        <w:rPr>
          <w:b/>
          <w:sz w:val="24"/>
        </w:rPr>
        <w:t>5</w:t>
      </w:r>
      <w:r w:rsidR="00C20CE7" w:rsidRPr="003331EF">
        <w:rPr>
          <w:b/>
          <w:sz w:val="24"/>
        </w:rPr>
        <w:t>2</w:t>
      </w:r>
      <w:r w:rsidR="00A97910" w:rsidRPr="003331EF">
        <w:rPr>
          <w:i/>
          <w:iCs/>
          <w:sz w:val="24"/>
        </w:rPr>
        <w:t xml:space="preserve"> </w:t>
      </w:r>
      <w:r w:rsidRPr="003331EF">
        <w:rPr>
          <w:rFonts w:eastAsia="Times New Roman"/>
          <w:bCs w:val="0"/>
          <w:iCs/>
          <w:spacing w:val="-5"/>
          <w:sz w:val="24"/>
          <w:lang w:eastAsia="en-US"/>
        </w:rPr>
        <w:t xml:space="preserve">sätestatakse KAS muudatused. </w:t>
      </w:r>
    </w:p>
    <w:p w14:paraId="10199EAE" w14:textId="77777777" w:rsidR="001A4507" w:rsidRPr="003331EF" w:rsidRDefault="001A4507" w:rsidP="003331EF">
      <w:pPr>
        <w:pStyle w:val="Normal2"/>
        <w:rPr>
          <w:rFonts w:eastAsia="Times New Roman"/>
          <w:sz w:val="24"/>
        </w:rPr>
      </w:pPr>
    </w:p>
    <w:p w14:paraId="1F28B453" w14:textId="51D2B357" w:rsidR="008C7461" w:rsidRPr="003331EF" w:rsidRDefault="001A4507" w:rsidP="003331EF">
      <w:pPr>
        <w:pStyle w:val="Normal2"/>
        <w:rPr>
          <w:rFonts w:eastAsia="Times New Roman"/>
          <w:bCs w:val="0"/>
          <w:iCs/>
          <w:spacing w:val="-5"/>
          <w:sz w:val="24"/>
          <w:lang w:eastAsia="en-US"/>
        </w:rPr>
      </w:pPr>
      <w:r w:rsidRPr="003331EF">
        <w:rPr>
          <w:rFonts w:eastAsia="Times New Roman"/>
          <w:b/>
          <w:bCs w:val="0"/>
          <w:sz w:val="24"/>
        </w:rPr>
        <w:t>Punkt 1</w:t>
      </w:r>
      <w:r w:rsidRPr="003331EF">
        <w:rPr>
          <w:rFonts w:eastAsia="Times New Roman"/>
          <w:bCs w:val="0"/>
          <w:iCs/>
          <w:spacing w:val="-5"/>
          <w:sz w:val="24"/>
          <w:lang w:eastAsia="en-US"/>
        </w:rPr>
        <w:t xml:space="preserve"> </w:t>
      </w:r>
      <w:r w:rsidRPr="003331EF">
        <w:rPr>
          <w:rFonts w:eastAsia="Times New Roman"/>
          <w:b/>
          <w:iCs/>
          <w:spacing w:val="-5"/>
          <w:sz w:val="24"/>
          <w:lang w:eastAsia="en-US"/>
        </w:rPr>
        <w:t xml:space="preserve">kohaselt täiendatakse KAS §-i 2 </w:t>
      </w:r>
      <w:r w:rsidR="008C7461" w:rsidRPr="003331EF">
        <w:rPr>
          <w:rFonts w:eastAsia="Times New Roman"/>
          <w:b/>
          <w:iCs/>
          <w:spacing w:val="-5"/>
          <w:sz w:val="24"/>
          <w:lang w:eastAsia="en-US"/>
        </w:rPr>
        <w:t xml:space="preserve">lõigetega </w:t>
      </w:r>
      <w:r w:rsidRPr="003331EF">
        <w:rPr>
          <w:rFonts w:eastAsia="Times New Roman"/>
          <w:b/>
          <w:iCs/>
          <w:spacing w:val="-5"/>
          <w:sz w:val="24"/>
          <w:lang w:eastAsia="en-US"/>
        </w:rPr>
        <w:t>7</w:t>
      </w:r>
      <w:r w:rsidRPr="003331EF">
        <w:rPr>
          <w:rFonts w:eastAsia="Times New Roman"/>
          <w:bCs w:val="0"/>
          <w:iCs/>
          <w:spacing w:val="-5"/>
          <w:sz w:val="24"/>
          <w:lang w:eastAsia="en-US"/>
        </w:rPr>
        <w:t xml:space="preserve"> </w:t>
      </w:r>
      <w:r w:rsidR="008C7461" w:rsidRPr="003331EF">
        <w:rPr>
          <w:rFonts w:eastAsia="Times New Roman"/>
          <w:b/>
          <w:iCs/>
          <w:spacing w:val="-5"/>
          <w:sz w:val="24"/>
          <w:lang w:eastAsia="en-US"/>
        </w:rPr>
        <w:t>ja 8</w:t>
      </w:r>
      <w:r w:rsidR="008C7461" w:rsidRPr="003331EF">
        <w:rPr>
          <w:rFonts w:eastAsia="Times New Roman"/>
          <w:bCs w:val="0"/>
          <w:iCs/>
          <w:spacing w:val="-5"/>
          <w:sz w:val="24"/>
          <w:lang w:eastAsia="en-US"/>
        </w:rPr>
        <w:t xml:space="preserve"> </w:t>
      </w:r>
      <w:r w:rsidRPr="003331EF">
        <w:rPr>
          <w:rFonts w:eastAsia="Times New Roman"/>
          <w:bCs w:val="0"/>
          <w:iCs/>
          <w:spacing w:val="-5"/>
          <w:sz w:val="24"/>
          <w:lang w:eastAsia="en-US"/>
        </w:rPr>
        <w:t xml:space="preserve">õigusselguse tagamise eesmärgil. Muudatusest tulenevalt kohaldatakse krediidiasutusele, kes osutab </w:t>
      </w:r>
      <w:proofErr w:type="spellStart"/>
      <w:r w:rsidRPr="003331EF">
        <w:rPr>
          <w:rFonts w:eastAsia="Times New Roman"/>
          <w:bCs w:val="0"/>
          <w:iCs/>
          <w:spacing w:val="-5"/>
          <w:sz w:val="24"/>
          <w:lang w:eastAsia="en-US"/>
        </w:rPr>
        <w:t>krüptovarateenust</w:t>
      </w:r>
      <w:proofErr w:type="spellEnd"/>
      <w:r w:rsidRPr="003331EF">
        <w:rPr>
          <w:rFonts w:eastAsia="Times New Roman"/>
          <w:bCs w:val="0"/>
          <w:iCs/>
          <w:spacing w:val="-5"/>
          <w:sz w:val="24"/>
          <w:lang w:eastAsia="en-US"/>
        </w:rPr>
        <w:t xml:space="preserve"> või pakub </w:t>
      </w:r>
      <w:proofErr w:type="spellStart"/>
      <w:r w:rsidRPr="003331EF">
        <w:rPr>
          <w:rFonts w:eastAsia="Times New Roman"/>
          <w:bCs w:val="0"/>
          <w:iCs/>
          <w:spacing w:val="-5"/>
          <w:sz w:val="24"/>
          <w:lang w:eastAsia="en-US"/>
        </w:rPr>
        <w:t>krüptovara</w:t>
      </w:r>
      <w:proofErr w:type="spellEnd"/>
      <w:r w:rsidRPr="003331EF">
        <w:rPr>
          <w:rFonts w:eastAsia="Times New Roman"/>
          <w:bCs w:val="0"/>
          <w:iCs/>
          <w:spacing w:val="-5"/>
          <w:sz w:val="24"/>
          <w:lang w:eastAsia="en-US"/>
        </w:rPr>
        <w:t xml:space="preserve"> või taotleb selle kauplemisele võtmist, </w:t>
      </w:r>
      <w:r w:rsidR="00E06F8D" w:rsidRPr="003331EF">
        <w:rPr>
          <w:rFonts w:eastAsia="Times New Roman"/>
          <w:bCs w:val="0"/>
          <w:iCs/>
          <w:spacing w:val="-5"/>
          <w:sz w:val="24"/>
          <w:lang w:eastAsia="en-US"/>
        </w:rPr>
        <w:t xml:space="preserve">mh </w:t>
      </w:r>
      <w:proofErr w:type="spellStart"/>
      <w:r w:rsidRPr="003331EF">
        <w:rPr>
          <w:rFonts w:eastAsia="Times New Roman"/>
          <w:bCs w:val="0"/>
          <w:iCs/>
          <w:spacing w:val="-5"/>
          <w:sz w:val="24"/>
          <w:lang w:eastAsia="en-US"/>
        </w:rPr>
        <w:t>M</w:t>
      </w:r>
      <w:r w:rsidR="0019289B">
        <w:rPr>
          <w:rFonts w:eastAsia="Times New Roman"/>
          <w:bCs w:val="0"/>
          <w:iCs/>
          <w:spacing w:val="-5"/>
          <w:sz w:val="24"/>
          <w:lang w:eastAsia="en-US"/>
        </w:rPr>
        <w:t>i</w:t>
      </w:r>
      <w:r w:rsidRPr="003331EF">
        <w:rPr>
          <w:rFonts w:eastAsia="Times New Roman"/>
          <w:bCs w:val="0"/>
          <w:iCs/>
          <w:spacing w:val="-5"/>
          <w:sz w:val="24"/>
          <w:lang w:eastAsia="en-US"/>
        </w:rPr>
        <w:t>CA</w:t>
      </w:r>
      <w:proofErr w:type="spellEnd"/>
      <w:r w:rsidRPr="003331EF">
        <w:rPr>
          <w:rFonts w:eastAsia="Times New Roman"/>
          <w:bCs w:val="0"/>
          <w:iCs/>
          <w:spacing w:val="-5"/>
          <w:sz w:val="24"/>
          <w:lang w:eastAsia="en-US"/>
        </w:rPr>
        <w:t xml:space="preserve"> määruses</w:t>
      </w:r>
      <w:r w:rsidR="00D2513B" w:rsidRPr="003331EF">
        <w:rPr>
          <w:rFonts w:eastAsia="Times New Roman"/>
          <w:bCs w:val="0"/>
          <w:iCs/>
          <w:spacing w:val="-5"/>
          <w:sz w:val="24"/>
          <w:lang w:eastAsia="en-US"/>
        </w:rPr>
        <w:t>, TFR määruses</w:t>
      </w:r>
      <w:r w:rsidRPr="003331EF">
        <w:rPr>
          <w:rFonts w:eastAsia="Times New Roman"/>
          <w:bCs w:val="0"/>
          <w:iCs/>
          <w:spacing w:val="-5"/>
          <w:sz w:val="24"/>
          <w:lang w:eastAsia="en-US"/>
        </w:rPr>
        <w:t xml:space="preserve"> </w:t>
      </w:r>
      <w:r w:rsidR="00CA2B22" w:rsidRPr="003331EF">
        <w:rPr>
          <w:rFonts w:eastAsia="Times New Roman"/>
          <w:bCs w:val="0"/>
          <w:iCs/>
          <w:spacing w:val="-5"/>
          <w:sz w:val="24"/>
          <w:lang w:eastAsia="en-US"/>
        </w:rPr>
        <w:t xml:space="preserve">ja </w:t>
      </w:r>
      <w:proofErr w:type="spellStart"/>
      <w:r w:rsidR="00CA2B22" w:rsidRPr="003331EF">
        <w:rPr>
          <w:rFonts w:eastAsia="Times New Roman"/>
          <w:bCs w:val="0"/>
          <w:iCs/>
          <w:spacing w:val="-5"/>
          <w:sz w:val="24"/>
          <w:lang w:eastAsia="en-US"/>
        </w:rPr>
        <w:t>krüptovaraturu</w:t>
      </w:r>
      <w:proofErr w:type="spellEnd"/>
      <w:r w:rsidR="00CA2B22" w:rsidRPr="003331EF">
        <w:rPr>
          <w:rFonts w:eastAsia="Times New Roman"/>
          <w:bCs w:val="0"/>
          <w:iCs/>
          <w:spacing w:val="-5"/>
          <w:sz w:val="24"/>
          <w:lang w:eastAsia="en-US"/>
        </w:rPr>
        <w:t xml:space="preserve"> seaduses </w:t>
      </w:r>
      <w:r w:rsidRPr="003331EF">
        <w:rPr>
          <w:rFonts w:eastAsia="Times New Roman"/>
          <w:bCs w:val="0"/>
          <w:iCs/>
          <w:spacing w:val="-5"/>
          <w:sz w:val="24"/>
          <w:lang w:eastAsia="en-US"/>
        </w:rPr>
        <w:t>sätestatut</w:t>
      </w:r>
      <w:r w:rsidR="00D2513B" w:rsidRPr="003331EF">
        <w:rPr>
          <w:rFonts w:eastAsia="Times New Roman"/>
          <w:bCs w:val="0"/>
          <w:iCs/>
          <w:spacing w:val="-5"/>
          <w:sz w:val="24"/>
          <w:lang w:eastAsia="en-US"/>
        </w:rPr>
        <w:t>.</w:t>
      </w:r>
      <w:r w:rsidR="00AB1A12" w:rsidRPr="003331EF">
        <w:rPr>
          <w:rFonts w:eastAsia="Times New Roman"/>
          <w:bCs w:val="0"/>
          <w:iCs/>
          <w:spacing w:val="-5"/>
          <w:sz w:val="24"/>
          <w:lang w:eastAsia="en-US"/>
        </w:rPr>
        <w:t xml:space="preserve"> </w:t>
      </w:r>
      <w:r w:rsidR="006F7384" w:rsidRPr="003331EF">
        <w:rPr>
          <w:b/>
        </w:rPr>
        <w:t>Lõike 8</w:t>
      </w:r>
      <w:r w:rsidR="006F7384" w:rsidRPr="003331EF">
        <w:t xml:space="preserve"> eesmärk täpsustada, et kui </w:t>
      </w:r>
      <w:proofErr w:type="spellStart"/>
      <w:r w:rsidR="006F7384" w:rsidRPr="003331EF">
        <w:t>KASis</w:t>
      </w:r>
      <w:proofErr w:type="spellEnd"/>
      <w:r w:rsidR="006F7384" w:rsidRPr="003331EF">
        <w:t xml:space="preserve"> ja </w:t>
      </w:r>
      <w:proofErr w:type="spellStart"/>
      <w:r w:rsidR="006F7384" w:rsidRPr="003331EF">
        <w:t>KrÜTSis</w:t>
      </w:r>
      <w:proofErr w:type="spellEnd"/>
      <w:r w:rsidR="006F7384" w:rsidRPr="003331EF">
        <w:t xml:space="preserve"> (</w:t>
      </w:r>
      <w:proofErr w:type="spellStart"/>
      <w:r w:rsidR="006F7384" w:rsidRPr="003331EF">
        <w:t>KrÜTS</w:t>
      </w:r>
      <w:proofErr w:type="spellEnd"/>
      <w:r w:rsidR="006F7384" w:rsidRPr="003331EF">
        <w:t xml:space="preserve"> kaudu </w:t>
      </w:r>
      <w:proofErr w:type="spellStart"/>
      <w:r w:rsidR="006F7384" w:rsidRPr="003331EF">
        <w:t>MiCA</w:t>
      </w:r>
      <w:proofErr w:type="spellEnd"/>
      <w:r w:rsidR="006F7384" w:rsidRPr="003331EF">
        <w:t xml:space="preserve"> määruses) on ette nähtud nõuded sama tegevuse suhtes, kohaldatakse krediidiasutusele nõudeid, mis on detailsemad või rangemad.</w:t>
      </w:r>
    </w:p>
    <w:p w14:paraId="2A3B5F28" w14:textId="77777777" w:rsidR="0067264C" w:rsidRPr="003331EF" w:rsidRDefault="0067264C" w:rsidP="003331EF">
      <w:pPr>
        <w:pStyle w:val="Normal2"/>
        <w:rPr>
          <w:rFonts w:eastAsia="Times New Roman"/>
          <w:sz w:val="24"/>
        </w:rPr>
      </w:pPr>
    </w:p>
    <w:p w14:paraId="188E022C" w14:textId="282B424A" w:rsidR="0067264C" w:rsidRPr="003331EF" w:rsidRDefault="0067264C" w:rsidP="003331EF">
      <w:pPr>
        <w:pStyle w:val="Normal2"/>
        <w:rPr>
          <w:rFonts w:eastAsia="Times New Roman"/>
          <w:bCs w:val="0"/>
          <w:iCs/>
          <w:spacing w:val="-5"/>
          <w:sz w:val="24"/>
          <w:lang w:eastAsia="en-US"/>
        </w:rPr>
      </w:pPr>
      <w:r w:rsidRPr="003331EF">
        <w:rPr>
          <w:b/>
          <w:bCs w:val="0"/>
          <w:sz w:val="24"/>
        </w:rPr>
        <w:t>Punkt</w:t>
      </w:r>
      <w:r w:rsidR="00F931EF" w:rsidRPr="003331EF">
        <w:rPr>
          <w:b/>
          <w:bCs w:val="0"/>
          <w:sz w:val="24"/>
        </w:rPr>
        <w:t>id</w:t>
      </w:r>
      <w:r w:rsidRPr="003331EF">
        <w:rPr>
          <w:b/>
          <w:bCs w:val="0"/>
          <w:sz w:val="24"/>
        </w:rPr>
        <w:t xml:space="preserve"> 2</w:t>
      </w:r>
      <w:r w:rsidR="00F931EF" w:rsidRPr="003331EF">
        <w:rPr>
          <w:b/>
          <w:bCs w:val="0"/>
          <w:sz w:val="24"/>
        </w:rPr>
        <w:t xml:space="preserve"> ja 3</w:t>
      </w:r>
      <w:r w:rsidRPr="003331EF">
        <w:rPr>
          <w:sz w:val="24"/>
        </w:rPr>
        <w:t xml:space="preserve">. </w:t>
      </w:r>
      <w:proofErr w:type="spellStart"/>
      <w:r w:rsidRPr="003331EF">
        <w:rPr>
          <w:rFonts w:eastAsia="Times New Roman"/>
          <w:bCs w:val="0"/>
          <w:iCs/>
          <w:spacing w:val="-5"/>
          <w:sz w:val="24"/>
          <w:lang w:eastAsia="en-US"/>
        </w:rPr>
        <w:t>M</w:t>
      </w:r>
      <w:r w:rsidR="0019289B">
        <w:rPr>
          <w:rFonts w:eastAsia="Times New Roman"/>
          <w:bCs w:val="0"/>
          <w:iCs/>
          <w:spacing w:val="-5"/>
          <w:sz w:val="24"/>
          <w:lang w:eastAsia="en-US"/>
        </w:rPr>
        <w:t>i</w:t>
      </w:r>
      <w:r w:rsidRPr="003331EF">
        <w:rPr>
          <w:rFonts w:eastAsia="Times New Roman"/>
          <w:bCs w:val="0"/>
          <w:iCs/>
          <w:spacing w:val="-5"/>
          <w:sz w:val="24"/>
          <w:lang w:eastAsia="en-US"/>
        </w:rPr>
        <w:t>CA</w:t>
      </w:r>
      <w:proofErr w:type="spellEnd"/>
      <w:r w:rsidRPr="003331EF">
        <w:rPr>
          <w:rFonts w:eastAsia="Times New Roman"/>
          <w:bCs w:val="0"/>
          <w:iCs/>
          <w:spacing w:val="-5"/>
          <w:sz w:val="24"/>
          <w:lang w:eastAsia="en-US"/>
        </w:rPr>
        <w:t xml:space="preserve"> määrusega muudetakse krediidiasutuste direktiivi 2013/36/EL lisa 1 nii, et vastastikku tunnustatavate tegevuste loetel</w:t>
      </w:r>
      <w:r w:rsidR="005402EA" w:rsidRPr="003331EF">
        <w:rPr>
          <w:rFonts w:eastAsia="Times New Roman"/>
          <w:bCs w:val="0"/>
          <w:iCs/>
          <w:spacing w:val="-5"/>
          <w:sz w:val="24"/>
          <w:lang w:eastAsia="en-US"/>
        </w:rPr>
        <w:t>l</w:t>
      </w:r>
      <w:r w:rsidRPr="003331EF">
        <w:rPr>
          <w:rFonts w:eastAsia="Times New Roman"/>
          <w:bCs w:val="0"/>
          <w:iCs/>
          <w:spacing w:val="-5"/>
          <w:sz w:val="24"/>
          <w:lang w:eastAsia="en-US"/>
        </w:rPr>
        <w:t xml:space="preserve">u on lisatud e-raha </w:t>
      </w:r>
      <w:proofErr w:type="spellStart"/>
      <w:r w:rsidRPr="003331EF">
        <w:rPr>
          <w:rFonts w:eastAsia="Times New Roman"/>
          <w:bCs w:val="0"/>
          <w:iCs/>
          <w:spacing w:val="-5"/>
          <w:sz w:val="24"/>
          <w:lang w:eastAsia="en-US"/>
        </w:rPr>
        <w:t>tokeni</w:t>
      </w:r>
      <w:proofErr w:type="spellEnd"/>
      <w:r w:rsidRPr="003331EF">
        <w:rPr>
          <w:rFonts w:eastAsia="Times New Roman"/>
          <w:bCs w:val="0"/>
          <w:iCs/>
          <w:spacing w:val="-5"/>
          <w:sz w:val="24"/>
          <w:lang w:eastAsia="en-US"/>
        </w:rPr>
        <w:t xml:space="preserve"> emiteerimine, varapõhise </w:t>
      </w:r>
      <w:proofErr w:type="spellStart"/>
      <w:r w:rsidRPr="003331EF">
        <w:rPr>
          <w:rFonts w:eastAsia="Times New Roman"/>
          <w:bCs w:val="0"/>
          <w:iCs/>
          <w:spacing w:val="-5"/>
          <w:sz w:val="24"/>
          <w:lang w:eastAsia="en-US"/>
        </w:rPr>
        <w:t>tokeni</w:t>
      </w:r>
      <w:proofErr w:type="spellEnd"/>
      <w:r w:rsidRPr="003331EF">
        <w:rPr>
          <w:rFonts w:eastAsia="Times New Roman"/>
          <w:bCs w:val="0"/>
          <w:iCs/>
          <w:spacing w:val="-5"/>
          <w:sz w:val="24"/>
          <w:lang w:eastAsia="en-US"/>
        </w:rPr>
        <w:t xml:space="preserve"> emiteerimine ja </w:t>
      </w:r>
      <w:proofErr w:type="spellStart"/>
      <w:r w:rsidRPr="003331EF">
        <w:rPr>
          <w:rFonts w:eastAsia="Times New Roman"/>
          <w:bCs w:val="0"/>
          <w:iCs/>
          <w:spacing w:val="-5"/>
          <w:sz w:val="24"/>
          <w:lang w:eastAsia="en-US"/>
        </w:rPr>
        <w:t>krüptovarateenused</w:t>
      </w:r>
      <w:proofErr w:type="spellEnd"/>
      <w:r w:rsidRPr="003331EF">
        <w:rPr>
          <w:rFonts w:eastAsia="Times New Roman"/>
          <w:bCs w:val="0"/>
          <w:iCs/>
          <w:spacing w:val="-5"/>
          <w:sz w:val="24"/>
          <w:lang w:eastAsia="en-US"/>
        </w:rPr>
        <w:t xml:space="preserve">. Nende tegevusaladega võivad liikmesriigi territooriumil kas filiaali asutamise või teenuste osutamise teel tegeleda kõik teise liikmesriigi pädevalt asutuselt tegevusloa saanud ja viimase järelevalve all olevad krediidiasutused, tingimusel et nende tegevusluba hõlmab selliseid tegevusalasid. </w:t>
      </w:r>
      <w:r w:rsidR="00C46113" w:rsidRPr="003331EF">
        <w:rPr>
          <w:rFonts w:eastAsia="Times New Roman"/>
          <w:b/>
          <w:iCs/>
          <w:spacing w:val="-5"/>
          <w:sz w:val="24"/>
          <w:lang w:eastAsia="en-US"/>
        </w:rPr>
        <w:t>KAS § 6 lõike 1</w:t>
      </w:r>
      <w:r w:rsidR="00C46113" w:rsidRPr="003331EF">
        <w:rPr>
          <w:rFonts w:eastAsia="Times New Roman"/>
          <w:bCs w:val="0"/>
          <w:iCs/>
          <w:spacing w:val="-5"/>
          <w:sz w:val="24"/>
          <w:lang w:eastAsia="en-US"/>
        </w:rPr>
        <w:t xml:space="preserve"> finantsteenuste loetelusse </w:t>
      </w:r>
      <w:r w:rsidR="006B2B54" w:rsidRPr="003331EF">
        <w:rPr>
          <w:rFonts w:eastAsia="Times New Roman"/>
          <w:bCs w:val="0"/>
          <w:iCs/>
          <w:spacing w:val="-5"/>
          <w:sz w:val="24"/>
          <w:lang w:eastAsia="en-US"/>
        </w:rPr>
        <w:t xml:space="preserve">lisatakse </w:t>
      </w:r>
      <w:r w:rsidR="00C46113" w:rsidRPr="003331EF">
        <w:rPr>
          <w:rFonts w:eastAsia="Times New Roman"/>
          <w:bCs w:val="0"/>
          <w:iCs/>
          <w:spacing w:val="-5"/>
          <w:sz w:val="24"/>
          <w:lang w:eastAsia="en-US"/>
        </w:rPr>
        <w:t xml:space="preserve">ka </w:t>
      </w:r>
      <w:proofErr w:type="spellStart"/>
      <w:r w:rsidR="00C46113" w:rsidRPr="003331EF">
        <w:rPr>
          <w:rFonts w:eastAsia="Times New Roman"/>
          <w:bCs w:val="0"/>
          <w:iCs/>
          <w:spacing w:val="-5"/>
          <w:sz w:val="24"/>
          <w:lang w:eastAsia="en-US"/>
        </w:rPr>
        <w:t>krüptovara</w:t>
      </w:r>
      <w:proofErr w:type="spellEnd"/>
      <w:r w:rsidR="00C46113" w:rsidRPr="003331EF">
        <w:rPr>
          <w:rFonts w:eastAsia="Times New Roman"/>
          <w:bCs w:val="0"/>
          <w:iCs/>
          <w:spacing w:val="-5"/>
          <w:sz w:val="24"/>
          <w:lang w:eastAsia="en-US"/>
        </w:rPr>
        <w:t xml:space="preserve"> emiteerimise ja müügiga seotud tehingud ja </w:t>
      </w:r>
      <w:proofErr w:type="spellStart"/>
      <w:r w:rsidR="00C46113" w:rsidRPr="003331EF">
        <w:rPr>
          <w:rFonts w:eastAsia="Times New Roman"/>
          <w:bCs w:val="0"/>
          <w:iCs/>
          <w:spacing w:val="-5"/>
          <w:sz w:val="24"/>
          <w:lang w:eastAsia="en-US"/>
        </w:rPr>
        <w:t>krüptovarateenuse</w:t>
      </w:r>
      <w:proofErr w:type="spellEnd"/>
      <w:r w:rsidR="00C46113" w:rsidRPr="003331EF">
        <w:rPr>
          <w:rFonts w:eastAsia="Times New Roman"/>
          <w:bCs w:val="0"/>
          <w:iCs/>
          <w:spacing w:val="-5"/>
          <w:sz w:val="24"/>
          <w:lang w:eastAsia="en-US"/>
        </w:rPr>
        <w:t xml:space="preserve"> osutamine. </w:t>
      </w:r>
    </w:p>
    <w:p w14:paraId="25349044" w14:textId="77777777" w:rsidR="00F931EF" w:rsidRPr="003331EF" w:rsidRDefault="00F931EF" w:rsidP="003331EF">
      <w:pPr>
        <w:pStyle w:val="Normal2"/>
        <w:rPr>
          <w:rFonts w:eastAsia="Times New Roman"/>
          <w:bCs w:val="0"/>
          <w:iCs/>
          <w:spacing w:val="-5"/>
          <w:sz w:val="24"/>
          <w:lang w:eastAsia="en-US"/>
        </w:rPr>
      </w:pPr>
    </w:p>
    <w:p w14:paraId="514F66A7" w14:textId="36CCDCA8" w:rsidR="00F931EF" w:rsidRPr="003331EF" w:rsidRDefault="00F931EF" w:rsidP="003331EF">
      <w:pPr>
        <w:pStyle w:val="Normal2"/>
        <w:rPr>
          <w:rFonts w:eastAsia="Times New Roman"/>
          <w:bCs w:val="0"/>
          <w:iCs/>
          <w:spacing w:val="-5"/>
          <w:sz w:val="24"/>
          <w:lang w:eastAsia="en-US"/>
        </w:rPr>
      </w:pPr>
      <w:r w:rsidRPr="003331EF">
        <w:rPr>
          <w:rFonts w:eastAsia="Times New Roman"/>
          <w:bCs w:val="0"/>
          <w:iCs/>
          <w:spacing w:val="-5"/>
          <w:sz w:val="24"/>
          <w:lang w:eastAsia="en-US"/>
        </w:rPr>
        <w:t>Olgu täpsustuseks välja toodud, et f</w:t>
      </w:r>
      <w:r w:rsidRPr="003331EF">
        <w:rPr>
          <w:rFonts w:eastAsia="Times New Roman" w:hint="eastAsia"/>
          <w:bCs w:val="0"/>
          <w:iCs/>
          <w:spacing w:val="-5"/>
          <w:sz w:val="24"/>
          <w:lang w:eastAsia="en-US"/>
        </w:rPr>
        <w:t>inantseerimisasutus</w:t>
      </w:r>
      <w:r w:rsidRPr="003331EF">
        <w:rPr>
          <w:rFonts w:eastAsia="Times New Roman"/>
          <w:bCs w:val="0"/>
          <w:iCs/>
          <w:spacing w:val="-5"/>
          <w:sz w:val="24"/>
          <w:lang w:eastAsia="en-US"/>
        </w:rPr>
        <w:t>e</w:t>
      </w:r>
      <w:r w:rsidRPr="003331EF">
        <w:rPr>
          <w:rFonts w:eastAsia="Times New Roman" w:hint="eastAsia"/>
          <w:bCs w:val="0"/>
          <w:iCs/>
          <w:spacing w:val="-5"/>
          <w:sz w:val="24"/>
          <w:lang w:eastAsia="en-US"/>
        </w:rPr>
        <w:t xml:space="preserve"> </w:t>
      </w:r>
      <w:r w:rsidRPr="003331EF">
        <w:rPr>
          <w:rFonts w:eastAsia="Times New Roman"/>
          <w:bCs w:val="0"/>
          <w:iCs/>
          <w:spacing w:val="-5"/>
          <w:sz w:val="24"/>
          <w:lang w:eastAsia="en-US"/>
        </w:rPr>
        <w:t xml:space="preserve">määratluse aluseks on </w:t>
      </w:r>
      <w:r w:rsidRPr="003331EF">
        <w:rPr>
          <w:rFonts w:eastAsia="Times New Roman" w:hint="eastAsia"/>
          <w:bCs w:val="0"/>
          <w:iCs/>
          <w:spacing w:val="-5"/>
          <w:sz w:val="24"/>
          <w:lang w:eastAsia="en-US"/>
        </w:rPr>
        <w:t>määruse (EL) nr 575/2013 artikli 4 lõike 1 punkti 26 finantseerimisasutus</w:t>
      </w:r>
      <w:r w:rsidRPr="003331EF">
        <w:rPr>
          <w:rFonts w:eastAsia="Times New Roman"/>
          <w:bCs w:val="0"/>
          <w:iCs/>
          <w:spacing w:val="-5"/>
          <w:sz w:val="24"/>
          <w:lang w:eastAsia="en-US"/>
        </w:rPr>
        <w:t xml:space="preserve">e definitsioon, mis viitab </w:t>
      </w:r>
      <w:r w:rsidRPr="003331EF">
        <w:rPr>
          <w:rFonts w:eastAsia="Times New Roman" w:hint="eastAsia"/>
          <w:bCs w:val="0"/>
          <w:iCs/>
          <w:spacing w:val="-5"/>
          <w:sz w:val="24"/>
          <w:lang w:eastAsia="en-US"/>
        </w:rPr>
        <w:t>direktiivi 2013/36/EL I lisa punktides 2–12 ja punktis 15 loetletud tegevus</w:t>
      </w:r>
      <w:r w:rsidRPr="003331EF">
        <w:rPr>
          <w:rFonts w:eastAsia="Times New Roman"/>
          <w:bCs w:val="0"/>
          <w:iCs/>
          <w:spacing w:val="-5"/>
          <w:sz w:val="24"/>
          <w:lang w:eastAsia="en-US"/>
        </w:rPr>
        <w:t xml:space="preserve">tele. Kuna </w:t>
      </w:r>
      <w:proofErr w:type="spellStart"/>
      <w:r w:rsidRPr="003331EF">
        <w:rPr>
          <w:rFonts w:eastAsia="Times New Roman"/>
          <w:bCs w:val="0"/>
          <w:iCs/>
          <w:spacing w:val="-5"/>
          <w:sz w:val="24"/>
          <w:lang w:eastAsia="en-US"/>
        </w:rPr>
        <w:t>M</w:t>
      </w:r>
      <w:r w:rsidR="0019289B">
        <w:rPr>
          <w:rFonts w:eastAsia="Times New Roman"/>
          <w:bCs w:val="0"/>
          <w:iCs/>
          <w:spacing w:val="-5"/>
          <w:sz w:val="24"/>
          <w:lang w:eastAsia="en-US"/>
        </w:rPr>
        <w:t>i</w:t>
      </w:r>
      <w:r w:rsidRPr="003331EF">
        <w:rPr>
          <w:rFonts w:eastAsia="Times New Roman"/>
          <w:bCs w:val="0"/>
          <w:iCs/>
          <w:spacing w:val="-5"/>
          <w:sz w:val="24"/>
          <w:lang w:eastAsia="en-US"/>
        </w:rPr>
        <w:t>CA</w:t>
      </w:r>
      <w:proofErr w:type="spellEnd"/>
      <w:r w:rsidRPr="003331EF">
        <w:rPr>
          <w:rFonts w:eastAsia="Times New Roman"/>
          <w:bCs w:val="0"/>
          <w:iCs/>
          <w:spacing w:val="-5"/>
          <w:sz w:val="24"/>
          <w:lang w:eastAsia="en-US"/>
        </w:rPr>
        <w:t xml:space="preserve"> määruse artikliga 146 </w:t>
      </w:r>
      <w:r w:rsidR="002B30C8" w:rsidRPr="003331EF">
        <w:rPr>
          <w:rFonts w:eastAsia="Times New Roman"/>
          <w:bCs w:val="0"/>
          <w:iCs/>
          <w:spacing w:val="-5"/>
          <w:sz w:val="24"/>
          <w:lang w:eastAsia="en-US"/>
        </w:rPr>
        <w:t>muudetakse</w:t>
      </w:r>
      <w:r w:rsidRPr="003331EF">
        <w:rPr>
          <w:rFonts w:eastAsia="Times New Roman"/>
          <w:bCs w:val="0"/>
          <w:iCs/>
          <w:spacing w:val="-5"/>
          <w:sz w:val="24"/>
          <w:lang w:eastAsia="en-US"/>
        </w:rPr>
        <w:t xml:space="preserve"> punkti 15 sõnastus</w:t>
      </w:r>
      <w:r w:rsidR="002B30C8" w:rsidRPr="003331EF">
        <w:rPr>
          <w:rFonts w:eastAsia="Times New Roman"/>
          <w:bCs w:val="0"/>
          <w:iCs/>
          <w:spacing w:val="-5"/>
          <w:sz w:val="24"/>
          <w:lang w:eastAsia="en-US"/>
        </w:rPr>
        <w:t>t, lisades sinna ka</w:t>
      </w:r>
      <w:r w:rsidRPr="003331EF">
        <w:rPr>
          <w:rFonts w:eastAsia="Times New Roman"/>
          <w:bCs w:val="0"/>
          <w:iCs/>
          <w:spacing w:val="-5"/>
          <w:sz w:val="24"/>
          <w:lang w:eastAsia="en-US"/>
        </w:rPr>
        <w:t xml:space="preserve"> </w:t>
      </w:r>
      <w:r w:rsidR="002B30C8" w:rsidRPr="003331EF">
        <w:rPr>
          <w:rFonts w:eastAsia="Times New Roman"/>
          <w:bCs w:val="0"/>
          <w:iCs/>
          <w:spacing w:val="-5"/>
          <w:sz w:val="24"/>
          <w:lang w:eastAsia="en-US"/>
        </w:rPr>
        <w:t>e-</w:t>
      </w:r>
      <w:r w:rsidRPr="003331EF">
        <w:rPr>
          <w:rFonts w:eastAsia="Times New Roman"/>
          <w:bCs w:val="0"/>
          <w:iCs/>
          <w:spacing w:val="-5"/>
          <w:sz w:val="24"/>
          <w:lang w:eastAsia="en-US"/>
        </w:rPr>
        <w:t xml:space="preserve">raha </w:t>
      </w:r>
      <w:proofErr w:type="spellStart"/>
      <w:r w:rsidRPr="003331EF">
        <w:rPr>
          <w:rFonts w:eastAsia="Times New Roman"/>
          <w:bCs w:val="0"/>
          <w:iCs/>
          <w:spacing w:val="-5"/>
          <w:sz w:val="24"/>
          <w:lang w:eastAsia="en-US"/>
        </w:rPr>
        <w:t>tokenite</w:t>
      </w:r>
      <w:proofErr w:type="spellEnd"/>
      <w:r w:rsidRPr="003331EF">
        <w:rPr>
          <w:rFonts w:eastAsia="Times New Roman"/>
          <w:bCs w:val="0"/>
          <w:iCs/>
          <w:spacing w:val="-5"/>
          <w:sz w:val="24"/>
          <w:lang w:eastAsia="en-US"/>
        </w:rPr>
        <w:t xml:space="preserve"> emiteerimi</w:t>
      </w:r>
      <w:r w:rsidR="002B30C8" w:rsidRPr="003331EF">
        <w:rPr>
          <w:rFonts w:eastAsia="Times New Roman"/>
          <w:bCs w:val="0"/>
          <w:iCs/>
          <w:spacing w:val="-5"/>
          <w:sz w:val="24"/>
          <w:lang w:eastAsia="en-US"/>
        </w:rPr>
        <w:t>s</w:t>
      </w:r>
      <w:r w:rsidRPr="003331EF">
        <w:rPr>
          <w:rFonts w:eastAsia="Times New Roman"/>
          <w:bCs w:val="0"/>
          <w:iCs/>
          <w:spacing w:val="-5"/>
          <w:sz w:val="24"/>
          <w:lang w:eastAsia="en-US"/>
        </w:rPr>
        <w:t xml:space="preserve">e, muudetakse vastavalt ka KAS § 6 lõike 1 punkti 5 sõnastust. Kuna varapõhise </w:t>
      </w:r>
      <w:proofErr w:type="spellStart"/>
      <w:r w:rsidRPr="003331EF">
        <w:rPr>
          <w:rFonts w:eastAsia="Times New Roman"/>
          <w:bCs w:val="0"/>
          <w:iCs/>
          <w:spacing w:val="-5"/>
          <w:sz w:val="24"/>
          <w:lang w:eastAsia="en-US"/>
        </w:rPr>
        <w:t>tokeni</w:t>
      </w:r>
      <w:proofErr w:type="spellEnd"/>
      <w:r w:rsidRPr="003331EF">
        <w:rPr>
          <w:rFonts w:eastAsia="Times New Roman"/>
          <w:bCs w:val="0"/>
          <w:iCs/>
          <w:spacing w:val="-5"/>
          <w:sz w:val="24"/>
          <w:lang w:eastAsia="en-US"/>
        </w:rPr>
        <w:t xml:space="preserve"> emiteerimist ja </w:t>
      </w:r>
      <w:proofErr w:type="spellStart"/>
      <w:r w:rsidRPr="003331EF">
        <w:rPr>
          <w:rFonts w:eastAsia="Times New Roman"/>
          <w:bCs w:val="0"/>
          <w:iCs/>
          <w:spacing w:val="-5"/>
          <w:sz w:val="24"/>
          <w:lang w:eastAsia="en-US"/>
        </w:rPr>
        <w:lastRenderedPageBreak/>
        <w:t>krüptovarateenuse</w:t>
      </w:r>
      <w:proofErr w:type="spellEnd"/>
      <w:r w:rsidRPr="003331EF">
        <w:rPr>
          <w:rFonts w:eastAsia="Times New Roman"/>
          <w:bCs w:val="0"/>
          <w:iCs/>
          <w:spacing w:val="-5"/>
          <w:sz w:val="24"/>
          <w:lang w:eastAsia="en-US"/>
        </w:rPr>
        <w:t xml:space="preserve"> osutamist ei ole finantseerimisasutuse tegevuste määratluse alla lisatud, on need tegevused lisatud KAS § 6 lõike 1 uute punktidena 14</w:t>
      </w:r>
      <w:r w:rsidRPr="003331EF">
        <w:rPr>
          <w:rFonts w:eastAsia="Times New Roman"/>
          <w:bCs w:val="0"/>
          <w:iCs/>
          <w:spacing w:val="-5"/>
          <w:sz w:val="24"/>
          <w:vertAlign w:val="superscript"/>
          <w:lang w:eastAsia="en-US"/>
        </w:rPr>
        <w:t xml:space="preserve">1 </w:t>
      </w:r>
      <w:r w:rsidRPr="003331EF">
        <w:rPr>
          <w:rFonts w:eastAsia="Times New Roman"/>
          <w:bCs w:val="0"/>
          <w:iCs/>
          <w:spacing w:val="-5"/>
          <w:sz w:val="24"/>
          <w:lang w:eastAsia="en-US"/>
        </w:rPr>
        <w:t>ja 14</w:t>
      </w:r>
      <w:r w:rsidRPr="003331EF">
        <w:rPr>
          <w:rFonts w:eastAsia="Times New Roman"/>
          <w:bCs w:val="0"/>
          <w:iCs/>
          <w:spacing w:val="-5"/>
          <w:sz w:val="24"/>
          <w:vertAlign w:val="superscript"/>
          <w:lang w:eastAsia="en-US"/>
        </w:rPr>
        <w:t>2</w:t>
      </w:r>
      <w:r w:rsidRPr="003331EF">
        <w:rPr>
          <w:rFonts w:eastAsia="Times New Roman"/>
          <w:bCs w:val="0"/>
          <w:iCs/>
          <w:spacing w:val="-5"/>
          <w:sz w:val="24"/>
          <w:lang w:eastAsia="en-US"/>
        </w:rPr>
        <w:t>, mis ei ole KAS § 5 lõike 1 viidetega punktidele 2</w:t>
      </w:r>
      <w:r w:rsidR="002B30C8" w:rsidRPr="003331EF">
        <w:rPr>
          <w:rFonts w:eastAsia="Times New Roman" w:hint="eastAsia"/>
          <w:bCs w:val="0"/>
          <w:iCs/>
          <w:spacing w:val="-5"/>
          <w:sz w:val="24"/>
          <w:lang w:eastAsia="en-US"/>
        </w:rPr>
        <w:t>–</w:t>
      </w:r>
      <w:r w:rsidRPr="003331EF">
        <w:rPr>
          <w:rFonts w:eastAsia="Times New Roman"/>
          <w:bCs w:val="0"/>
          <w:iCs/>
          <w:spacing w:val="-5"/>
          <w:sz w:val="24"/>
          <w:lang w:eastAsia="en-US"/>
        </w:rPr>
        <w:t xml:space="preserve">12 hõlmatud. </w:t>
      </w:r>
    </w:p>
    <w:p w14:paraId="614437EE" w14:textId="77777777" w:rsidR="00F931EF" w:rsidRPr="003331EF" w:rsidRDefault="00F931EF" w:rsidP="003331EF">
      <w:pPr>
        <w:pStyle w:val="Normal2"/>
        <w:rPr>
          <w:rFonts w:eastAsia="Times New Roman"/>
          <w:bCs w:val="0"/>
          <w:iCs/>
          <w:spacing w:val="-5"/>
          <w:sz w:val="24"/>
          <w:lang w:eastAsia="en-US"/>
        </w:rPr>
      </w:pPr>
    </w:p>
    <w:p w14:paraId="6895B885" w14:textId="5E572666" w:rsidR="00F931EF" w:rsidRPr="003331EF" w:rsidRDefault="00F931EF" w:rsidP="003331EF">
      <w:pPr>
        <w:pStyle w:val="Normal2"/>
        <w:rPr>
          <w:sz w:val="24"/>
        </w:rPr>
      </w:pPr>
      <w:r w:rsidRPr="003331EF">
        <w:rPr>
          <w:b/>
          <w:bCs w:val="0"/>
          <w:sz w:val="24"/>
        </w:rPr>
        <w:t xml:space="preserve">Punkt 4. </w:t>
      </w:r>
      <w:r w:rsidR="002B30C8" w:rsidRPr="003331EF">
        <w:rPr>
          <w:sz w:val="24"/>
        </w:rPr>
        <w:t>Punkti 15 sõnastuse ulatusse lisatakse ka uued punktid 14</w:t>
      </w:r>
      <w:r w:rsidR="002B30C8" w:rsidRPr="003331EF">
        <w:rPr>
          <w:sz w:val="24"/>
          <w:vertAlign w:val="superscript"/>
        </w:rPr>
        <w:t>1</w:t>
      </w:r>
      <w:r w:rsidR="002B30C8" w:rsidRPr="003331EF">
        <w:rPr>
          <w:sz w:val="24"/>
        </w:rPr>
        <w:t xml:space="preserve"> ja 14</w:t>
      </w:r>
      <w:r w:rsidR="002B30C8" w:rsidRPr="003331EF">
        <w:rPr>
          <w:sz w:val="24"/>
          <w:vertAlign w:val="superscript"/>
        </w:rPr>
        <w:t>2</w:t>
      </w:r>
      <w:r w:rsidR="002B30C8" w:rsidRPr="003331EF">
        <w:rPr>
          <w:sz w:val="24"/>
        </w:rPr>
        <w:t>.</w:t>
      </w:r>
    </w:p>
    <w:p w14:paraId="0D2CB627" w14:textId="77777777" w:rsidR="00F931EF" w:rsidRPr="003331EF" w:rsidRDefault="00F931EF" w:rsidP="003331EF">
      <w:pPr>
        <w:pStyle w:val="Normal2"/>
        <w:rPr>
          <w:b/>
          <w:bCs w:val="0"/>
          <w:sz w:val="24"/>
        </w:rPr>
      </w:pPr>
    </w:p>
    <w:p w14:paraId="4D8D5C4E" w14:textId="06B1207B" w:rsidR="001A4507" w:rsidRPr="003331EF" w:rsidRDefault="001A4507" w:rsidP="003331EF">
      <w:pPr>
        <w:pStyle w:val="Normal2"/>
        <w:rPr>
          <w:sz w:val="24"/>
        </w:rPr>
      </w:pPr>
      <w:r w:rsidRPr="003331EF">
        <w:rPr>
          <w:b/>
          <w:bCs w:val="0"/>
          <w:sz w:val="24"/>
        </w:rPr>
        <w:t xml:space="preserve">Punktiga </w:t>
      </w:r>
      <w:r w:rsidR="00F931EF" w:rsidRPr="003331EF">
        <w:rPr>
          <w:b/>
          <w:bCs w:val="0"/>
          <w:sz w:val="24"/>
        </w:rPr>
        <w:t>5</w:t>
      </w:r>
      <w:r w:rsidRPr="003331EF">
        <w:rPr>
          <w:sz w:val="24"/>
        </w:rPr>
        <w:t xml:space="preserve"> </w:t>
      </w:r>
      <w:r w:rsidRPr="003331EF">
        <w:rPr>
          <w:rFonts w:eastAsia="Times New Roman"/>
          <w:bCs w:val="0"/>
          <w:iCs/>
          <w:spacing w:val="-5"/>
          <w:sz w:val="24"/>
          <w:lang w:eastAsia="en-US"/>
        </w:rPr>
        <w:t xml:space="preserve">ette nähtud muudatus on tehniline, kuivõrd </w:t>
      </w:r>
      <w:proofErr w:type="spellStart"/>
      <w:r w:rsidRPr="003331EF">
        <w:rPr>
          <w:rFonts w:eastAsia="Times New Roman"/>
          <w:bCs w:val="0"/>
          <w:iCs/>
          <w:spacing w:val="-5"/>
          <w:sz w:val="24"/>
          <w:lang w:eastAsia="en-US"/>
        </w:rPr>
        <w:t>M</w:t>
      </w:r>
      <w:r w:rsidR="0019289B">
        <w:rPr>
          <w:rFonts w:eastAsia="Times New Roman"/>
          <w:bCs w:val="0"/>
          <w:iCs/>
          <w:spacing w:val="-5"/>
          <w:sz w:val="24"/>
          <w:lang w:eastAsia="en-US"/>
        </w:rPr>
        <w:t>i</w:t>
      </w:r>
      <w:r w:rsidRPr="003331EF">
        <w:rPr>
          <w:rFonts w:eastAsia="Times New Roman"/>
          <w:bCs w:val="0"/>
          <w:iCs/>
          <w:spacing w:val="-5"/>
          <w:sz w:val="24"/>
          <w:lang w:eastAsia="en-US"/>
        </w:rPr>
        <w:t>CA</w:t>
      </w:r>
      <w:proofErr w:type="spellEnd"/>
      <w:r w:rsidRPr="003331EF">
        <w:rPr>
          <w:rFonts w:eastAsia="Times New Roman"/>
          <w:bCs w:val="0"/>
          <w:iCs/>
          <w:spacing w:val="-5"/>
          <w:sz w:val="24"/>
          <w:lang w:eastAsia="en-US"/>
        </w:rPr>
        <w:t xml:space="preserve"> määrus hõlmab ka direktiivi 2013/36/EL muutmist, mis tuleb riigisiseselt üle võtta (ehk punkt </w:t>
      </w:r>
      <w:r w:rsidR="0067264C" w:rsidRPr="003331EF">
        <w:rPr>
          <w:rFonts w:eastAsia="Times New Roman"/>
          <w:bCs w:val="0"/>
          <w:iCs/>
          <w:spacing w:val="-5"/>
          <w:sz w:val="24"/>
          <w:lang w:eastAsia="en-US"/>
        </w:rPr>
        <w:t>2</w:t>
      </w:r>
      <w:r w:rsidRPr="003331EF">
        <w:rPr>
          <w:rFonts w:eastAsia="Times New Roman"/>
          <w:bCs w:val="0"/>
          <w:iCs/>
          <w:spacing w:val="-5"/>
          <w:sz w:val="24"/>
          <w:lang w:eastAsia="en-US"/>
        </w:rPr>
        <w:t xml:space="preserve"> muudatus).</w:t>
      </w:r>
    </w:p>
    <w:p w14:paraId="431B005E" w14:textId="77777777" w:rsidR="001A4507" w:rsidRPr="003331EF" w:rsidRDefault="001A4507" w:rsidP="003331EF">
      <w:pPr>
        <w:spacing w:before="0"/>
        <w:rPr>
          <w:i/>
          <w:iCs/>
          <w:lang w:eastAsia="en-US"/>
        </w:rPr>
      </w:pPr>
    </w:p>
    <w:p w14:paraId="22DDEFB4" w14:textId="7C7A7ACD" w:rsidR="00A97910" w:rsidRPr="003331EF" w:rsidRDefault="00A97910" w:rsidP="003331EF">
      <w:pPr>
        <w:spacing w:before="0"/>
        <w:rPr>
          <w:b/>
        </w:rPr>
      </w:pPr>
      <w:r w:rsidRPr="003331EF">
        <w:rPr>
          <w:b/>
          <w:shd w:val="clear" w:color="auto" w:fill="FFFFFF"/>
        </w:rPr>
        <w:t>Paragrahv 5</w:t>
      </w:r>
      <w:r w:rsidR="00C20CE7" w:rsidRPr="003331EF">
        <w:rPr>
          <w:b/>
          <w:shd w:val="clear" w:color="auto" w:fill="FFFFFF"/>
        </w:rPr>
        <w:t>3</w:t>
      </w:r>
      <w:r w:rsidRPr="003331EF">
        <w:rPr>
          <w:b/>
          <w:shd w:val="clear" w:color="auto" w:fill="FFFFFF"/>
        </w:rPr>
        <w:t xml:space="preserve">. </w:t>
      </w:r>
      <w:r w:rsidRPr="003331EF">
        <w:rPr>
          <w:b/>
        </w:rPr>
        <w:t>Majandustegevuse seadustiku üldosa seaduse muutmine</w:t>
      </w:r>
    </w:p>
    <w:p w14:paraId="5A80520A" w14:textId="77777777" w:rsidR="00A97910" w:rsidRPr="003331EF" w:rsidRDefault="00A97910" w:rsidP="003331EF">
      <w:pPr>
        <w:spacing w:before="0"/>
        <w:rPr>
          <w:b/>
          <w:shd w:val="clear" w:color="auto" w:fill="FFFFFF"/>
        </w:rPr>
      </w:pPr>
    </w:p>
    <w:p w14:paraId="7DE9DC6D" w14:textId="01C5F5B3" w:rsidR="001A4507" w:rsidRPr="003331EF" w:rsidRDefault="001A4507" w:rsidP="003331EF">
      <w:pPr>
        <w:spacing w:before="0"/>
        <w:rPr>
          <w:iCs/>
          <w:spacing w:val="-5"/>
          <w:lang w:eastAsia="en-US"/>
        </w:rPr>
      </w:pPr>
      <w:r w:rsidRPr="003331EF">
        <w:rPr>
          <w:b/>
          <w:shd w:val="clear" w:color="auto" w:fill="FFFFFF"/>
        </w:rPr>
        <w:t xml:space="preserve">Paragrahviga </w:t>
      </w:r>
      <w:r w:rsidR="00A97910" w:rsidRPr="003331EF">
        <w:rPr>
          <w:b/>
          <w:shd w:val="clear" w:color="auto" w:fill="FFFFFF"/>
        </w:rPr>
        <w:t>5</w:t>
      </w:r>
      <w:r w:rsidR="00C20CE7" w:rsidRPr="003331EF">
        <w:rPr>
          <w:b/>
          <w:shd w:val="clear" w:color="auto" w:fill="FFFFFF"/>
        </w:rPr>
        <w:t>4</w:t>
      </w:r>
      <w:r w:rsidR="004F1C46" w:rsidRPr="003331EF">
        <w:rPr>
          <w:b/>
          <w:shd w:val="clear" w:color="auto" w:fill="FFFFFF"/>
        </w:rPr>
        <w:t xml:space="preserve"> </w:t>
      </w:r>
      <w:r w:rsidRPr="003331EF">
        <w:rPr>
          <w:iCs/>
          <w:spacing w:val="-5"/>
          <w:lang w:eastAsia="en-US"/>
        </w:rPr>
        <w:t xml:space="preserve">sätestatakse </w:t>
      </w:r>
      <w:proofErr w:type="spellStart"/>
      <w:r w:rsidRPr="003331EF">
        <w:rPr>
          <w:iCs/>
          <w:spacing w:val="-5"/>
          <w:lang w:eastAsia="en-US"/>
        </w:rPr>
        <w:t>MsÜS</w:t>
      </w:r>
      <w:proofErr w:type="spellEnd"/>
      <w:r w:rsidRPr="003331EF">
        <w:rPr>
          <w:iCs/>
          <w:spacing w:val="-5"/>
          <w:lang w:eastAsia="en-US"/>
        </w:rPr>
        <w:t xml:space="preserve"> muudatused.</w:t>
      </w:r>
    </w:p>
    <w:p w14:paraId="0FBA5057" w14:textId="77777777" w:rsidR="001A4507" w:rsidRPr="003331EF" w:rsidRDefault="001A4507" w:rsidP="003331EF">
      <w:pPr>
        <w:spacing w:before="0"/>
        <w:rPr>
          <w:b/>
          <w:bCs/>
        </w:rPr>
      </w:pPr>
    </w:p>
    <w:p w14:paraId="79A8CE21" w14:textId="226F84CF" w:rsidR="001A4507" w:rsidRPr="003331EF" w:rsidRDefault="001A4507" w:rsidP="003331EF">
      <w:pPr>
        <w:spacing w:before="0"/>
        <w:rPr>
          <w:shd w:val="clear" w:color="auto" w:fill="FFFFFF"/>
        </w:rPr>
      </w:pPr>
      <w:r w:rsidRPr="003331EF">
        <w:rPr>
          <w:iCs/>
          <w:spacing w:val="-5"/>
          <w:lang w:eastAsia="en-US"/>
        </w:rPr>
        <w:t>Majandustegevuse seadustiku üldosa seaduse § 2 lõiget 4 täiendatakse punktiga</w:t>
      </w:r>
      <w:r w:rsidRPr="003331EF">
        <w:rPr>
          <w:bCs/>
        </w:rPr>
        <w:t xml:space="preserve"> 6</w:t>
      </w:r>
      <w:r w:rsidRPr="003331EF">
        <w:rPr>
          <w:bCs/>
          <w:vertAlign w:val="superscript"/>
        </w:rPr>
        <w:t>1</w:t>
      </w:r>
      <w:r w:rsidRPr="003331EF">
        <w:rPr>
          <w:bCs/>
        </w:rPr>
        <w:t xml:space="preserve">, </w:t>
      </w:r>
      <w:r w:rsidRPr="003331EF">
        <w:rPr>
          <w:iCs/>
          <w:spacing w:val="-5"/>
          <w:lang w:eastAsia="en-US"/>
        </w:rPr>
        <w:t xml:space="preserve">mille kohaselt ei kohaldata majandustegevuse seadustiku üldosa seadust </w:t>
      </w:r>
      <w:proofErr w:type="spellStart"/>
      <w:r w:rsidRPr="003331EF">
        <w:rPr>
          <w:iCs/>
          <w:spacing w:val="-5"/>
          <w:lang w:eastAsia="en-US"/>
        </w:rPr>
        <w:t>krüptovaraturu</w:t>
      </w:r>
      <w:proofErr w:type="spellEnd"/>
      <w:r w:rsidRPr="003331EF">
        <w:rPr>
          <w:iCs/>
          <w:spacing w:val="-5"/>
          <w:lang w:eastAsia="en-US"/>
        </w:rPr>
        <w:t xml:space="preserve"> seaduse tähenduses </w:t>
      </w:r>
      <w:proofErr w:type="spellStart"/>
      <w:r w:rsidRPr="003331EF">
        <w:rPr>
          <w:iCs/>
          <w:spacing w:val="-5"/>
          <w:lang w:eastAsia="en-US"/>
        </w:rPr>
        <w:t>krüptovarateenuse</w:t>
      </w:r>
      <w:proofErr w:type="spellEnd"/>
      <w:r w:rsidRPr="003331EF">
        <w:rPr>
          <w:iCs/>
          <w:spacing w:val="-5"/>
          <w:lang w:eastAsia="en-US"/>
        </w:rPr>
        <w:t xml:space="preserve"> osutajana ja </w:t>
      </w:r>
      <w:proofErr w:type="spellStart"/>
      <w:r w:rsidRPr="003331EF">
        <w:rPr>
          <w:iCs/>
          <w:spacing w:val="-5"/>
          <w:lang w:eastAsia="en-US"/>
        </w:rPr>
        <w:t>krüptovara</w:t>
      </w:r>
      <w:proofErr w:type="spellEnd"/>
      <w:r w:rsidRPr="003331EF">
        <w:rPr>
          <w:iCs/>
          <w:spacing w:val="-5"/>
          <w:lang w:eastAsia="en-US"/>
        </w:rPr>
        <w:t xml:space="preserve"> emitendina tegutsemisele. </w:t>
      </w:r>
      <w:r w:rsidR="00DD3536" w:rsidRPr="003331EF">
        <w:rPr>
          <w:iCs/>
          <w:spacing w:val="-5"/>
          <w:lang w:eastAsia="en-US"/>
        </w:rPr>
        <w:t xml:space="preserve">Kuna </w:t>
      </w:r>
      <w:proofErr w:type="spellStart"/>
      <w:r w:rsidR="00DD3536" w:rsidRPr="003331EF">
        <w:rPr>
          <w:iCs/>
          <w:spacing w:val="-5"/>
          <w:lang w:eastAsia="en-US"/>
        </w:rPr>
        <w:t>k</w:t>
      </w:r>
      <w:r w:rsidR="00DD3536" w:rsidRPr="003331EF">
        <w:t>rüptovarateenus</w:t>
      </w:r>
      <w:proofErr w:type="spellEnd"/>
      <w:r w:rsidR="00DD3536" w:rsidRPr="003331EF">
        <w:t xml:space="preserve"> ning </w:t>
      </w:r>
      <w:proofErr w:type="spellStart"/>
      <w:r w:rsidR="00DD3536" w:rsidRPr="003331EF">
        <w:t>krüptovara</w:t>
      </w:r>
      <w:proofErr w:type="spellEnd"/>
      <w:r w:rsidR="00DD3536" w:rsidRPr="003331EF">
        <w:t xml:space="preserve"> pakkumine ja kauplemisele võtmise taotlemine on eriseadusega detailselt reguleeritud, ei ole </w:t>
      </w:r>
      <w:proofErr w:type="spellStart"/>
      <w:r w:rsidR="00DD3536" w:rsidRPr="003331EF">
        <w:t>M</w:t>
      </w:r>
      <w:r w:rsidR="00BE6F96" w:rsidRPr="003331EF">
        <w:t>s</w:t>
      </w:r>
      <w:r w:rsidR="00DD3536" w:rsidRPr="003331EF">
        <w:t>ÜS</w:t>
      </w:r>
      <w:proofErr w:type="spellEnd"/>
      <w:r w:rsidR="00DD3536" w:rsidRPr="003331EF">
        <w:t xml:space="preserve">-i kohaldamine otstarbekas. </w:t>
      </w:r>
      <w:r w:rsidRPr="003331EF">
        <w:rPr>
          <w:iCs/>
          <w:spacing w:val="-5"/>
          <w:lang w:eastAsia="en-US"/>
        </w:rPr>
        <w:t xml:space="preserve">Sarnaselt teistele finantsjärelevalvesubjektidele on tegemist eelnõu subjektide jaoks täpsustava sättega. </w:t>
      </w:r>
    </w:p>
    <w:p w14:paraId="5BF8AE7D" w14:textId="77777777" w:rsidR="001A4507" w:rsidRPr="003331EF" w:rsidRDefault="001A4507" w:rsidP="003331EF">
      <w:pPr>
        <w:spacing w:before="0"/>
        <w:rPr>
          <w:i/>
          <w:iCs/>
          <w:shd w:val="clear" w:color="auto" w:fill="FFFFFF"/>
        </w:rPr>
      </w:pPr>
    </w:p>
    <w:p w14:paraId="63D32126" w14:textId="2B46B632" w:rsidR="00A97910" w:rsidRPr="003331EF" w:rsidRDefault="00A97910" w:rsidP="003331EF">
      <w:pPr>
        <w:spacing w:before="0"/>
        <w:rPr>
          <w:b/>
          <w:shd w:val="clear" w:color="auto" w:fill="FFFFFF"/>
        </w:rPr>
      </w:pPr>
      <w:r w:rsidRPr="003331EF">
        <w:rPr>
          <w:b/>
          <w:shd w:val="clear" w:color="auto" w:fill="FFFFFF"/>
        </w:rPr>
        <w:t>Paragrahv 5</w:t>
      </w:r>
      <w:r w:rsidR="00C20CE7" w:rsidRPr="003331EF">
        <w:rPr>
          <w:b/>
          <w:shd w:val="clear" w:color="auto" w:fill="FFFFFF"/>
        </w:rPr>
        <w:t>4</w:t>
      </w:r>
      <w:r w:rsidRPr="003331EF">
        <w:rPr>
          <w:b/>
          <w:shd w:val="clear" w:color="auto" w:fill="FFFFFF"/>
        </w:rPr>
        <w:t xml:space="preserve">. </w:t>
      </w:r>
      <w:r w:rsidRPr="003331EF">
        <w:rPr>
          <w:b/>
          <w:bCs/>
        </w:rPr>
        <w:t>Makseasutuste ja e-raha asutuste seaduse muutmine</w:t>
      </w:r>
    </w:p>
    <w:p w14:paraId="2BE6F60C" w14:textId="77777777" w:rsidR="00A97910" w:rsidRPr="003331EF" w:rsidRDefault="00A97910" w:rsidP="003331EF">
      <w:pPr>
        <w:spacing w:before="0"/>
        <w:rPr>
          <w:b/>
          <w:shd w:val="clear" w:color="auto" w:fill="FFFFFF"/>
        </w:rPr>
      </w:pPr>
    </w:p>
    <w:p w14:paraId="5D8CF010" w14:textId="3559892A" w:rsidR="000F4025" w:rsidRPr="003331EF" w:rsidRDefault="001A4507" w:rsidP="003331EF">
      <w:pPr>
        <w:spacing w:before="0"/>
        <w:rPr>
          <w:iCs/>
          <w:spacing w:val="-5"/>
          <w:lang w:eastAsia="en-US"/>
        </w:rPr>
      </w:pPr>
      <w:r w:rsidRPr="003331EF">
        <w:rPr>
          <w:b/>
          <w:shd w:val="clear" w:color="auto" w:fill="FFFFFF"/>
        </w:rPr>
        <w:t>Paragrahviga 5</w:t>
      </w:r>
      <w:r w:rsidR="00C20CE7" w:rsidRPr="003331EF">
        <w:rPr>
          <w:b/>
          <w:shd w:val="clear" w:color="auto" w:fill="FFFFFF"/>
        </w:rPr>
        <w:t>4</w:t>
      </w:r>
      <w:r w:rsidRPr="003331EF">
        <w:rPr>
          <w:shd w:val="clear" w:color="auto" w:fill="FFFFFF"/>
        </w:rPr>
        <w:t xml:space="preserve"> </w:t>
      </w:r>
      <w:r w:rsidRPr="003331EF">
        <w:rPr>
          <w:iCs/>
          <w:spacing w:val="-5"/>
          <w:lang w:eastAsia="en-US"/>
        </w:rPr>
        <w:t xml:space="preserve">sätestatakse </w:t>
      </w:r>
      <w:proofErr w:type="spellStart"/>
      <w:r w:rsidRPr="003331EF">
        <w:rPr>
          <w:iCs/>
          <w:spacing w:val="-5"/>
          <w:lang w:eastAsia="en-US"/>
        </w:rPr>
        <w:t>MERAS</w:t>
      </w:r>
      <w:r w:rsidR="003804F3" w:rsidRPr="003331EF">
        <w:rPr>
          <w:iCs/>
          <w:spacing w:val="-5"/>
          <w:lang w:eastAsia="en-US"/>
        </w:rPr>
        <w:t>-</w:t>
      </w:r>
      <w:r w:rsidRPr="003331EF">
        <w:rPr>
          <w:iCs/>
          <w:spacing w:val="-5"/>
          <w:lang w:eastAsia="en-US"/>
        </w:rPr>
        <w:t>e</w:t>
      </w:r>
      <w:proofErr w:type="spellEnd"/>
      <w:r w:rsidRPr="003331EF">
        <w:rPr>
          <w:iCs/>
          <w:spacing w:val="-5"/>
          <w:lang w:eastAsia="en-US"/>
        </w:rPr>
        <w:t xml:space="preserve"> muutmine. Muudatuse kohaselt täiendatakse </w:t>
      </w:r>
      <w:r w:rsidRPr="003331EF">
        <w:rPr>
          <w:b/>
          <w:bCs/>
          <w:iCs/>
          <w:spacing w:val="-5"/>
          <w:lang w:eastAsia="en-US"/>
        </w:rPr>
        <w:t>MERAS §-i 2 uu</w:t>
      </w:r>
      <w:r w:rsidR="000F4025" w:rsidRPr="003331EF">
        <w:rPr>
          <w:b/>
          <w:bCs/>
          <w:iCs/>
          <w:spacing w:val="-5"/>
          <w:lang w:eastAsia="en-US"/>
        </w:rPr>
        <w:t>t</w:t>
      </w:r>
      <w:r w:rsidRPr="003331EF">
        <w:rPr>
          <w:b/>
          <w:bCs/>
          <w:iCs/>
          <w:spacing w:val="-5"/>
          <w:lang w:eastAsia="en-US"/>
        </w:rPr>
        <w:t>e lõi</w:t>
      </w:r>
      <w:r w:rsidR="000F4025" w:rsidRPr="003331EF">
        <w:rPr>
          <w:b/>
          <w:bCs/>
          <w:iCs/>
          <w:spacing w:val="-5"/>
          <w:lang w:eastAsia="en-US"/>
        </w:rPr>
        <w:t>getega</w:t>
      </w:r>
      <w:r w:rsidRPr="003331EF">
        <w:rPr>
          <w:b/>
          <w:bCs/>
          <w:iCs/>
          <w:spacing w:val="-5"/>
          <w:lang w:eastAsia="en-US"/>
        </w:rPr>
        <w:t xml:space="preserve"> 3</w:t>
      </w:r>
      <w:r w:rsidR="00C402F7" w:rsidRPr="003331EF">
        <w:rPr>
          <w:b/>
          <w:bCs/>
          <w:iCs/>
          <w:spacing w:val="-5"/>
          <w:lang w:eastAsia="en-US"/>
        </w:rPr>
        <w:t xml:space="preserve"> –</w:t>
      </w:r>
      <w:r w:rsidR="00933AE4" w:rsidRPr="003331EF">
        <w:rPr>
          <w:b/>
          <w:bCs/>
          <w:iCs/>
          <w:spacing w:val="-5"/>
          <w:lang w:eastAsia="en-US"/>
        </w:rPr>
        <w:t>5</w:t>
      </w:r>
      <w:r w:rsidRPr="003331EF">
        <w:rPr>
          <w:iCs/>
          <w:spacing w:val="-5"/>
          <w:lang w:eastAsia="en-US"/>
        </w:rPr>
        <w:t xml:space="preserve"> nii, et</w:t>
      </w:r>
      <w:r w:rsidR="000F4025" w:rsidRPr="003331EF">
        <w:rPr>
          <w:iCs/>
          <w:spacing w:val="-5"/>
          <w:lang w:eastAsia="en-US"/>
        </w:rPr>
        <w:t xml:space="preserve">: </w:t>
      </w:r>
    </w:p>
    <w:p w14:paraId="249D8B64" w14:textId="77777777" w:rsidR="00D2513B" w:rsidRPr="003331EF" w:rsidRDefault="000F4025" w:rsidP="003331EF">
      <w:pPr>
        <w:pStyle w:val="Loendilik"/>
        <w:numPr>
          <w:ilvl w:val="0"/>
          <w:numId w:val="59"/>
        </w:numPr>
        <w:jc w:val="both"/>
        <w:rPr>
          <w:iCs/>
          <w:spacing w:val="-5"/>
        </w:rPr>
      </w:pPr>
      <w:r w:rsidRPr="003331EF">
        <w:rPr>
          <w:iCs/>
          <w:spacing w:val="-5"/>
        </w:rPr>
        <w:t>TFR määrust kohaldatakse pankadele ja teistele makseteenuste osutajatele</w:t>
      </w:r>
      <w:r w:rsidR="00D44895" w:rsidRPr="003331EF">
        <w:rPr>
          <w:iCs/>
          <w:spacing w:val="-5"/>
        </w:rPr>
        <w:t xml:space="preserve"> (vastav sanktsioneerimisnorm on sätestatud aga </w:t>
      </w:r>
      <w:proofErr w:type="spellStart"/>
      <w:r w:rsidR="00D44895" w:rsidRPr="003331EF">
        <w:rPr>
          <w:iCs/>
          <w:spacing w:val="-5"/>
        </w:rPr>
        <w:t>RahaPTS</w:t>
      </w:r>
      <w:proofErr w:type="spellEnd"/>
      <w:r w:rsidR="00D44895" w:rsidRPr="003331EF">
        <w:rPr>
          <w:iCs/>
          <w:spacing w:val="-5"/>
        </w:rPr>
        <w:t xml:space="preserve"> §-s 96)</w:t>
      </w:r>
      <w:r w:rsidRPr="003331EF">
        <w:rPr>
          <w:iCs/>
          <w:spacing w:val="-5"/>
        </w:rPr>
        <w:t xml:space="preserve">; </w:t>
      </w:r>
    </w:p>
    <w:p w14:paraId="164669DF" w14:textId="536664EA" w:rsidR="00C402F7" w:rsidRPr="003331EF" w:rsidRDefault="000F4025" w:rsidP="003331EF">
      <w:pPr>
        <w:pStyle w:val="Loendilik"/>
        <w:numPr>
          <w:ilvl w:val="0"/>
          <w:numId w:val="59"/>
        </w:numPr>
        <w:jc w:val="both"/>
        <w:rPr>
          <w:iCs/>
          <w:spacing w:val="-5"/>
        </w:rPr>
      </w:pPr>
      <w:r w:rsidRPr="003331EF">
        <w:rPr>
          <w:iCs/>
          <w:spacing w:val="-5"/>
        </w:rPr>
        <w:t xml:space="preserve">täpsustakse, et </w:t>
      </w:r>
      <w:r w:rsidR="001A4507" w:rsidRPr="003331EF">
        <w:rPr>
          <w:iCs/>
          <w:spacing w:val="-5"/>
        </w:rPr>
        <w:t xml:space="preserve">e-raha asutusele, kes osutab </w:t>
      </w:r>
      <w:proofErr w:type="spellStart"/>
      <w:r w:rsidR="001A4507" w:rsidRPr="003331EF">
        <w:rPr>
          <w:iCs/>
          <w:spacing w:val="-5"/>
        </w:rPr>
        <w:t>krüptovarateenust</w:t>
      </w:r>
      <w:proofErr w:type="spellEnd"/>
      <w:r w:rsidR="001A4507" w:rsidRPr="003331EF">
        <w:rPr>
          <w:iCs/>
          <w:spacing w:val="-5"/>
        </w:rPr>
        <w:t xml:space="preserve">, kohaldatakse </w:t>
      </w:r>
      <w:proofErr w:type="spellStart"/>
      <w:r w:rsidR="00846B91" w:rsidRPr="003331EF">
        <w:rPr>
          <w:iCs/>
          <w:spacing w:val="-5"/>
        </w:rPr>
        <w:t>KrüTSis</w:t>
      </w:r>
      <w:proofErr w:type="spellEnd"/>
      <w:r w:rsidR="00846B91" w:rsidRPr="003331EF">
        <w:rPr>
          <w:iCs/>
          <w:spacing w:val="-5"/>
        </w:rPr>
        <w:t xml:space="preserve"> ja </w:t>
      </w:r>
      <w:proofErr w:type="spellStart"/>
      <w:r w:rsidR="001A4507" w:rsidRPr="003331EF">
        <w:rPr>
          <w:iCs/>
          <w:spacing w:val="-5"/>
        </w:rPr>
        <w:t>M</w:t>
      </w:r>
      <w:r w:rsidR="000020ED" w:rsidRPr="003331EF">
        <w:rPr>
          <w:iCs/>
          <w:spacing w:val="-5"/>
        </w:rPr>
        <w:t>i</w:t>
      </w:r>
      <w:r w:rsidR="001A4507" w:rsidRPr="003331EF">
        <w:rPr>
          <w:iCs/>
          <w:spacing w:val="-5"/>
        </w:rPr>
        <w:t>CA</w:t>
      </w:r>
      <w:proofErr w:type="spellEnd"/>
      <w:r w:rsidR="001A4507" w:rsidRPr="003331EF">
        <w:rPr>
          <w:iCs/>
          <w:spacing w:val="-5"/>
        </w:rPr>
        <w:t xml:space="preserve"> määruses sätestatut</w:t>
      </w:r>
      <w:r w:rsidR="00846B91" w:rsidRPr="003331EF">
        <w:rPr>
          <w:iCs/>
          <w:spacing w:val="-5"/>
        </w:rPr>
        <w:t xml:space="preserve"> (va </w:t>
      </w:r>
      <w:proofErr w:type="spellStart"/>
      <w:r w:rsidR="00846B91" w:rsidRPr="003331EF">
        <w:rPr>
          <w:iCs/>
          <w:spacing w:val="-5"/>
        </w:rPr>
        <w:t>MiCA</w:t>
      </w:r>
      <w:proofErr w:type="spellEnd"/>
      <w:r w:rsidR="00846B91" w:rsidRPr="003331EF">
        <w:rPr>
          <w:iCs/>
          <w:spacing w:val="-5"/>
        </w:rPr>
        <w:t xml:space="preserve"> määruse artikli 60 lõikes 10 viidatud nõudeid)</w:t>
      </w:r>
      <w:r w:rsidR="001A4507" w:rsidRPr="003331EF">
        <w:rPr>
          <w:iCs/>
          <w:spacing w:val="-5"/>
        </w:rPr>
        <w:t xml:space="preserve">. E-raha asutus ei pea </w:t>
      </w:r>
      <w:proofErr w:type="spellStart"/>
      <w:r w:rsidR="001A4507" w:rsidRPr="003331EF">
        <w:rPr>
          <w:iCs/>
          <w:spacing w:val="-5"/>
        </w:rPr>
        <w:t>krüptovarateenuse</w:t>
      </w:r>
      <w:proofErr w:type="spellEnd"/>
      <w:r w:rsidR="001A4507" w:rsidRPr="003331EF">
        <w:rPr>
          <w:iCs/>
          <w:spacing w:val="-5"/>
        </w:rPr>
        <w:t xml:space="preserve"> osutamiseks eraldi tegevusluba taotlema ning piisab</w:t>
      </w:r>
      <w:r w:rsidR="000020ED" w:rsidRPr="003331EF">
        <w:rPr>
          <w:iCs/>
          <w:spacing w:val="-5"/>
        </w:rPr>
        <w:t xml:space="preserve"> F</w:t>
      </w:r>
      <w:r w:rsidR="001A4507" w:rsidRPr="003331EF">
        <w:rPr>
          <w:iCs/>
          <w:spacing w:val="-5"/>
        </w:rPr>
        <w:t>inantsinspektsiooni teavitamisest</w:t>
      </w:r>
      <w:r w:rsidR="00C402F7" w:rsidRPr="003331EF">
        <w:rPr>
          <w:iCs/>
          <w:spacing w:val="-5"/>
        </w:rPr>
        <w:t>;</w:t>
      </w:r>
    </w:p>
    <w:p w14:paraId="6E4ADDD4" w14:textId="464B78BC" w:rsidR="001A4507" w:rsidRPr="003331EF" w:rsidRDefault="00C402F7" w:rsidP="003331EF">
      <w:pPr>
        <w:pStyle w:val="Loendilik"/>
        <w:numPr>
          <w:ilvl w:val="0"/>
          <w:numId w:val="59"/>
        </w:numPr>
        <w:jc w:val="both"/>
        <w:rPr>
          <w:iCs/>
          <w:spacing w:val="-5"/>
        </w:rPr>
      </w:pPr>
      <w:r w:rsidRPr="003331EF">
        <w:rPr>
          <w:iCs/>
          <w:spacing w:val="-5"/>
        </w:rPr>
        <w:t xml:space="preserve">kui </w:t>
      </w:r>
      <w:proofErr w:type="spellStart"/>
      <w:r w:rsidR="006F7384" w:rsidRPr="003331EF">
        <w:rPr>
          <w:iCs/>
          <w:spacing w:val="-5"/>
        </w:rPr>
        <w:t>MERASes</w:t>
      </w:r>
      <w:proofErr w:type="spellEnd"/>
      <w:r w:rsidR="006F7384" w:rsidRPr="003331EF">
        <w:rPr>
          <w:iCs/>
          <w:spacing w:val="-5"/>
        </w:rPr>
        <w:t xml:space="preserve"> ja </w:t>
      </w:r>
      <w:proofErr w:type="spellStart"/>
      <w:r w:rsidR="006F7384" w:rsidRPr="003331EF">
        <w:rPr>
          <w:iCs/>
          <w:spacing w:val="-5"/>
        </w:rPr>
        <w:t>KrÜTSis</w:t>
      </w:r>
      <w:proofErr w:type="spellEnd"/>
      <w:r w:rsidR="006F7384" w:rsidRPr="003331EF">
        <w:rPr>
          <w:iCs/>
          <w:spacing w:val="-5"/>
        </w:rPr>
        <w:t xml:space="preserve"> on</w:t>
      </w:r>
      <w:r w:rsidR="008C7461" w:rsidRPr="003331EF">
        <w:rPr>
          <w:iCs/>
          <w:spacing w:val="-5"/>
        </w:rPr>
        <w:t xml:space="preserve"> sätestatud nõu</w:t>
      </w:r>
      <w:r w:rsidR="006F7384" w:rsidRPr="003331EF">
        <w:rPr>
          <w:iCs/>
          <w:spacing w:val="-5"/>
        </w:rPr>
        <w:t>ded sama tegevuse suhtes</w:t>
      </w:r>
      <w:r w:rsidRPr="003331EF">
        <w:rPr>
          <w:iCs/>
          <w:spacing w:val="-5"/>
        </w:rPr>
        <w:t xml:space="preserve">, siis kohaldatakse </w:t>
      </w:r>
      <w:r w:rsidR="006F7384" w:rsidRPr="003331EF">
        <w:t xml:space="preserve">makseasutusele või e-raha asutusele </w:t>
      </w:r>
      <w:r w:rsidRPr="003331EF">
        <w:rPr>
          <w:iCs/>
          <w:spacing w:val="-5"/>
        </w:rPr>
        <w:t>rangemaid/detailsemaid nõudeid</w:t>
      </w:r>
      <w:r w:rsidR="000020ED" w:rsidRPr="003331EF">
        <w:rPr>
          <w:iCs/>
          <w:spacing w:val="-5"/>
        </w:rPr>
        <w:t>.</w:t>
      </w:r>
    </w:p>
    <w:p w14:paraId="4892509B" w14:textId="77777777" w:rsidR="000020ED" w:rsidRPr="003331EF" w:rsidRDefault="000020ED" w:rsidP="003331EF">
      <w:pPr>
        <w:spacing w:before="0"/>
        <w:rPr>
          <w:iCs/>
          <w:spacing w:val="-5"/>
        </w:rPr>
      </w:pPr>
    </w:p>
    <w:p w14:paraId="7B206582" w14:textId="705E6FBB" w:rsidR="00933AE4" w:rsidRPr="003331EF" w:rsidRDefault="00933AE4" w:rsidP="003331EF">
      <w:pPr>
        <w:spacing w:before="0"/>
        <w:rPr>
          <w:iCs/>
          <w:spacing w:val="-5"/>
        </w:rPr>
      </w:pPr>
      <w:r w:rsidRPr="003331EF">
        <w:rPr>
          <w:iCs/>
          <w:spacing w:val="-5"/>
        </w:rPr>
        <w:t xml:space="preserve">Samas, kui makseaustus soovib osutada </w:t>
      </w:r>
      <w:proofErr w:type="spellStart"/>
      <w:r w:rsidRPr="003331EF">
        <w:rPr>
          <w:iCs/>
          <w:spacing w:val="-5"/>
        </w:rPr>
        <w:t>krüptovarateenust</w:t>
      </w:r>
      <w:proofErr w:type="spellEnd"/>
      <w:r w:rsidRPr="003331EF">
        <w:rPr>
          <w:iCs/>
          <w:spacing w:val="-5"/>
        </w:rPr>
        <w:t xml:space="preserve">, peab ta taotlema </w:t>
      </w:r>
      <w:proofErr w:type="spellStart"/>
      <w:r w:rsidRPr="003331EF">
        <w:rPr>
          <w:iCs/>
          <w:spacing w:val="-5"/>
        </w:rPr>
        <w:t>MiCA</w:t>
      </w:r>
      <w:proofErr w:type="spellEnd"/>
      <w:r w:rsidRPr="003331EF">
        <w:rPr>
          <w:iCs/>
          <w:spacing w:val="-5"/>
        </w:rPr>
        <w:t xml:space="preserve"> alusel tegevusloa ja täitma kõiki </w:t>
      </w:r>
      <w:proofErr w:type="spellStart"/>
      <w:r w:rsidRPr="003331EF">
        <w:rPr>
          <w:iCs/>
          <w:spacing w:val="-5"/>
        </w:rPr>
        <w:t>MiCA</w:t>
      </w:r>
      <w:proofErr w:type="spellEnd"/>
      <w:r w:rsidRPr="003331EF">
        <w:rPr>
          <w:iCs/>
          <w:spacing w:val="-5"/>
        </w:rPr>
        <w:t xml:space="preserve"> määruse nõudeid, mis on tegevusloa saamise aluseks</w:t>
      </w:r>
      <w:r w:rsidR="00451BF3" w:rsidRPr="003331EF">
        <w:rPr>
          <w:iCs/>
          <w:spacing w:val="-5"/>
        </w:rPr>
        <w:t xml:space="preserve"> (sh usaldatavusnõuded).</w:t>
      </w:r>
      <w:r w:rsidR="004B29B4" w:rsidRPr="003331EF">
        <w:rPr>
          <w:iCs/>
          <w:spacing w:val="-5"/>
        </w:rPr>
        <w:t xml:space="preserve"> Makseasutusele kohalduvad nii </w:t>
      </w:r>
      <w:proofErr w:type="spellStart"/>
      <w:r w:rsidR="004B29B4" w:rsidRPr="003331EF">
        <w:rPr>
          <w:iCs/>
          <w:spacing w:val="-5"/>
        </w:rPr>
        <w:t>MERAS</w:t>
      </w:r>
      <w:r w:rsidR="000020ED" w:rsidRPr="003331EF">
        <w:rPr>
          <w:iCs/>
          <w:spacing w:val="-5"/>
        </w:rPr>
        <w:t>-</w:t>
      </w:r>
      <w:r w:rsidR="004B29B4" w:rsidRPr="003331EF">
        <w:rPr>
          <w:iCs/>
          <w:spacing w:val="-5"/>
        </w:rPr>
        <w:t>e</w:t>
      </w:r>
      <w:proofErr w:type="spellEnd"/>
      <w:r w:rsidR="004B29B4" w:rsidRPr="003331EF">
        <w:rPr>
          <w:iCs/>
          <w:spacing w:val="-5"/>
        </w:rPr>
        <w:t xml:space="preserve"> kui ka </w:t>
      </w:r>
      <w:proofErr w:type="spellStart"/>
      <w:r w:rsidR="004B29B4" w:rsidRPr="003331EF">
        <w:rPr>
          <w:iCs/>
          <w:spacing w:val="-5"/>
        </w:rPr>
        <w:t>MiCA</w:t>
      </w:r>
      <w:proofErr w:type="spellEnd"/>
      <w:r w:rsidR="004B29B4" w:rsidRPr="003331EF">
        <w:rPr>
          <w:iCs/>
          <w:spacing w:val="-5"/>
        </w:rPr>
        <w:t xml:space="preserve"> </w:t>
      </w:r>
      <w:r w:rsidR="000020ED" w:rsidRPr="003331EF">
        <w:rPr>
          <w:iCs/>
          <w:spacing w:val="-5"/>
        </w:rPr>
        <w:t xml:space="preserve">määruse </w:t>
      </w:r>
      <w:r w:rsidR="004B29B4" w:rsidRPr="003331EF">
        <w:rPr>
          <w:iCs/>
          <w:spacing w:val="-5"/>
        </w:rPr>
        <w:t>nõuded.</w:t>
      </w:r>
    </w:p>
    <w:p w14:paraId="1DAD06A8" w14:textId="77777777" w:rsidR="00A041D2" w:rsidRPr="003331EF" w:rsidRDefault="00A041D2" w:rsidP="003331EF">
      <w:pPr>
        <w:spacing w:before="0"/>
        <w:rPr>
          <w:bCs/>
          <w:shd w:val="clear" w:color="auto" w:fill="FFFFFF"/>
        </w:rPr>
      </w:pPr>
    </w:p>
    <w:p w14:paraId="37230B07" w14:textId="507C0380" w:rsidR="00A041D2" w:rsidRPr="003331EF" w:rsidRDefault="00A041D2" w:rsidP="003331EF">
      <w:pPr>
        <w:spacing w:before="0"/>
        <w:rPr>
          <w:bCs/>
          <w:shd w:val="clear" w:color="auto" w:fill="FFFFFF"/>
        </w:rPr>
      </w:pPr>
      <w:r w:rsidRPr="003331EF">
        <w:rPr>
          <w:bCs/>
          <w:shd w:val="clear" w:color="auto" w:fill="FFFFFF"/>
        </w:rPr>
        <w:t xml:space="preserve">Lisaks korrigeeritakse </w:t>
      </w:r>
      <w:r w:rsidRPr="003331EF">
        <w:rPr>
          <w:b/>
          <w:shd w:val="clear" w:color="auto" w:fill="FFFFFF"/>
        </w:rPr>
        <w:t>§ 114 lõiget 2,</w:t>
      </w:r>
      <w:r w:rsidRPr="003331EF">
        <w:rPr>
          <w:bCs/>
          <w:shd w:val="clear" w:color="auto" w:fill="FFFFFF"/>
        </w:rPr>
        <w:t xml:space="preserve"> milles</w:t>
      </w:r>
      <w:r w:rsidR="00292646" w:rsidRPr="003331EF">
        <w:rPr>
          <w:bCs/>
          <w:shd w:val="clear" w:color="auto" w:fill="FFFFFF"/>
        </w:rPr>
        <w:t>t</w:t>
      </w:r>
      <w:r w:rsidRPr="003331EF">
        <w:rPr>
          <w:bCs/>
          <w:shd w:val="clear" w:color="auto" w:fill="FFFFFF"/>
        </w:rPr>
        <w:t xml:space="preserve"> on </w:t>
      </w:r>
      <w:r w:rsidR="00292646" w:rsidRPr="003331EF">
        <w:rPr>
          <w:bCs/>
          <w:shd w:val="clear" w:color="auto" w:fill="FFFFFF"/>
        </w:rPr>
        <w:t xml:space="preserve">ekslikult </w:t>
      </w:r>
      <w:r w:rsidRPr="003331EF">
        <w:rPr>
          <w:bCs/>
          <w:shd w:val="clear" w:color="auto" w:fill="FFFFFF"/>
        </w:rPr>
        <w:t xml:space="preserve">välja jäänud sõna „kuni“. </w:t>
      </w:r>
    </w:p>
    <w:p w14:paraId="492D07D9" w14:textId="77777777" w:rsidR="001A4507" w:rsidRPr="003331EF" w:rsidRDefault="001A4507" w:rsidP="003331EF">
      <w:pPr>
        <w:pStyle w:val="Normal2"/>
        <w:rPr>
          <w:b/>
          <w:i/>
          <w:iCs/>
          <w:sz w:val="24"/>
        </w:rPr>
      </w:pPr>
    </w:p>
    <w:p w14:paraId="39A40F1D" w14:textId="71F14E58" w:rsidR="00A97910" w:rsidRPr="003331EF" w:rsidRDefault="00A97910" w:rsidP="003331EF">
      <w:pPr>
        <w:pStyle w:val="Normal2"/>
        <w:rPr>
          <w:b/>
          <w:sz w:val="24"/>
        </w:rPr>
      </w:pPr>
      <w:r w:rsidRPr="003331EF">
        <w:rPr>
          <w:b/>
          <w:sz w:val="24"/>
        </w:rPr>
        <w:t>Paragrahv 5</w:t>
      </w:r>
      <w:r w:rsidR="00C20CE7" w:rsidRPr="003331EF">
        <w:rPr>
          <w:b/>
          <w:sz w:val="24"/>
        </w:rPr>
        <w:t>5</w:t>
      </w:r>
      <w:r w:rsidRPr="003331EF">
        <w:rPr>
          <w:b/>
          <w:sz w:val="24"/>
        </w:rPr>
        <w:t xml:space="preserve">. </w:t>
      </w:r>
      <w:r w:rsidRPr="003331EF">
        <w:rPr>
          <w:b/>
          <w:bCs w:val="0"/>
          <w:sz w:val="24"/>
        </w:rPr>
        <w:t>Rahapesu ja terrorismi rahastamise tõkestamise seaduse muutmine</w:t>
      </w:r>
    </w:p>
    <w:p w14:paraId="7BF4D1F5" w14:textId="77777777" w:rsidR="00A97910" w:rsidRPr="003331EF" w:rsidRDefault="00A97910" w:rsidP="003331EF">
      <w:pPr>
        <w:pStyle w:val="Normal2"/>
        <w:rPr>
          <w:b/>
          <w:sz w:val="24"/>
        </w:rPr>
      </w:pPr>
    </w:p>
    <w:p w14:paraId="5F92F728" w14:textId="51577815" w:rsidR="001A4507" w:rsidRPr="003331EF" w:rsidRDefault="001A4507" w:rsidP="003331EF">
      <w:pPr>
        <w:pStyle w:val="Normal2"/>
        <w:rPr>
          <w:rFonts w:eastAsia="Times New Roman"/>
          <w:bCs w:val="0"/>
          <w:iCs/>
          <w:spacing w:val="-5"/>
          <w:sz w:val="24"/>
          <w:lang w:eastAsia="en-US"/>
        </w:rPr>
      </w:pPr>
      <w:r w:rsidRPr="003331EF">
        <w:rPr>
          <w:b/>
          <w:sz w:val="24"/>
        </w:rPr>
        <w:t>Paragrahviga 5</w:t>
      </w:r>
      <w:r w:rsidR="00C20CE7" w:rsidRPr="003331EF">
        <w:rPr>
          <w:b/>
          <w:sz w:val="24"/>
        </w:rPr>
        <w:t>5</w:t>
      </w:r>
      <w:r w:rsidRPr="003331EF">
        <w:rPr>
          <w:sz w:val="24"/>
        </w:rPr>
        <w:t xml:space="preserve"> </w:t>
      </w:r>
      <w:r w:rsidRPr="003331EF">
        <w:rPr>
          <w:rFonts w:eastAsia="Times New Roman"/>
          <w:bCs w:val="0"/>
          <w:iCs/>
          <w:spacing w:val="-5"/>
          <w:sz w:val="24"/>
          <w:lang w:eastAsia="en-US"/>
        </w:rPr>
        <w:t xml:space="preserve">sätestatakse </w:t>
      </w:r>
      <w:proofErr w:type="spellStart"/>
      <w:r w:rsidRPr="003331EF">
        <w:rPr>
          <w:rFonts w:eastAsia="Times New Roman"/>
          <w:bCs w:val="0"/>
          <w:iCs/>
          <w:spacing w:val="-5"/>
          <w:sz w:val="24"/>
          <w:lang w:eastAsia="en-US"/>
        </w:rPr>
        <w:t>RahaPTS</w:t>
      </w:r>
      <w:proofErr w:type="spellEnd"/>
      <w:r w:rsidRPr="003331EF">
        <w:rPr>
          <w:rFonts w:eastAsia="Times New Roman"/>
          <w:bCs w:val="0"/>
          <w:iCs/>
          <w:spacing w:val="-5"/>
          <w:sz w:val="24"/>
          <w:lang w:eastAsia="en-US"/>
        </w:rPr>
        <w:t xml:space="preserve"> muudatused.</w:t>
      </w:r>
    </w:p>
    <w:p w14:paraId="22C7A47A" w14:textId="7313514E" w:rsidR="001A4507" w:rsidRPr="003331EF" w:rsidRDefault="001A4507" w:rsidP="003331EF">
      <w:pPr>
        <w:spacing w:before="0"/>
        <w:rPr>
          <w:bCs/>
          <w:i/>
          <w:iCs/>
        </w:rPr>
      </w:pPr>
    </w:p>
    <w:p w14:paraId="5FFD95B7" w14:textId="792EFB6D" w:rsidR="001A4507" w:rsidRPr="003331EF" w:rsidRDefault="001A4507" w:rsidP="003331EF">
      <w:pPr>
        <w:spacing w:before="0"/>
        <w:rPr>
          <w:iCs/>
          <w:spacing w:val="-5"/>
          <w:lang w:eastAsia="en-US"/>
        </w:rPr>
      </w:pPr>
      <w:r w:rsidRPr="003331EF">
        <w:rPr>
          <w:b/>
          <w:bCs/>
        </w:rPr>
        <w:t xml:space="preserve">Punktiga </w:t>
      </w:r>
      <w:r w:rsidR="00F57FCF" w:rsidRPr="003331EF">
        <w:rPr>
          <w:b/>
          <w:bCs/>
        </w:rPr>
        <w:t>1</w:t>
      </w:r>
      <w:r w:rsidRPr="003331EF">
        <w:rPr>
          <w:b/>
          <w:bCs/>
        </w:rPr>
        <w:t xml:space="preserve"> </w:t>
      </w:r>
      <w:r w:rsidRPr="003331EF">
        <w:rPr>
          <w:iCs/>
          <w:spacing w:val="-5"/>
          <w:lang w:eastAsia="en-US"/>
        </w:rPr>
        <w:t>tunnistatakse kehtetuks virtuaalvääringu tegevusloa taotlemis</w:t>
      </w:r>
      <w:r w:rsidR="008F1D4F" w:rsidRPr="003331EF">
        <w:rPr>
          <w:iCs/>
          <w:spacing w:val="-5"/>
          <w:lang w:eastAsia="en-US"/>
        </w:rPr>
        <w:t>t</w:t>
      </w:r>
      <w:r w:rsidR="009E5FD3" w:rsidRPr="003331EF">
        <w:rPr>
          <w:iCs/>
          <w:spacing w:val="-5"/>
          <w:lang w:eastAsia="en-US"/>
        </w:rPr>
        <w:t>, tingimusi ja kehtetuks tunnistamist</w:t>
      </w:r>
      <w:r w:rsidRPr="003331EF">
        <w:rPr>
          <w:iCs/>
          <w:spacing w:val="-5"/>
          <w:lang w:eastAsia="en-US"/>
        </w:rPr>
        <w:t xml:space="preserve"> </w:t>
      </w:r>
      <w:r w:rsidR="008F1D4F" w:rsidRPr="003331EF">
        <w:rPr>
          <w:iCs/>
          <w:spacing w:val="-5"/>
          <w:lang w:eastAsia="en-US"/>
        </w:rPr>
        <w:t>reguleerivad sätted</w:t>
      </w:r>
      <w:r w:rsidRPr="003331EF">
        <w:rPr>
          <w:iCs/>
          <w:spacing w:val="-5"/>
          <w:lang w:eastAsia="en-US"/>
        </w:rPr>
        <w:t xml:space="preserve"> (</w:t>
      </w:r>
      <w:proofErr w:type="spellStart"/>
      <w:r w:rsidR="009E5FD3" w:rsidRPr="003331EF">
        <w:rPr>
          <w:iCs/>
          <w:spacing w:val="-5"/>
          <w:lang w:eastAsia="en-US"/>
        </w:rPr>
        <w:t>RahaPTS</w:t>
      </w:r>
      <w:proofErr w:type="spellEnd"/>
      <w:r w:rsidR="009E5FD3" w:rsidRPr="003331EF">
        <w:rPr>
          <w:iCs/>
          <w:spacing w:val="-5"/>
          <w:lang w:eastAsia="en-US"/>
        </w:rPr>
        <w:t xml:space="preserve"> </w:t>
      </w:r>
      <w:r w:rsidRPr="003331EF">
        <w:rPr>
          <w:iCs/>
          <w:spacing w:val="-5"/>
          <w:lang w:eastAsia="en-US"/>
        </w:rPr>
        <w:t xml:space="preserve">§ 70 jj), kuivõrd nimetatud teenusepakkujate kohta käivad sätted on koondatud </w:t>
      </w:r>
      <w:proofErr w:type="spellStart"/>
      <w:r w:rsidRPr="003331EF">
        <w:rPr>
          <w:iCs/>
          <w:spacing w:val="-5"/>
          <w:lang w:eastAsia="en-US"/>
        </w:rPr>
        <w:t>krüptovaraturu</w:t>
      </w:r>
      <w:proofErr w:type="spellEnd"/>
      <w:r w:rsidRPr="003331EF">
        <w:rPr>
          <w:iCs/>
          <w:spacing w:val="-5"/>
          <w:lang w:eastAsia="en-US"/>
        </w:rPr>
        <w:t xml:space="preserve">  seadusesse</w:t>
      </w:r>
      <w:r w:rsidR="009E5FD3" w:rsidRPr="003331EF">
        <w:rPr>
          <w:iCs/>
          <w:spacing w:val="-5"/>
          <w:lang w:eastAsia="en-US"/>
        </w:rPr>
        <w:t xml:space="preserve"> ja </w:t>
      </w:r>
      <w:proofErr w:type="spellStart"/>
      <w:r w:rsidR="009E5FD3" w:rsidRPr="003331EF">
        <w:rPr>
          <w:iCs/>
          <w:spacing w:val="-5"/>
          <w:lang w:eastAsia="en-US"/>
        </w:rPr>
        <w:t>M</w:t>
      </w:r>
      <w:r w:rsidR="0019289B">
        <w:rPr>
          <w:iCs/>
          <w:spacing w:val="-5"/>
          <w:lang w:eastAsia="en-US"/>
        </w:rPr>
        <w:t>i</w:t>
      </w:r>
      <w:r w:rsidR="009E5FD3" w:rsidRPr="003331EF">
        <w:rPr>
          <w:iCs/>
          <w:spacing w:val="-5"/>
          <w:lang w:eastAsia="en-US"/>
        </w:rPr>
        <w:t>CA-sse</w:t>
      </w:r>
      <w:proofErr w:type="spellEnd"/>
      <w:r w:rsidR="009E5FD3" w:rsidRPr="003331EF">
        <w:rPr>
          <w:iCs/>
          <w:spacing w:val="-5"/>
          <w:lang w:eastAsia="en-US"/>
        </w:rPr>
        <w:t xml:space="preserve">. Virtuaalvääringutega seotud mõisted tunnistatakse kehtetuks, kuna edaspidi hõlmavad neid mõisteid </w:t>
      </w:r>
      <w:proofErr w:type="spellStart"/>
      <w:r w:rsidR="009E5FD3" w:rsidRPr="003331EF">
        <w:rPr>
          <w:iCs/>
          <w:spacing w:val="-5"/>
          <w:lang w:eastAsia="en-US"/>
        </w:rPr>
        <w:t>krüptovaraga</w:t>
      </w:r>
      <w:proofErr w:type="spellEnd"/>
      <w:r w:rsidR="009E5FD3" w:rsidRPr="003331EF">
        <w:rPr>
          <w:iCs/>
          <w:spacing w:val="-5"/>
          <w:lang w:eastAsia="en-US"/>
        </w:rPr>
        <w:t xml:space="preserve"> seotud mõisted. Kehtetuks tunnistatakse ka sätted, mis on seotud hoolsusmeetmete erisustega virtuaalvääringute vahetamise ja ülekandmise teenuse osutamisel (peaasjalikult </w:t>
      </w:r>
      <w:proofErr w:type="spellStart"/>
      <w:r w:rsidR="009E5FD3" w:rsidRPr="003331EF">
        <w:rPr>
          <w:iCs/>
          <w:spacing w:val="-5"/>
          <w:lang w:eastAsia="en-US"/>
        </w:rPr>
        <w:t>RahaPTS</w:t>
      </w:r>
      <w:proofErr w:type="spellEnd"/>
      <w:r w:rsidR="009E5FD3" w:rsidRPr="003331EF">
        <w:rPr>
          <w:iCs/>
          <w:spacing w:val="-5"/>
          <w:lang w:eastAsia="en-US"/>
        </w:rPr>
        <w:t xml:space="preserve"> § 25). Edaspidi hakkavad ülekandmise teenusele kehtima sarnased informatsiooni kogumise, edastamise ja säilitamise kohustused, mis tulenevad TFR-ist.</w:t>
      </w:r>
      <w:r w:rsidRPr="003331EF">
        <w:rPr>
          <w:iCs/>
          <w:spacing w:val="-5"/>
          <w:lang w:eastAsia="en-US"/>
        </w:rPr>
        <w:t xml:space="preserve"> </w:t>
      </w:r>
      <w:r w:rsidR="008F1D4F" w:rsidRPr="003331EF">
        <w:rPr>
          <w:iCs/>
          <w:spacing w:val="-5"/>
          <w:lang w:eastAsia="en-US"/>
        </w:rPr>
        <w:t xml:space="preserve">Virtuaalvääringutega seonduvad mõisted </w:t>
      </w:r>
      <w:r w:rsidR="00662BA2" w:rsidRPr="003331EF">
        <w:rPr>
          <w:iCs/>
          <w:spacing w:val="-5"/>
          <w:lang w:eastAsia="en-US"/>
        </w:rPr>
        <w:t xml:space="preserve">asenduvad </w:t>
      </w:r>
      <w:proofErr w:type="spellStart"/>
      <w:r w:rsidR="00662BA2" w:rsidRPr="003331EF">
        <w:rPr>
          <w:iCs/>
          <w:spacing w:val="-5"/>
          <w:lang w:eastAsia="en-US"/>
        </w:rPr>
        <w:t>krüptovara</w:t>
      </w:r>
      <w:proofErr w:type="spellEnd"/>
      <w:r w:rsidR="00662BA2" w:rsidRPr="003331EF">
        <w:rPr>
          <w:iCs/>
          <w:spacing w:val="-5"/>
          <w:lang w:eastAsia="en-US"/>
        </w:rPr>
        <w:t xml:space="preserve"> mõistetega, mille definitsioonid tulenevad </w:t>
      </w:r>
      <w:r w:rsidR="005E2B5D" w:rsidRPr="003331EF">
        <w:rPr>
          <w:iCs/>
          <w:spacing w:val="-5"/>
          <w:lang w:eastAsia="en-US"/>
        </w:rPr>
        <w:t xml:space="preserve"> EL</w:t>
      </w:r>
      <w:r w:rsidR="00662BA2" w:rsidRPr="003331EF">
        <w:rPr>
          <w:iCs/>
          <w:spacing w:val="-5"/>
          <w:lang w:eastAsia="en-US"/>
        </w:rPr>
        <w:t xml:space="preserve"> määrustest.</w:t>
      </w:r>
      <w:r w:rsidR="00C83FCC" w:rsidRPr="003331EF">
        <w:rPr>
          <w:iCs/>
          <w:spacing w:val="-5"/>
          <w:lang w:eastAsia="en-US"/>
        </w:rPr>
        <w:t xml:space="preserve"> </w:t>
      </w:r>
    </w:p>
    <w:p w14:paraId="479B1A56" w14:textId="77777777" w:rsidR="0046351A" w:rsidRPr="003331EF" w:rsidRDefault="0046351A" w:rsidP="003331EF">
      <w:pPr>
        <w:spacing w:before="0"/>
        <w:rPr>
          <w:bCs/>
        </w:rPr>
      </w:pPr>
    </w:p>
    <w:p w14:paraId="148779E5" w14:textId="552746B6" w:rsidR="0046351A" w:rsidRPr="003331EF" w:rsidRDefault="0046351A" w:rsidP="003331EF">
      <w:pPr>
        <w:spacing w:before="0"/>
        <w:rPr>
          <w:bCs/>
        </w:rPr>
      </w:pPr>
      <w:r w:rsidRPr="003331EF">
        <w:rPr>
          <w:b/>
        </w:rPr>
        <w:t xml:space="preserve">Punktiga </w:t>
      </w:r>
      <w:r w:rsidR="00173AC1" w:rsidRPr="003331EF">
        <w:rPr>
          <w:b/>
        </w:rPr>
        <w:t>2</w:t>
      </w:r>
      <w:r w:rsidRPr="003331EF">
        <w:rPr>
          <w:bCs/>
        </w:rPr>
        <w:t xml:space="preserve"> </w:t>
      </w:r>
      <w:r w:rsidRPr="003331EF">
        <w:rPr>
          <w:b/>
        </w:rPr>
        <w:t xml:space="preserve">lisatakse </w:t>
      </w:r>
      <w:proofErr w:type="spellStart"/>
      <w:r w:rsidRPr="003331EF">
        <w:rPr>
          <w:b/>
        </w:rPr>
        <w:t>RahaPTS</w:t>
      </w:r>
      <w:proofErr w:type="spellEnd"/>
      <w:r w:rsidRPr="003331EF">
        <w:rPr>
          <w:b/>
        </w:rPr>
        <w:t xml:space="preserve">-i </w:t>
      </w:r>
      <w:r w:rsidR="00570451" w:rsidRPr="003331EF">
        <w:rPr>
          <w:b/>
        </w:rPr>
        <w:t>§-i 3</w:t>
      </w:r>
      <w:r w:rsidR="00570451" w:rsidRPr="003331EF">
        <w:rPr>
          <w:bCs/>
        </w:rPr>
        <w:t xml:space="preserve"> </w:t>
      </w:r>
      <w:r w:rsidRPr="003331EF">
        <w:rPr>
          <w:iCs/>
          <w:spacing w:val="-5"/>
          <w:lang w:eastAsia="en-US"/>
        </w:rPr>
        <w:t xml:space="preserve">kaks uut mõistet: </w:t>
      </w:r>
      <w:proofErr w:type="spellStart"/>
      <w:r w:rsidRPr="003331EF">
        <w:rPr>
          <w:iCs/>
          <w:spacing w:val="-5"/>
          <w:lang w:eastAsia="en-US"/>
        </w:rPr>
        <w:t>krüptovara</w:t>
      </w:r>
      <w:proofErr w:type="spellEnd"/>
      <w:r w:rsidRPr="003331EF">
        <w:rPr>
          <w:iCs/>
          <w:spacing w:val="-5"/>
          <w:lang w:eastAsia="en-US"/>
        </w:rPr>
        <w:t xml:space="preserve"> ja isehallatav aadress.</w:t>
      </w:r>
      <w:r w:rsidR="008A2A52" w:rsidRPr="003331EF">
        <w:rPr>
          <w:iCs/>
          <w:spacing w:val="-5"/>
          <w:lang w:eastAsia="en-US"/>
        </w:rPr>
        <w:t xml:space="preserve"> Definitsioonid on antud viitega </w:t>
      </w:r>
      <w:proofErr w:type="spellStart"/>
      <w:r w:rsidR="008A2A52" w:rsidRPr="003331EF">
        <w:rPr>
          <w:iCs/>
          <w:spacing w:val="-5"/>
          <w:lang w:eastAsia="en-US"/>
        </w:rPr>
        <w:t>M</w:t>
      </w:r>
      <w:r w:rsidR="0019289B">
        <w:rPr>
          <w:iCs/>
          <w:spacing w:val="-5"/>
          <w:lang w:eastAsia="en-US"/>
        </w:rPr>
        <w:t>i</w:t>
      </w:r>
      <w:r w:rsidR="008A2A52" w:rsidRPr="003331EF">
        <w:rPr>
          <w:iCs/>
          <w:spacing w:val="-5"/>
          <w:lang w:eastAsia="en-US"/>
        </w:rPr>
        <w:t>CA-le</w:t>
      </w:r>
      <w:proofErr w:type="spellEnd"/>
      <w:r w:rsidR="008A2A52" w:rsidRPr="003331EF">
        <w:rPr>
          <w:iCs/>
          <w:spacing w:val="-5"/>
          <w:lang w:eastAsia="en-US"/>
        </w:rPr>
        <w:t xml:space="preserve">. </w:t>
      </w:r>
      <w:proofErr w:type="spellStart"/>
      <w:r w:rsidR="008A2A52" w:rsidRPr="003331EF">
        <w:rPr>
          <w:iCs/>
          <w:spacing w:val="-5"/>
          <w:lang w:eastAsia="en-US"/>
        </w:rPr>
        <w:t>Krüptovara</w:t>
      </w:r>
      <w:proofErr w:type="spellEnd"/>
      <w:r w:rsidR="008A2A52" w:rsidRPr="003331EF">
        <w:rPr>
          <w:iCs/>
          <w:spacing w:val="-5"/>
          <w:lang w:eastAsia="en-US"/>
        </w:rPr>
        <w:t xml:space="preserve"> mõistet on lähemalt käsitletud käesoleva seletuskirja alapeatükis 2.2..</w:t>
      </w:r>
      <w:r w:rsidR="00C83FCC" w:rsidRPr="003331EF">
        <w:rPr>
          <w:iCs/>
          <w:spacing w:val="-5"/>
          <w:lang w:eastAsia="en-US"/>
        </w:rPr>
        <w:t xml:space="preserve"> Nagu eelnevalt selgitatud on tegemist mõistega, mis hõlmab endas virtuaalvääringuid, investeerimislaadseid </w:t>
      </w:r>
      <w:proofErr w:type="spellStart"/>
      <w:r w:rsidR="00C83FCC" w:rsidRPr="003331EF">
        <w:rPr>
          <w:iCs/>
          <w:spacing w:val="-5"/>
          <w:lang w:eastAsia="en-US"/>
        </w:rPr>
        <w:t>tokeneid</w:t>
      </w:r>
      <w:proofErr w:type="spellEnd"/>
      <w:r w:rsidR="00C83FCC" w:rsidRPr="003331EF">
        <w:rPr>
          <w:iCs/>
          <w:spacing w:val="-5"/>
          <w:lang w:eastAsia="en-US"/>
        </w:rPr>
        <w:t xml:space="preserve"> kui ka </w:t>
      </w:r>
      <w:proofErr w:type="spellStart"/>
      <w:r w:rsidR="00C83FCC" w:rsidRPr="003331EF">
        <w:rPr>
          <w:iCs/>
          <w:spacing w:val="-5"/>
          <w:lang w:eastAsia="en-US"/>
        </w:rPr>
        <w:t>kasutustokeneid</w:t>
      </w:r>
      <w:proofErr w:type="spellEnd"/>
      <w:r w:rsidR="00C83FCC" w:rsidRPr="003331EF">
        <w:rPr>
          <w:iCs/>
          <w:spacing w:val="-5"/>
          <w:lang w:eastAsia="en-US"/>
        </w:rPr>
        <w:t xml:space="preserve">, mis tähendab, et </w:t>
      </w:r>
      <w:proofErr w:type="spellStart"/>
      <w:r w:rsidR="00C83FCC" w:rsidRPr="003331EF">
        <w:rPr>
          <w:iCs/>
          <w:spacing w:val="-5"/>
          <w:lang w:eastAsia="en-US"/>
        </w:rPr>
        <w:t>RahaPTS</w:t>
      </w:r>
      <w:proofErr w:type="spellEnd"/>
      <w:r w:rsidR="00C83FCC" w:rsidRPr="003331EF">
        <w:rPr>
          <w:iCs/>
          <w:spacing w:val="-5"/>
          <w:lang w:eastAsia="en-US"/>
        </w:rPr>
        <w:t>-iga hallatavate teenuste ulatus laieneb.</w:t>
      </w:r>
      <w:r w:rsidR="009E5FD3" w:rsidRPr="003331EF">
        <w:rPr>
          <w:iCs/>
          <w:spacing w:val="-5"/>
          <w:lang w:eastAsia="en-US"/>
        </w:rPr>
        <w:t xml:space="preserve"> Sättes on täpsustatud, </w:t>
      </w:r>
      <w:r w:rsidR="004F5B23" w:rsidRPr="003331EF">
        <w:rPr>
          <w:iCs/>
          <w:spacing w:val="-5"/>
          <w:lang w:eastAsia="en-US"/>
        </w:rPr>
        <w:t xml:space="preserve">et </w:t>
      </w:r>
      <w:proofErr w:type="spellStart"/>
      <w:r w:rsidR="004F5B23" w:rsidRPr="003331EF">
        <w:rPr>
          <w:iCs/>
          <w:spacing w:val="-5"/>
          <w:lang w:eastAsia="en-US"/>
        </w:rPr>
        <w:t>RahaPTS-is</w:t>
      </w:r>
      <w:proofErr w:type="spellEnd"/>
      <w:r w:rsidR="004F5B23" w:rsidRPr="003331EF">
        <w:rPr>
          <w:iCs/>
          <w:spacing w:val="-5"/>
          <w:lang w:eastAsia="en-US"/>
        </w:rPr>
        <w:t xml:space="preserve"> defineeritakse </w:t>
      </w:r>
      <w:proofErr w:type="spellStart"/>
      <w:r w:rsidR="004F5B23" w:rsidRPr="003331EF">
        <w:rPr>
          <w:iCs/>
          <w:spacing w:val="-5"/>
          <w:lang w:eastAsia="en-US"/>
        </w:rPr>
        <w:t>krüptovara</w:t>
      </w:r>
      <w:proofErr w:type="spellEnd"/>
      <w:r w:rsidR="004F5B23" w:rsidRPr="003331EF">
        <w:rPr>
          <w:iCs/>
          <w:spacing w:val="-5"/>
          <w:lang w:eastAsia="en-US"/>
        </w:rPr>
        <w:t xml:space="preserve"> kitsamalt kui MICA-s, jättes välja need </w:t>
      </w:r>
      <w:proofErr w:type="spellStart"/>
      <w:r w:rsidR="004F5B23" w:rsidRPr="003331EF">
        <w:rPr>
          <w:iCs/>
          <w:spacing w:val="-5"/>
          <w:lang w:eastAsia="en-US"/>
        </w:rPr>
        <w:t>krüptovarad</w:t>
      </w:r>
      <w:proofErr w:type="spellEnd"/>
      <w:r w:rsidR="004F5B23" w:rsidRPr="003331EF">
        <w:rPr>
          <w:iCs/>
          <w:spacing w:val="-5"/>
          <w:lang w:eastAsia="en-US"/>
        </w:rPr>
        <w:t xml:space="preserve">, mida </w:t>
      </w:r>
      <w:proofErr w:type="spellStart"/>
      <w:r w:rsidR="004F5B23" w:rsidRPr="003331EF">
        <w:rPr>
          <w:iCs/>
          <w:spacing w:val="-5"/>
          <w:lang w:eastAsia="en-US"/>
        </w:rPr>
        <w:t>M</w:t>
      </w:r>
      <w:r w:rsidR="0019289B">
        <w:rPr>
          <w:iCs/>
          <w:spacing w:val="-5"/>
          <w:lang w:eastAsia="en-US"/>
        </w:rPr>
        <w:t>i</w:t>
      </w:r>
      <w:r w:rsidR="004F5B23" w:rsidRPr="003331EF">
        <w:rPr>
          <w:iCs/>
          <w:spacing w:val="-5"/>
          <w:lang w:eastAsia="en-US"/>
        </w:rPr>
        <w:t>CA</w:t>
      </w:r>
      <w:proofErr w:type="spellEnd"/>
      <w:r w:rsidR="004F5B23" w:rsidRPr="003331EF">
        <w:rPr>
          <w:iCs/>
          <w:spacing w:val="-5"/>
          <w:lang w:eastAsia="en-US"/>
        </w:rPr>
        <w:t xml:space="preserve"> ei reguleeri.</w:t>
      </w:r>
      <w:r w:rsidR="003E6B79" w:rsidRPr="003331EF">
        <w:rPr>
          <w:iCs/>
          <w:spacing w:val="-5"/>
          <w:lang w:eastAsia="en-US"/>
        </w:rPr>
        <w:t xml:space="preserve"> Isehallatav aadress on Euroopa Parlamendi ja nõukogu määruse (EL) 2023/1113 kohaselt hajusraamatu aadress, mis ei ole seotud ühegi </w:t>
      </w:r>
      <w:proofErr w:type="spellStart"/>
      <w:r w:rsidR="003E6B79" w:rsidRPr="003331EF">
        <w:rPr>
          <w:iCs/>
          <w:spacing w:val="-5"/>
          <w:lang w:eastAsia="en-US"/>
        </w:rPr>
        <w:t>krüptovarateenuse</w:t>
      </w:r>
      <w:proofErr w:type="spellEnd"/>
      <w:r w:rsidR="003E6B79" w:rsidRPr="003331EF">
        <w:rPr>
          <w:iCs/>
          <w:spacing w:val="-5"/>
          <w:lang w:eastAsia="en-US"/>
        </w:rPr>
        <w:t xml:space="preserve"> osutajaga või üksusega, mis ei ole</w:t>
      </w:r>
      <w:r w:rsidR="00BD71D7" w:rsidRPr="003331EF">
        <w:rPr>
          <w:iCs/>
          <w:spacing w:val="-5"/>
          <w:lang w:eastAsia="en-US"/>
        </w:rPr>
        <w:t xml:space="preserve"> asutatud liidus ja osutab </w:t>
      </w:r>
      <w:proofErr w:type="spellStart"/>
      <w:r w:rsidR="00BD71D7" w:rsidRPr="003331EF">
        <w:rPr>
          <w:iCs/>
          <w:spacing w:val="-5"/>
          <w:lang w:eastAsia="en-US"/>
        </w:rPr>
        <w:t>krüptovarateenuse</w:t>
      </w:r>
      <w:proofErr w:type="spellEnd"/>
      <w:r w:rsidR="00BD71D7" w:rsidRPr="003331EF">
        <w:rPr>
          <w:iCs/>
          <w:spacing w:val="-5"/>
          <w:lang w:eastAsia="en-US"/>
        </w:rPr>
        <w:t xml:space="preserve"> osutaja teenustega sarnaseid teenuseid. Kehtiv </w:t>
      </w:r>
      <w:proofErr w:type="spellStart"/>
      <w:r w:rsidR="00BD71D7" w:rsidRPr="003331EF">
        <w:rPr>
          <w:iCs/>
          <w:spacing w:val="-5"/>
          <w:lang w:eastAsia="en-US"/>
        </w:rPr>
        <w:t>RahaPTS</w:t>
      </w:r>
      <w:proofErr w:type="spellEnd"/>
      <w:r w:rsidR="00BD71D7" w:rsidRPr="003331EF">
        <w:rPr>
          <w:iCs/>
          <w:spacing w:val="-5"/>
          <w:lang w:eastAsia="en-US"/>
        </w:rPr>
        <w:t xml:space="preserve"> kasutab </w:t>
      </w:r>
      <w:r w:rsidR="00986391" w:rsidRPr="003331EF">
        <w:rPr>
          <w:iCs/>
          <w:spacing w:val="-5"/>
          <w:lang w:eastAsia="en-US"/>
        </w:rPr>
        <w:t xml:space="preserve">virtuaalvääringute kontekstis </w:t>
      </w:r>
      <w:r w:rsidR="00BD71D7" w:rsidRPr="003331EF">
        <w:rPr>
          <w:iCs/>
          <w:spacing w:val="-5"/>
          <w:lang w:eastAsia="en-US"/>
        </w:rPr>
        <w:t>isehallatava aadressi kohta sõnastust „virtuaalvääringu rahakott, millel puudub virtuaalvääringu teenuse pakkuja“ (</w:t>
      </w:r>
      <w:proofErr w:type="spellStart"/>
      <w:r w:rsidR="00BD71D7" w:rsidRPr="003331EF">
        <w:rPr>
          <w:iCs/>
          <w:spacing w:val="-5"/>
          <w:lang w:eastAsia="en-US"/>
        </w:rPr>
        <w:t>RahaPTS</w:t>
      </w:r>
      <w:proofErr w:type="spellEnd"/>
      <w:r w:rsidR="00BD71D7" w:rsidRPr="003331EF">
        <w:rPr>
          <w:iCs/>
          <w:spacing w:val="-5"/>
          <w:lang w:eastAsia="en-US"/>
        </w:rPr>
        <w:t xml:space="preserve"> § 25 lg</w:t>
      </w:r>
      <w:r w:rsidR="00BD71D7" w:rsidRPr="003331EF">
        <w:rPr>
          <w:bCs/>
        </w:rPr>
        <w:t xml:space="preserve"> 2</w:t>
      </w:r>
      <w:r w:rsidR="00BD71D7" w:rsidRPr="003331EF">
        <w:rPr>
          <w:bCs/>
          <w:vertAlign w:val="superscript"/>
        </w:rPr>
        <w:t>8</w:t>
      </w:r>
      <w:r w:rsidR="00BD71D7" w:rsidRPr="003331EF">
        <w:rPr>
          <w:bCs/>
        </w:rPr>
        <w:t>).</w:t>
      </w:r>
    </w:p>
    <w:p w14:paraId="382E303F" w14:textId="77777777" w:rsidR="00BC0E8C" w:rsidRPr="003331EF" w:rsidRDefault="00BC0E8C" w:rsidP="003331EF">
      <w:pPr>
        <w:spacing w:before="0"/>
        <w:rPr>
          <w:bCs/>
        </w:rPr>
      </w:pPr>
    </w:p>
    <w:p w14:paraId="6842CC06" w14:textId="371922EB" w:rsidR="00BC0E8C" w:rsidRPr="003331EF" w:rsidRDefault="00BC0E8C" w:rsidP="003331EF">
      <w:pPr>
        <w:spacing w:before="0"/>
        <w:rPr>
          <w:iCs/>
          <w:spacing w:val="-5"/>
          <w:lang w:eastAsia="en-US"/>
        </w:rPr>
      </w:pPr>
      <w:r w:rsidRPr="003331EF">
        <w:rPr>
          <w:b/>
        </w:rPr>
        <w:t xml:space="preserve">Punktiga </w:t>
      </w:r>
      <w:r w:rsidR="00173AC1" w:rsidRPr="003331EF">
        <w:rPr>
          <w:b/>
        </w:rPr>
        <w:t>3</w:t>
      </w:r>
      <w:r w:rsidRPr="003331EF">
        <w:rPr>
          <w:bCs/>
        </w:rPr>
        <w:t xml:space="preserve"> </w:t>
      </w:r>
      <w:r w:rsidRPr="003331EF">
        <w:rPr>
          <w:b/>
        </w:rPr>
        <w:t xml:space="preserve">lisatakse </w:t>
      </w:r>
      <w:proofErr w:type="spellStart"/>
      <w:r w:rsidR="00570451" w:rsidRPr="003331EF">
        <w:rPr>
          <w:b/>
        </w:rPr>
        <w:t>RahaPTS</w:t>
      </w:r>
      <w:proofErr w:type="spellEnd"/>
      <w:r w:rsidR="00570451" w:rsidRPr="003331EF">
        <w:rPr>
          <w:b/>
        </w:rPr>
        <w:t xml:space="preserve"> § 6</w:t>
      </w:r>
      <w:r w:rsidR="00570451" w:rsidRPr="003331EF">
        <w:rPr>
          <w:bCs/>
        </w:rPr>
        <w:t xml:space="preserve"> </w:t>
      </w:r>
      <w:r w:rsidRPr="003331EF">
        <w:rPr>
          <w:iCs/>
          <w:spacing w:val="-5"/>
          <w:lang w:eastAsia="en-US"/>
        </w:rPr>
        <w:t xml:space="preserve">finantseerimisasutuste loetellu </w:t>
      </w:r>
      <w:proofErr w:type="spellStart"/>
      <w:r w:rsidRPr="003331EF">
        <w:rPr>
          <w:iCs/>
          <w:spacing w:val="-5"/>
          <w:lang w:eastAsia="en-US"/>
        </w:rPr>
        <w:t>krüptovara</w:t>
      </w:r>
      <w:proofErr w:type="spellEnd"/>
      <w:r w:rsidRPr="003331EF">
        <w:rPr>
          <w:iCs/>
          <w:spacing w:val="-5"/>
          <w:lang w:eastAsia="en-US"/>
        </w:rPr>
        <w:t xml:space="preserve"> teenuse osutajad. </w:t>
      </w:r>
      <w:r w:rsidR="00173AC1" w:rsidRPr="003331EF">
        <w:rPr>
          <w:iCs/>
          <w:spacing w:val="-5"/>
          <w:lang w:eastAsia="en-US"/>
        </w:rPr>
        <w:t xml:space="preserve">Ka </w:t>
      </w:r>
      <w:proofErr w:type="spellStart"/>
      <w:r w:rsidR="005E7406" w:rsidRPr="003331EF">
        <w:rPr>
          <w:iCs/>
          <w:spacing w:val="-5"/>
          <w:lang w:eastAsia="en-US"/>
        </w:rPr>
        <w:t>VASP-idele</w:t>
      </w:r>
      <w:proofErr w:type="spellEnd"/>
      <w:r w:rsidR="00173AC1" w:rsidRPr="003331EF">
        <w:rPr>
          <w:iCs/>
          <w:spacing w:val="-5"/>
          <w:lang w:eastAsia="en-US"/>
        </w:rPr>
        <w:t xml:space="preserve"> on</w:t>
      </w:r>
      <w:r w:rsidRPr="003331EF">
        <w:rPr>
          <w:iCs/>
          <w:spacing w:val="-5"/>
          <w:lang w:eastAsia="en-US"/>
        </w:rPr>
        <w:t xml:space="preserve"> siiani vastavalt </w:t>
      </w:r>
      <w:proofErr w:type="spellStart"/>
      <w:r w:rsidRPr="003331EF">
        <w:rPr>
          <w:iCs/>
          <w:spacing w:val="-5"/>
          <w:lang w:eastAsia="en-US"/>
        </w:rPr>
        <w:t>RahaPTS</w:t>
      </w:r>
      <w:proofErr w:type="spellEnd"/>
      <w:r w:rsidRPr="003331EF">
        <w:rPr>
          <w:iCs/>
          <w:spacing w:val="-5"/>
          <w:lang w:eastAsia="en-US"/>
        </w:rPr>
        <w:t xml:space="preserve"> § 2 lõikes 5 sätestatule </w:t>
      </w:r>
      <w:r w:rsidR="00173AC1" w:rsidRPr="003331EF">
        <w:rPr>
          <w:iCs/>
          <w:spacing w:val="-5"/>
          <w:lang w:eastAsia="en-US"/>
        </w:rPr>
        <w:t>kohaldatud</w:t>
      </w:r>
      <w:r w:rsidRPr="003331EF">
        <w:rPr>
          <w:iCs/>
          <w:spacing w:val="-5"/>
          <w:lang w:eastAsia="en-US"/>
        </w:rPr>
        <w:t xml:space="preserve"> </w:t>
      </w:r>
      <w:proofErr w:type="spellStart"/>
      <w:r w:rsidRPr="003331EF">
        <w:rPr>
          <w:iCs/>
          <w:spacing w:val="-5"/>
          <w:lang w:eastAsia="en-US"/>
        </w:rPr>
        <w:t>RahaPTS-is</w:t>
      </w:r>
      <w:proofErr w:type="spellEnd"/>
      <w:r w:rsidRPr="003331EF">
        <w:rPr>
          <w:iCs/>
          <w:spacing w:val="-5"/>
          <w:lang w:eastAsia="en-US"/>
        </w:rPr>
        <w:t xml:space="preserve"> finantseerimisasutuste kohta käivat </w:t>
      </w:r>
      <w:proofErr w:type="spellStart"/>
      <w:r w:rsidR="005E7406" w:rsidRPr="003331EF">
        <w:rPr>
          <w:iCs/>
          <w:spacing w:val="-5"/>
          <w:lang w:eastAsia="en-US"/>
        </w:rPr>
        <w:t>VASP-ide</w:t>
      </w:r>
      <w:proofErr w:type="spellEnd"/>
      <w:r w:rsidRPr="003331EF">
        <w:rPr>
          <w:iCs/>
          <w:spacing w:val="-5"/>
          <w:lang w:eastAsia="en-US"/>
        </w:rPr>
        <w:t xml:space="preserve"> suhtes. </w:t>
      </w:r>
      <w:proofErr w:type="spellStart"/>
      <w:r w:rsidRPr="003331EF">
        <w:rPr>
          <w:iCs/>
          <w:spacing w:val="-5"/>
          <w:lang w:eastAsia="en-US"/>
        </w:rPr>
        <w:t>Krüptovarateenused</w:t>
      </w:r>
      <w:proofErr w:type="spellEnd"/>
      <w:r w:rsidRPr="003331EF">
        <w:rPr>
          <w:iCs/>
          <w:spacing w:val="-5"/>
          <w:lang w:eastAsia="en-US"/>
        </w:rPr>
        <w:t xml:space="preserve"> sarnanevad olemuslikult mitmele finantsteenusele nagu näiteks makseteenus, valuutavahetus, kontoteenus jne. Seetõttu on asjakohane rakendada </w:t>
      </w:r>
      <w:proofErr w:type="spellStart"/>
      <w:r w:rsidRPr="003331EF">
        <w:rPr>
          <w:iCs/>
          <w:spacing w:val="-5"/>
          <w:lang w:eastAsia="en-US"/>
        </w:rPr>
        <w:t>krüptovarateenuste</w:t>
      </w:r>
      <w:proofErr w:type="spellEnd"/>
      <w:r w:rsidRPr="003331EF">
        <w:rPr>
          <w:iCs/>
          <w:spacing w:val="-5"/>
          <w:lang w:eastAsia="en-US"/>
        </w:rPr>
        <w:t xml:space="preserve"> osutajatele sama raamistikku koos vajalike erisustega.</w:t>
      </w:r>
      <w:r w:rsidR="00825F94" w:rsidRPr="003331EF">
        <w:rPr>
          <w:iCs/>
          <w:spacing w:val="-5"/>
          <w:lang w:eastAsia="en-US"/>
        </w:rPr>
        <w:t xml:space="preserve"> </w:t>
      </w:r>
      <w:proofErr w:type="spellStart"/>
      <w:r w:rsidR="00825F94" w:rsidRPr="003331EF">
        <w:rPr>
          <w:iCs/>
          <w:spacing w:val="-5"/>
          <w:lang w:eastAsia="en-US"/>
        </w:rPr>
        <w:t>RahaPTS</w:t>
      </w:r>
      <w:proofErr w:type="spellEnd"/>
      <w:r w:rsidR="00825F94" w:rsidRPr="003331EF">
        <w:rPr>
          <w:iCs/>
          <w:spacing w:val="-5"/>
          <w:lang w:eastAsia="en-US"/>
        </w:rPr>
        <w:t xml:space="preserve">-i kohaldamisalast on </w:t>
      </w:r>
      <w:r w:rsidR="00F85BCC" w:rsidRPr="003331EF">
        <w:rPr>
          <w:iCs/>
          <w:spacing w:val="-5"/>
          <w:lang w:eastAsia="en-US"/>
        </w:rPr>
        <w:t>välja jäetud</w:t>
      </w:r>
      <w:r w:rsidR="00825F94" w:rsidRPr="003331EF">
        <w:rPr>
          <w:iCs/>
          <w:spacing w:val="-5"/>
          <w:lang w:eastAsia="en-US"/>
        </w:rPr>
        <w:t xml:space="preserve"> </w:t>
      </w:r>
      <w:proofErr w:type="spellStart"/>
      <w:r w:rsidR="00825F94" w:rsidRPr="003331EF">
        <w:rPr>
          <w:iCs/>
          <w:spacing w:val="-5"/>
          <w:lang w:eastAsia="en-US"/>
        </w:rPr>
        <w:t>M</w:t>
      </w:r>
      <w:r w:rsidR="0019289B">
        <w:rPr>
          <w:iCs/>
          <w:spacing w:val="-5"/>
          <w:lang w:eastAsia="en-US"/>
        </w:rPr>
        <w:t>i</w:t>
      </w:r>
      <w:r w:rsidR="00825F94" w:rsidRPr="003331EF">
        <w:rPr>
          <w:iCs/>
          <w:spacing w:val="-5"/>
          <w:lang w:eastAsia="en-US"/>
        </w:rPr>
        <w:t>CA-ga</w:t>
      </w:r>
      <w:proofErr w:type="spellEnd"/>
      <w:r w:rsidR="00825F94" w:rsidRPr="003331EF">
        <w:rPr>
          <w:iCs/>
          <w:spacing w:val="-5"/>
          <w:lang w:eastAsia="en-US"/>
        </w:rPr>
        <w:t xml:space="preserve"> reguleeritud </w:t>
      </w:r>
      <w:proofErr w:type="spellStart"/>
      <w:r w:rsidR="00825F94" w:rsidRPr="003331EF">
        <w:rPr>
          <w:iCs/>
          <w:spacing w:val="-5"/>
          <w:lang w:eastAsia="en-US"/>
        </w:rPr>
        <w:t>krüptovara</w:t>
      </w:r>
      <w:proofErr w:type="spellEnd"/>
      <w:r w:rsidR="00825F94" w:rsidRPr="003331EF">
        <w:rPr>
          <w:iCs/>
          <w:spacing w:val="-5"/>
          <w:lang w:eastAsia="en-US"/>
        </w:rPr>
        <w:t xml:space="preserve"> kohta nõu andmise teenus. </w:t>
      </w:r>
      <w:proofErr w:type="spellStart"/>
      <w:r w:rsidR="00F85BCC" w:rsidRPr="003331EF">
        <w:rPr>
          <w:iCs/>
          <w:spacing w:val="-5"/>
          <w:lang w:eastAsia="en-US"/>
        </w:rPr>
        <w:t>M</w:t>
      </w:r>
      <w:r w:rsidR="0019289B">
        <w:rPr>
          <w:iCs/>
          <w:spacing w:val="-5"/>
          <w:lang w:eastAsia="en-US"/>
        </w:rPr>
        <w:t>i</w:t>
      </w:r>
      <w:r w:rsidR="00F85BCC" w:rsidRPr="003331EF">
        <w:rPr>
          <w:iCs/>
          <w:spacing w:val="-5"/>
          <w:lang w:eastAsia="en-US"/>
        </w:rPr>
        <w:t>CA</w:t>
      </w:r>
      <w:proofErr w:type="spellEnd"/>
      <w:r w:rsidR="00F85BCC" w:rsidRPr="003331EF">
        <w:rPr>
          <w:iCs/>
          <w:spacing w:val="-5"/>
          <w:lang w:eastAsia="en-US"/>
        </w:rPr>
        <w:t xml:space="preserve"> kohaselt on </w:t>
      </w:r>
      <w:proofErr w:type="spellStart"/>
      <w:r w:rsidR="00F85BCC" w:rsidRPr="003331EF">
        <w:rPr>
          <w:iCs/>
          <w:spacing w:val="-5"/>
          <w:lang w:eastAsia="en-US"/>
        </w:rPr>
        <w:t>krüptovara</w:t>
      </w:r>
      <w:proofErr w:type="spellEnd"/>
      <w:r w:rsidR="00F85BCC" w:rsidRPr="003331EF">
        <w:rPr>
          <w:iCs/>
          <w:spacing w:val="-5"/>
          <w:lang w:eastAsia="en-US"/>
        </w:rPr>
        <w:t xml:space="preserve"> kohta nõu andmine kliendile personaalsete soovituste pakkumine, andmine või nõusolek neid anda kas kliendi taotlusel või nõu andva </w:t>
      </w:r>
      <w:proofErr w:type="spellStart"/>
      <w:r w:rsidR="00F85BCC" w:rsidRPr="003331EF">
        <w:rPr>
          <w:iCs/>
          <w:spacing w:val="-5"/>
          <w:lang w:eastAsia="en-US"/>
        </w:rPr>
        <w:t>krüptovarateenuse</w:t>
      </w:r>
      <w:proofErr w:type="spellEnd"/>
      <w:r w:rsidR="00F85BCC" w:rsidRPr="003331EF">
        <w:rPr>
          <w:iCs/>
          <w:spacing w:val="-5"/>
          <w:lang w:eastAsia="en-US"/>
        </w:rPr>
        <w:t xml:space="preserve"> osutaja algatusel seoses ühe või mitme </w:t>
      </w:r>
      <w:proofErr w:type="spellStart"/>
      <w:r w:rsidR="00F85BCC" w:rsidRPr="003331EF">
        <w:rPr>
          <w:iCs/>
          <w:spacing w:val="-5"/>
          <w:lang w:eastAsia="en-US"/>
        </w:rPr>
        <w:t>krüptovara</w:t>
      </w:r>
      <w:proofErr w:type="spellEnd"/>
      <w:r w:rsidR="00F85BCC" w:rsidRPr="003331EF">
        <w:rPr>
          <w:iCs/>
          <w:spacing w:val="-5"/>
          <w:lang w:eastAsia="en-US"/>
        </w:rPr>
        <w:t xml:space="preserve"> tehinguga või seoses </w:t>
      </w:r>
      <w:proofErr w:type="spellStart"/>
      <w:r w:rsidR="00F85BCC" w:rsidRPr="003331EF">
        <w:rPr>
          <w:iCs/>
          <w:spacing w:val="-5"/>
          <w:lang w:eastAsia="en-US"/>
        </w:rPr>
        <w:t>krüptovarateenuse</w:t>
      </w:r>
      <w:proofErr w:type="spellEnd"/>
      <w:r w:rsidR="00F85BCC" w:rsidRPr="003331EF">
        <w:rPr>
          <w:iCs/>
          <w:spacing w:val="-5"/>
          <w:lang w:eastAsia="en-US"/>
        </w:rPr>
        <w:t xml:space="preserve"> kasutamisega. Rahapesuks või terrorismi rahastamiseks oleks vaja, et </w:t>
      </w:r>
      <w:proofErr w:type="spellStart"/>
      <w:r w:rsidR="00F85BCC" w:rsidRPr="003331EF">
        <w:rPr>
          <w:iCs/>
          <w:spacing w:val="-5"/>
          <w:lang w:eastAsia="en-US"/>
        </w:rPr>
        <w:t>krüptovara</w:t>
      </w:r>
      <w:proofErr w:type="spellEnd"/>
      <w:r w:rsidR="00F85BCC" w:rsidRPr="003331EF">
        <w:rPr>
          <w:iCs/>
          <w:spacing w:val="-5"/>
          <w:lang w:eastAsia="en-US"/>
        </w:rPr>
        <w:t xml:space="preserve"> liiguks ühelt isikult või aadressilt teisele. </w:t>
      </w:r>
      <w:proofErr w:type="spellStart"/>
      <w:r w:rsidR="00F85BCC" w:rsidRPr="003331EF">
        <w:rPr>
          <w:iCs/>
          <w:spacing w:val="-5"/>
          <w:lang w:eastAsia="en-US"/>
        </w:rPr>
        <w:t>Krüptovara</w:t>
      </w:r>
      <w:proofErr w:type="spellEnd"/>
      <w:r w:rsidR="00F85BCC" w:rsidRPr="003331EF">
        <w:rPr>
          <w:iCs/>
          <w:spacing w:val="-5"/>
          <w:lang w:eastAsia="en-US"/>
        </w:rPr>
        <w:t xml:space="preserve"> kohta nõu andmise teenusega seda ei juhtu. Tegemist on üksnes soovituste andmisega, mille alusel klient võib otsustada mõne </w:t>
      </w:r>
      <w:proofErr w:type="spellStart"/>
      <w:r w:rsidR="00F85BCC" w:rsidRPr="003331EF">
        <w:rPr>
          <w:iCs/>
          <w:spacing w:val="-5"/>
          <w:lang w:eastAsia="en-US"/>
        </w:rPr>
        <w:t>krüptovara</w:t>
      </w:r>
      <w:proofErr w:type="spellEnd"/>
      <w:r w:rsidR="00F85BCC" w:rsidRPr="003331EF">
        <w:rPr>
          <w:iCs/>
          <w:spacing w:val="-5"/>
          <w:lang w:eastAsia="en-US"/>
        </w:rPr>
        <w:t xml:space="preserve"> teenuse kasutamise kasuks. Kuna teised </w:t>
      </w:r>
      <w:proofErr w:type="spellStart"/>
      <w:r w:rsidR="00F85BCC" w:rsidRPr="003331EF">
        <w:rPr>
          <w:iCs/>
          <w:spacing w:val="-5"/>
          <w:lang w:eastAsia="en-US"/>
        </w:rPr>
        <w:t>krüptovarateenused</w:t>
      </w:r>
      <w:proofErr w:type="spellEnd"/>
      <w:r w:rsidR="00F85BCC" w:rsidRPr="003331EF">
        <w:rPr>
          <w:iCs/>
          <w:spacing w:val="-5"/>
          <w:lang w:eastAsia="en-US"/>
        </w:rPr>
        <w:t xml:space="preserve"> on </w:t>
      </w:r>
      <w:proofErr w:type="spellStart"/>
      <w:r w:rsidR="00F85BCC" w:rsidRPr="003331EF">
        <w:rPr>
          <w:iCs/>
          <w:spacing w:val="-5"/>
          <w:lang w:eastAsia="en-US"/>
        </w:rPr>
        <w:t>RahaPTS</w:t>
      </w:r>
      <w:proofErr w:type="spellEnd"/>
      <w:r w:rsidR="00F85BCC" w:rsidRPr="003331EF">
        <w:rPr>
          <w:iCs/>
          <w:spacing w:val="-5"/>
          <w:lang w:eastAsia="en-US"/>
        </w:rPr>
        <w:t>-iga hõlmatud, siis on</w:t>
      </w:r>
      <w:r w:rsidR="00986391" w:rsidRPr="003331EF">
        <w:rPr>
          <w:iCs/>
          <w:spacing w:val="-5"/>
          <w:lang w:eastAsia="en-US"/>
        </w:rPr>
        <w:t xml:space="preserve"> teenuseosutajate vahendusel</w:t>
      </w:r>
      <w:r w:rsidR="00F85BCC" w:rsidRPr="003331EF">
        <w:rPr>
          <w:iCs/>
          <w:spacing w:val="-5"/>
          <w:lang w:eastAsia="en-US"/>
        </w:rPr>
        <w:t xml:space="preserve"> tehingu teostamisel teenuseosutajad kohustatud isikud.</w:t>
      </w:r>
      <w:r w:rsidR="007E6C59" w:rsidRPr="003331EF">
        <w:rPr>
          <w:iCs/>
          <w:spacing w:val="-5"/>
          <w:lang w:eastAsia="en-US"/>
        </w:rPr>
        <w:t xml:space="preserve"> Siiski kui nõustamisteenuse pakkumisega osutatakse ka õigusnõu ja maksunõustamist, siis tuleb hinnata eraldi, kas teenuseosutaja võib olla mõne muu teenuse osutamisega seonduvalt kohustatud isik</w:t>
      </w:r>
      <w:r w:rsidR="000020ED" w:rsidRPr="003331EF">
        <w:rPr>
          <w:iCs/>
          <w:spacing w:val="-5"/>
          <w:lang w:eastAsia="en-US"/>
        </w:rPr>
        <w:t>.</w:t>
      </w:r>
    </w:p>
    <w:p w14:paraId="1E656C91" w14:textId="77777777" w:rsidR="001A4507" w:rsidRPr="003331EF" w:rsidRDefault="001A4507" w:rsidP="003331EF">
      <w:pPr>
        <w:spacing w:before="0"/>
      </w:pPr>
    </w:p>
    <w:p w14:paraId="3402BD69" w14:textId="7BB78227" w:rsidR="001A4507" w:rsidRPr="003331EF" w:rsidRDefault="001A4507" w:rsidP="003331EF">
      <w:pPr>
        <w:spacing w:before="0"/>
        <w:rPr>
          <w:bCs/>
        </w:rPr>
      </w:pPr>
      <w:r w:rsidRPr="003331EF">
        <w:rPr>
          <w:b/>
        </w:rPr>
        <w:t>Punktiga 4</w:t>
      </w:r>
      <w:r w:rsidRPr="003331EF">
        <w:rPr>
          <w:bCs/>
        </w:rPr>
        <w:t xml:space="preserve"> </w:t>
      </w:r>
      <w:r w:rsidRPr="003331EF">
        <w:rPr>
          <w:b/>
        </w:rPr>
        <w:t xml:space="preserve">lisatakse </w:t>
      </w:r>
      <w:proofErr w:type="spellStart"/>
      <w:r w:rsidR="00570451" w:rsidRPr="003331EF">
        <w:rPr>
          <w:b/>
        </w:rPr>
        <w:t>RahaPTS</w:t>
      </w:r>
      <w:proofErr w:type="spellEnd"/>
      <w:r w:rsidR="00570451" w:rsidRPr="003331EF">
        <w:rPr>
          <w:b/>
        </w:rPr>
        <w:t xml:space="preserve"> §</w:t>
      </w:r>
      <w:r w:rsidRPr="003331EF">
        <w:rPr>
          <w:b/>
        </w:rPr>
        <w:t xml:space="preserve"> 6</w:t>
      </w:r>
      <w:r w:rsidRPr="003331EF">
        <w:rPr>
          <w:bCs/>
        </w:rPr>
        <w:t xml:space="preserve"> </w:t>
      </w:r>
      <w:r w:rsidRPr="003331EF">
        <w:rPr>
          <w:iCs/>
          <w:spacing w:val="-5"/>
          <w:lang w:eastAsia="en-US"/>
        </w:rPr>
        <w:t>finantseerimisasutuse loetel</w:t>
      </w:r>
      <w:r w:rsidR="00986391" w:rsidRPr="003331EF">
        <w:rPr>
          <w:iCs/>
          <w:spacing w:val="-5"/>
          <w:lang w:eastAsia="en-US"/>
        </w:rPr>
        <w:t>lu</w:t>
      </w:r>
      <w:r w:rsidRPr="003331EF">
        <w:rPr>
          <w:iCs/>
          <w:spacing w:val="-5"/>
          <w:lang w:eastAsia="en-US"/>
        </w:rPr>
        <w:t xml:space="preserve"> ka </w:t>
      </w:r>
      <w:proofErr w:type="spellStart"/>
      <w:r w:rsidRPr="003331EF">
        <w:rPr>
          <w:iCs/>
          <w:spacing w:val="-5"/>
          <w:lang w:eastAsia="en-US"/>
        </w:rPr>
        <w:t>ühisrahastusteenuse</w:t>
      </w:r>
      <w:proofErr w:type="spellEnd"/>
      <w:r w:rsidRPr="003331EF">
        <w:rPr>
          <w:iCs/>
          <w:spacing w:val="-5"/>
          <w:lang w:eastAsia="en-US"/>
        </w:rPr>
        <w:t xml:space="preserve"> osutajad. Rahvusvaheliste rahapesu ja terrorismi rahastamise tõkestamise standardite kohaselt peaks </w:t>
      </w:r>
      <w:proofErr w:type="spellStart"/>
      <w:r w:rsidRPr="003331EF">
        <w:rPr>
          <w:iCs/>
          <w:spacing w:val="-5"/>
          <w:lang w:eastAsia="en-US"/>
        </w:rPr>
        <w:t>ühisrahastusteenuse</w:t>
      </w:r>
      <w:proofErr w:type="spellEnd"/>
      <w:r w:rsidRPr="003331EF">
        <w:rPr>
          <w:iCs/>
          <w:spacing w:val="-5"/>
          <w:lang w:eastAsia="en-US"/>
        </w:rPr>
        <w:t xml:space="preserve"> osutajad maandama rahapesu ja terrorismi rahastamise riske. Erialakirjanduses pööratakse eriti suurt tähelepanu võimalikule terrorismi rahastamisele, mida teostatakse </w:t>
      </w:r>
      <w:proofErr w:type="spellStart"/>
      <w:r w:rsidRPr="003331EF">
        <w:rPr>
          <w:iCs/>
          <w:spacing w:val="-5"/>
          <w:lang w:eastAsia="en-US"/>
        </w:rPr>
        <w:t>ühisrahastusteenuse</w:t>
      </w:r>
      <w:proofErr w:type="spellEnd"/>
      <w:r w:rsidRPr="003331EF">
        <w:rPr>
          <w:iCs/>
          <w:spacing w:val="-5"/>
          <w:lang w:eastAsia="en-US"/>
        </w:rPr>
        <w:t xml:space="preserve"> abil. Riikliku riskihinnanguga tuvastati, et sektoris on üle keskmise kõrged riskid. Riskihinnanguga soovitati sektorit täiendavalt reguleerida. Eestis on olnud ka rahapesu kahtluse põhjal algatatud kriminaalmenetlus, mis seostub </w:t>
      </w:r>
      <w:proofErr w:type="spellStart"/>
      <w:r w:rsidRPr="003331EF">
        <w:rPr>
          <w:iCs/>
          <w:spacing w:val="-5"/>
          <w:lang w:eastAsia="en-US"/>
        </w:rPr>
        <w:t>ühisrahastusteenuse</w:t>
      </w:r>
      <w:proofErr w:type="spellEnd"/>
      <w:r w:rsidRPr="003331EF">
        <w:rPr>
          <w:iCs/>
          <w:spacing w:val="-5"/>
          <w:lang w:eastAsia="en-US"/>
        </w:rPr>
        <w:t xml:space="preserve"> pakkumisega. Siiani on teenuse </w:t>
      </w:r>
      <w:proofErr w:type="spellStart"/>
      <w:r w:rsidRPr="003331EF">
        <w:rPr>
          <w:iCs/>
          <w:spacing w:val="-5"/>
          <w:lang w:eastAsia="en-US"/>
        </w:rPr>
        <w:t>RahaPTS</w:t>
      </w:r>
      <w:proofErr w:type="spellEnd"/>
      <w:r w:rsidRPr="003331EF">
        <w:rPr>
          <w:iCs/>
          <w:spacing w:val="-5"/>
          <w:lang w:eastAsia="en-US"/>
        </w:rPr>
        <w:t xml:space="preserve">-i asjakohasesse loetelusse lisamist takistanud asjaolu, et teenus on olnud reguleerimata. Ettevõtjaid rahastavad </w:t>
      </w:r>
      <w:proofErr w:type="spellStart"/>
      <w:r w:rsidRPr="003331EF">
        <w:rPr>
          <w:iCs/>
          <w:spacing w:val="-5"/>
          <w:lang w:eastAsia="en-US"/>
        </w:rPr>
        <w:t>ühisrahastusteenuste</w:t>
      </w:r>
      <w:proofErr w:type="spellEnd"/>
      <w:r w:rsidRPr="003331EF">
        <w:rPr>
          <w:iCs/>
          <w:spacing w:val="-5"/>
          <w:lang w:eastAsia="en-US"/>
        </w:rPr>
        <w:t xml:space="preserve"> pakkujad on nüüd reguleeritud otsekohalduvad </w:t>
      </w:r>
      <w:r w:rsidR="005E2B5D" w:rsidRPr="003331EF">
        <w:rPr>
          <w:iCs/>
          <w:spacing w:val="-5"/>
          <w:lang w:eastAsia="en-US"/>
        </w:rPr>
        <w:t>EL</w:t>
      </w:r>
      <w:r w:rsidRPr="003331EF">
        <w:rPr>
          <w:iCs/>
          <w:spacing w:val="-5"/>
          <w:lang w:eastAsia="en-US"/>
        </w:rPr>
        <w:t xml:space="preserve"> määrusega</w:t>
      </w:r>
      <w:r w:rsidR="00936925" w:rsidRPr="003331EF">
        <w:rPr>
          <w:rStyle w:val="Allmrkuseviide"/>
          <w:bCs w:val="0"/>
        </w:rPr>
        <w:footnoteReference w:id="28"/>
      </w:r>
      <w:r w:rsidRPr="003331EF">
        <w:rPr>
          <w:bCs/>
        </w:rPr>
        <w:t xml:space="preserve">, </w:t>
      </w:r>
      <w:r w:rsidRPr="003331EF">
        <w:rPr>
          <w:iCs/>
          <w:spacing w:val="-5"/>
          <w:lang w:eastAsia="en-US"/>
        </w:rPr>
        <w:t xml:space="preserve">mis ühtlasi võimaldab vastava teenuse hõlmata </w:t>
      </w:r>
      <w:proofErr w:type="spellStart"/>
      <w:r w:rsidRPr="003331EF">
        <w:rPr>
          <w:iCs/>
          <w:spacing w:val="-5"/>
          <w:lang w:eastAsia="en-US"/>
        </w:rPr>
        <w:t>RahaPTS</w:t>
      </w:r>
      <w:proofErr w:type="spellEnd"/>
      <w:r w:rsidRPr="003331EF">
        <w:rPr>
          <w:iCs/>
          <w:spacing w:val="-5"/>
          <w:lang w:eastAsia="en-US"/>
        </w:rPr>
        <w:t xml:space="preserve"> regulatsiooni.</w:t>
      </w:r>
    </w:p>
    <w:p w14:paraId="6914EF8D" w14:textId="77777777" w:rsidR="00F85BCC" w:rsidRPr="003331EF" w:rsidRDefault="00F85BCC" w:rsidP="003331EF">
      <w:pPr>
        <w:spacing w:before="0"/>
        <w:rPr>
          <w:bCs/>
        </w:rPr>
      </w:pPr>
    </w:p>
    <w:p w14:paraId="7EBD6390" w14:textId="64A1A598" w:rsidR="00F85BCC" w:rsidRPr="003331EF" w:rsidRDefault="00F85BCC" w:rsidP="003331EF">
      <w:pPr>
        <w:spacing w:before="0"/>
        <w:rPr>
          <w:iCs/>
          <w:spacing w:val="-5"/>
          <w:lang w:eastAsia="en-US"/>
        </w:rPr>
      </w:pPr>
      <w:r w:rsidRPr="003331EF">
        <w:rPr>
          <w:b/>
        </w:rPr>
        <w:t xml:space="preserve">Punktis </w:t>
      </w:r>
      <w:r w:rsidR="00173AC1" w:rsidRPr="003331EF">
        <w:rPr>
          <w:b/>
        </w:rPr>
        <w:t>5</w:t>
      </w:r>
      <w:r w:rsidRPr="003331EF">
        <w:rPr>
          <w:b/>
        </w:rPr>
        <w:t xml:space="preserve"> täiendatakse</w:t>
      </w:r>
      <w:r w:rsidR="00570451" w:rsidRPr="003331EF">
        <w:rPr>
          <w:b/>
        </w:rPr>
        <w:t xml:space="preserve"> </w:t>
      </w:r>
      <w:proofErr w:type="spellStart"/>
      <w:r w:rsidR="00570451" w:rsidRPr="003331EF">
        <w:rPr>
          <w:b/>
        </w:rPr>
        <w:t>RahaPTS</w:t>
      </w:r>
      <w:proofErr w:type="spellEnd"/>
      <w:r w:rsidR="00570451" w:rsidRPr="003331EF">
        <w:rPr>
          <w:b/>
        </w:rPr>
        <w:t xml:space="preserve"> § 7</w:t>
      </w:r>
      <w:r w:rsidRPr="003331EF">
        <w:rPr>
          <w:bCs/>
        </w:rPr>
        <w:t xml:space="preserve"> </w:t>
      </w:r>
      <w:r w:rsidRPr="003331EF">
        <w:rPr>
          <w:iCs/>
          <w:spacing w:val="-5"/>
          <w:lang w:eastAsia="en-US"/>
        </w:rPr>
        <w:t xml:space="preserve">korrespondentsuhte mõistet järgmise tekstilõiguga: „või suhted, mis on loodud </w:t>
      </w:r>
      <w:proofErr w:type="spellStart"/>
      <w:r w:rsidRPr="003331EF">
        <w:rPr>
          <w:iCs/>
          <w:spacing w:val="-5"/>
          <w:lang w:eastAsia="en-US"/>
        </w:rPr>
        <w:t>krüptovaratehingute</w:t>
      </w:r>
      <w:proofErr w:type="spellEnd"/>
      <w:r w:rsidRPr="003331EF">
        <w:rPr>
          <w:iCs/>
          <w:spacing w:val="-5"/>
          <w:lang w:eastAsia="en-US"/>
        </w:rPr>
        <w:t xml:space="preserve"> või </w:t>
      </w:r>
      <w:proofErr w:type="spellStart"/>
      <w:r w:rsidRPr="003331EF">
        <w:rPr>
          <w:iCs/>
          <w:spacing w:val="-5"/>
          <w:lang w:eastAsia="en-US"/>
        </w:rPr>
        <w:t>krüptovaraülekannete</w:t>
      </w:r>
      <w:proofErr w:type="spellEnd"/>
      <w:r w:rsidRPr="003331EF">
        <w:rPr>
          <w:iCs/>
          <w:spacing w:val="-5"/>
          <w:lang w:eastAsia="en-US"/>
        </w:rPr>
        <w:t xml:space="preserve"> tegemiseks“. </w:t>
      </w:r>
      <w:proofErr w:type="spellStart"/>
      <w:r w:rsidRPr="003331EF">
        <w:rPr>
          <w:iCs/>
          <w:spacing w:val="-5"/>
          <w:lang w:eastAsia="en-US"/>
        </w:rPr>
        <w:t>Krüptovarateenuste</w:t>
      </w:r>
      <w:proofErr w:type="spellEnd"/>
      <w:r w:rsidRPr="003331EF">
        <w:rPr>
          <w:iCs/>
          <w:spacing w:val="-5"/>
          <w:lang w:eastAsia="en-US"/>
        </w:rPr>
        <w:t xml:space="preserve"> lisamine korrespondentsuhete regulatsiooni muudab </w:t>
      </w:r>
      <w:proofErr w:type="spellStart"/>
      <w:r w:rsidRPr="003331EF">
        <w:rPr>
          <w:iCs/>
          <w:spacing w:val="-5"/>
          <w:lang w:eastAsia="en-US"/>
        </w:rPr>
        <w:t>krüptovarateenuse</w:t>
      </w:r>
      <w:proofErr w:type="spellEnd"/>
      <w:r w:rsidRPr="003331EF">
        <w:rPr>
          <w:iCs/>
          <w:spacing w:val="-5"/>
          <w:lang w:eastAsia="en-US"/>
        </w:rPr>
        <w:t xml:space="preserve"> osutajatele rakendatava </w:t>
      </w:r>
      <w:proofErr w:type="spellStart"/>
      <w:r w:rsidRPr="003331EF">
        <w:rPr>
          <w:iCs/>
          <w:spacing w:val="-5"/>
          <w:lang w:eastAsia="en-US"/>
        </w:rPr>
        <w:t>RahaPTS</w:t>
      </w:r>
      <w:proofErr w:type="spellEnd"/>
      <w:r w:rsidRPr="003331EF">
        <w:rPr>
          <w:iCs/>
          <w:spacing w:val="-5"/>
          <w:lang w:eastAsia="en-US"/>
        </w:rPr>
        <w:t xml:space="preserve">-i raamistiku veelgi sarnasemaks finantseerimisasutustele rakenduva raamistikuga. Muudatus on asjakohane, kuna </w:t>
      </w:r>
      <w:proofErr w:type="spellStart"/>
      <w:r w:rsidRPr="003331EF">
        <w:rPr>
          <w:iCs/>
          <w:spacing w:val="-5"/>
          <w:lang w:eastAsia="en-US"/>
        </w:rPr>
        <w:t>krüptovarateenuse</w:t>
      </w:r>
      <w:proofErr w:type="spellEnd"/>
      <w:r w:rsidRPr="003331EF">
        <w:rPr>
          <w:iCs/>
          <w:spacing w:val="-5"/>
          <w:lang w:eastAsia="en-US"/>
        </w:rPr>
        <w:t xml:space="preserve"> osutajate ja kolmandates riikides </w:t>
      </w:r>
      <w:proofErr w:type="spellStart"/>
      <w:r w:rsidRPr="003331EF">
        <w:rPr>
          <w:iCs/>
          <w:spacing w:val="-5"/>
          <w:lang w:eastAsia="en-US"/>
        </w:rPr>
        <w:t>krüptovaraülekannete</w:t>
      </w:r>
      <w:proofErr w:type="spellEnd"/>
      <w:r w:rsidRPr="003331EF">
        <w:rPr>
          <w:iCs/>
          <w:spacing w:val="-5"/>
          <w:lang w:eastAsia="en-US"/>
        </w:rPr>
        <w:t xml:space="preserve"> tegemiseks või sarnaste </w:t>
      </w:r>
      <w:proofErr w:type="spellStart"/>
      <w:r w:rsidRPr="003331EF">
        <w:rPr>
          <w:iCs/>
          <w:spacing w:val="-5"/>
          <w:lang w:eastAsia="en-US"/>
        </w:rPr>
        <w:t>krüptovarateenuste</w:t>
      </w:r>
      <w:proofErr w:type="spellEnd"/>
      <w:r w:rsidRPr="003331EF">
        <w:rPr>
          <w:iCs/>
          <w:spacing w:val="-5"/>
          <w:lang w:eastAsia="en-US"/>
        </w:rPr>
        <w:t xml:space="preserve"> osutamiseks asutatud üksustega sisse seatud suhted sarnanevad kolmanda riigi respondentasutusega sisse seatud korrespondentpangandussuhetega. </w:t>
      </w:r>
      <w:r w:rsidR="00570451" w:rsidRPr="003331EF">
        <w:rPr>
          <w:iCs/>
          <w:spacing w:val="-5"/>
          <w:lang w:eastAsia="en-US"/>
        </w:rPr>
        <w:t xml:space="preserve">TFR määruse </w:t>
      </w:r>
      <w:r w:rsidRPr="003331EF">
        <w:rPr>
          <w:iCs/>
          <w:spacing w:val="-5"/>
          <w:lang w:eastAsia="en-US"/>
        </w:rPr>
        <w:t xml:space="preserve">põhjenduspunktides on selgitatud, et kuna </w:t>
      </w:r>
      <w:proofErr w:type="spellStart"/>
      <w:r w:rsidR="0042661A" w:rsidRPr="003331EF">
        <w:rPr>
          <w:iCs/>
          <w:spacing w:val="-5"/>
          <w:lang w:eastAsia="en-US"/>
        </w:rPr>
        <w:lastRenderedPageBreak/>
        <w:t>krüptovarateenuse</w:t>
      </w:r>
      <w:proofErr w:type="spellEnd"/>
      <w:r w:rsidR="0042661A" w:rsidRPr="003331EF">
        <w:rPr>
          <w:iCs/>
          <w:spacing w:val="-5"/>
          <w:lang w:eastAsia="en-US"/>
        </w:rPr>
        <w:t xml:space="preserve"> osutajatega sõlmitud</w:t>
      </w:r>
      <w:r w:rsidRPr="003331EF">
        <w:rPr>
          <w:iCs/>
          <w:spacing w:val="-5"/>
          <w:lang w:eastAsia="en-US"/>
        </w:rPr>
        <w:t xml:space="preserve"> suhted on oma laadilt pidevad ja korduvad, tuleks neid käsitada korrespondentsuhte liigina ning nende suhtes tuleks kohaldada konkreetseid tõhustatud hoolsusmeetmeid, mis on põhimõtteliselt sarnased pangandus- ja finantsteenuste kontekstis kohaldatavate meetmetega.</w:t>
      </w:r>
      <w:r w:rsidR="0042661A" w:rsidRPr="003331EF">
        <w:rPr>
          <w:iCs/>
          <w:spacing w:val="-5"/>
          <w:lang w:eastAsia="en-US"/>
        </w:rPr>
        <w:t xml:space="preserve"> Korrespondentasutuste kohustused on sätestatud </w:t>
      </w:r>
      <w:proofErr w:type="spellStart"/>
      <w:r w:rsidR="0042661A" w:rsidRPr="003331EF">
        <w:rPr>
          <w:iCs/>
          <w:spacing w:val="-5"/>
          <w:lang w:eastAsia="en-US"/>
        </w:rPr>
        <w:t>RahaPTS</w:t>
      </w:r>
      <w:proofErr w:type="spellEnd"/>
      <w:r w:rsidR="0042661A" w:rsidRPr="003331EF">
        <w:rPr>
          <w:iCs/>
          <w:spacing w:val="-5"/>
          <w:lang w:eastAsia="en-US"/>
        </w:rPr>
        <w:t xml:space="preserve"> §-s 40, kuhu tehakse käesoleva eelnõuga </w:t>
      </w:r>
      <w:proofErr w:type="spellStart"/>
      <w:r w:rsidR="0042661A" w:rsidRPr="003331EF">
        <w:rPr>
          <w:iCs/>
          <w:spacing w:val="-5"/>
          <w:lang w:eastAsia="en-US"/>
        </w:rPr>
        <w:t>kürptovarateenuseid</w:t>
      </w:r>
      <w:proofErr w:type="spellEnd"/>
      <w:r w:rsidR="0042661A" w:rsidRPr="003331EF">
        <w:rPr>
          <w:iCs/>
          <w:spacing w:val="-5"/>
          <w:lang w:eastAsia="en-US"/>
        </w:rPr>
        <w:t xml:space="preserve"> puudutavad erandid.</w:t>
      </w:r>
    </w:p>
    <w:p w14:paraId="1C245D4D" w14:textId="77777777" w:rsidR="0042661A" w:rsidRPr="003331EF" w:rsidRDefault="0042661A" w:rsidP="003331EF">
      <w:pPr>
        <w:spacing w:before="0"/>
      </w:pPr>
    </w:p>
    <w:p w14:paraId="16A5969D" w14:textId="68F86AAD" w:rsidR="0042661A" w:rsidRPr="003331EF" w:rsidRDefault="0042661A" w:rsidP="003331EF">
      <w:pPr>
        <w:spacing w:before="0"/>
        <w:rPr>
          <w:iCs/>
          <w:spacing w:val="-5"/>
          <w:lang w:eastAsia="en-US"/>
        </w:rPr>
      </w:pPr>
      <w:r w:rsidRPr="003331EF">
        <w:rPr>
          <w:b/>
          <w:bCs/>
        </w:rPr>
        <w:t xml:space="preserve">Punktis </w:t>
      </w:r>
      <w:r w:rsidR="00173AC1" w:rsidRPr="003331EF">
        <w:rPr>
          <w:b/>
          <w:bCs/>
        </w:rPr>
        <w:t>6</w:t>
      </w:r>
      <w:r w:rsidRPr="003331EF">
        <w:t xml:space="preserve"> </w:t>
      </w:r>
      <w:r w:rsidRPr="003331EF">
        <w:rPr>
          <w:b/>
          <w:bCs/>
        </w:rPr>
        <w:t xml:space="preserve">täpsustatakse </w:t>
      </w:r>
      <w:proofErr w:type="spellStart"/>
      <w:r w:rsidR="00C7797F" w:rsidRPr="003331EF">
        <w:rPr>
          <w:b/>
          <w:bCs/>
        </w:rPr>
        <w:t>RahaPTS</w:t>
      </w:r>
      <w:proofErr w:type="spellEnd"/>
      <w:r w:rsidR="00C7797F" w:rsidRPr="003331EF">
        <w:rPr>
          <w:b/>
          <w:bCs/>
        </w:rPr>
        <w:t xml:space="preserve"> § 13</w:t>
      </w:r>
      <w:r w:rsidR="00C7797F" w:rsidRPr="003331EF">
        <w:t xml:space="preserve"> </w:t>
      </w:r>
      <w:proofErr w:type="spellStart"/>
      <w:r w:rsidRPr="003331EF">
        <w:rPr>
          <w:iCs/>
          <w:spacing w:val="-5"/>
          <w:lang w:eastAsia="en-US"/>
        </w:rPr>
        <w:t>krüptovarateenuse</w:t>
      </w:r>
      <w:proofErr w:type="spellEnd"/>
      <w:r w:rsidRPr="003331EF">
        <w:rPr>
          <w:iCs/>
          <w:spacing w:val="-5"/>
          <w:lang w:eastAsia="en-US"/>
        </w:rPr>
        <w:t xml:space="preserve"> </w:t>
      </w:r>
      <w:r w:rsidR="00C7797F" w:rsidRPr="003331EF">
        <w:rPr>
          <w:iCs/>
          <w:spacing w:val="-5"/>
          <w:lang w:eastAsia="en-US"/>
        </w:rPr>
        <w:t>osutaja</w:t>
      </w:r>
      <w:r w:rsidRPr="003331EF">
        <w:rPr>
          <w:iCs/>
          <w:spacing w:val="-5"/>
          <w:lang w:eastAsia="en-US"/>
        </w:rPr>
        <w:t xml:space="preserve"> poolt teostatava rahapesu ja terrorismi rahastamise riskide hindamise nõudeid. Kuna isehallatavate </w:t>
      </w:r>
      <w:r w:rsidR="00DB1FDA" w:rsidRPr="003331EF">
        <w:rPr>
          <w:iCs/>
          <w:spacing w:val="-5"/>
          <w:lang w:eastAsia="en-US"/>
        </w:rPr>
        <w:t>aadresside</w:t>
      </w:r>
      <w:r w:rsidRPr="003331EF">
        <w:rPr>
          <w:iCs/>
          <w:spacing w:val="-5"/>
          <w:lang w:eastAsia="en-US"/>
        </w:rPr>
        <w:t xml:space="preserve"> puhul pole vastaspooleks teist kohustatud isikut, kes oleks isehallatava aadressil </w:t>
      </w:r>
      <w:proofErr w:type="spellStart"/>
      <w:r w:rsidRPr="003331EF">
        <w:rPr>
          <w:iCs/>
          <w:spacing w:val="-5"/>
          <w:lang w:eastAsia="en-US"/>
        </w:rPr>
        <w:t>krüptovara</w:t>
      </w:r>
      <w:proofErr w:type="spellEnd"/>
      <w:r w:rsidRPr="003331EF">
        <w:rPr>
          <w:iCs/>
          <w:spacing w:val="-5"/>
          <w:lang w:eastAsia="en-US"/>
        </w:rPr>
        <w:t xml:space="preserve"> hoiustava või seal hoiustada sooviva isiku kohta andmeid kogunud ja kontrollinud, siis kaasnevad selliste tehingutega spetsiifilised riskid, mille tarbeks on vaja täiendavaid riske maandavaid meetmeid, sh tugevdatud hoolsusmeetmeid, mis on reguleeritud </w:t>
      </w:r>
      <w:proofErr w:type="spellStart"/>
      <w:r w:rsidRPr="003331EF">
        <w:rPr>
          <w:iCs/>
          <w:spacing w:val="-5"/>
          <w:lang w:eastAsia="en-US"/>
        </w:rPr>
        <w:t>RahaPTS</w:t>
      </w:r>
      <w:proofErr w:type="spellEnd"/>
      <w:r w:rsidRPr="003331EF">
        <w:rPr>
          <w:iCs/>
          <w:spacing w:val="-5"/>
          <w:lang w:eastAsia="en-US"/>
        </w:rPr>
        <w:t>-i §-des 37</w:t>
      </w:r>
      <w:r w:rsidR="00095459" w:rsidRPr="003331EF">
        <w:rPr>
          <w:iCs/>
          <w:spacing w:val="-5"/>
          <w:lang w:eastAsia="en-US"/>
        </w:rPr>
        <w:t>–</w:t>
      </w:r>
      <w:r w:rsidRPr="003331EF">
        <w:rPr>
          <w:iCs/>
          <w:spacing w:val="-5"/>
          <w:lang w:eastAsia="en-US"/>
        </w:rPr>
        <w:t>3</w:t>
      </w:r>
      <w:r w:rsidR="00DB1FDA" w:rsidRPr="003331EF">
        <w:rPr>
          <w:iCs/>
          <w:spacing w:val="-5"/>
          <w:lang w:eastAsia="en-US"/>
        </w:rPr>
        <w:t>9 ja mida käesoleva eelnõuga täiendatakse, et tagada kohustatud isikute poolt asjakohane reaktsioon isehallatavate aadressidega seonduvatele riskidele</w:t>
      </w:r>
      <w:r w:rsidRPr="003331EF">
        <w:rPr>
          <w:iCs/>
          <w:spacing w:val="-5"/>
          <w:lang w:eastAsia="en-US"/>
        </w:rPr>
        <w:t xml:space="preserve">. Rakendavate meetmete sobivust ja piisavust pole võimalik hinnata ilma, et oleks eelnevalt hinnatud </w:t>
      </w:r>
      <w:r w:rsidR="00986391" w:rsidRPr="003331EF">
        <w:rPr>
          <w:iCs/>
          <w:spacing w:val="-5"/>
          <w:lang w:eastAsia="en-US"/>
        </w:rPr>
        <w:t xml:space="preserve">riske </w:t>
      </w:r>
      <w:r w:rsidR="00DB1FDA" w:rsidRPr="003331EF">
        <w:rPr>
          <w:iCs/>
          <w:spacing w:val="-5"/>
          <w:lang w:eastAsia="en-US"/>
        </w:rPr>
        <w:t xml:space="preserve">ja seetõttu on vajalik </w:t>
      </w:r>
      <w:r w:rsidR="00986391" w:rsidRPr="003331EF">
        <w:rPr>
          <w:iCs/>
          <w:spacing w:val="-5"/>
          <w:lang w:eastAsia="en-US"/>
        </w:rPr>
        <w:t>täiendada</w:t>
      </w:r>
      <w:r w:rsidR="00DB1FDA" w:rsidRPr="003331EF">
        <w:rPr>
          <w:iCs/>
          <w:spacing w:val="-5"/>
          <w:lang w:eastAsia="en-US"/>
        </w:rPr>
        <w:t xml:space="preserve"> riskide hindamist käsitleva</w:t>
      </w:r>
      <w:r w:rsidR="00986391" w:rsidRPr="003331EF">
        <w:rPr>
          <w:iCs/>
          <w:spacing w:val="-5"/>
          <w:lang w:eastAsia="en-US"/>
        </w:rPr>
        <w:t>t</w:t>
      </w:r>
      <w:r w:rsidR="00DB1FDA" w:rsidRPr="003331EF">
        <w:rPr>
          <w:iCs/>
          <w:spacing w:val="-5"/>
          <w:lang w:eastAsia="en-US"/>
        </w:rPr>
        <w:t xml:space="preserve"> paragrahvi.</w:t>
      </w:r>
    </w:p>
    <w:p w14:paraId="52FBFDAE" w14:textId="77777777" w:rsidR="00DB1FDA" w:rsidRPr="003331EF" w:rsidRDefault="00DB1FDA" w:rsidP="003331EF">
      <w:pPr>
        <w:spacing w:before="0"/>
      </w:pPr>
    </w:p>
    <w:p w14:paraId="68A03B55" w14:textId="67D4B5C0" w:rsidR="00DB1FDA" w:rsidRPr="003331EF" w:rsidRDefault="00DB1FDA" w:rsidP="003331EF">
      <w:pPr>
        <w:spacing w:before="0"/>
        <w:rPr>
          <w:iCs/>
          <w:spacing w:val="-5"/>
          <w:lang w:eastAsia="en-US"/>
        </w:rPr>
      </w:pPr>
      <w:r w:rsidRPr="003331EF">
        <w:rPr>
          <w:b/>
          <w:bCs/>
        </w:rPr>
        <w:t xml:space="preserve">Punktiga </w:t>
      </w:r>
      <w:r w:rsidR="00173AC1" w:rsidRPr="003331EF">
        <w:rPr>
          <w:b/>
          <w:bCs/>
        </w:rPr>
        <w:t>7</w:t>
      </w:r>
      <w:r w:rsidRPr="003331EF">
        <w:t xml:space="preserve"> </w:t>
      </w:r>
      <w:r w:rsidRPr="003331EF">
        <w:rPr>
          <w:b/>
          <w:bCs/>
        </w:rPr>
        <w:t>täiendatakse</w:t>
      </w:r>
      <w:r w:rsidR="00C7797F" w:rsidRPr="003331EF">
        <w:rPr>
          <w:b/>
          <w:bCs/>
        </w:rPr>
        <w:t xml:space="preserve"> </w:t>
      </w:r>
      <w:proofErr w:type="spellStart"/>
      <w:r w:rsidR="00C7797F" w:rsidRPr="003331EF">
        <w:rPr>
          <w:b/>
          <w:bCs/>
        </w:rPr>
        <w:t>RahaPTS</w:t>
      </w:r>
      <w:proofErr w:type="spellEnd"/>
      <w:r w:rsidR="00C7797F" w:rsidRPr="003331EF">
        <w:rPr>
          <w:b/>
          <w:bCs/>
        </w:rPr>
        <w:t xml:space="preserve"> § 15</w:t>
      </w:r>
      <w:r w:rsidRPr="003331EF">
        <w:rPr>
          <w:b/>
          <w:bCs/>
        </w:rPr>
        <w:t xml:space="preserve"> </w:t>
      </w:r>
      <w:r w:rsidR="00C7797F" w:rsidRPr="003331EF">
        <w:rPr>
          <w:b/>
          <w:bCs/>
        </w:rPr>
        <w:t>lõiget 6</w:t>
      </w:r>
      <w:r w:rsidR="00BB3247" w:rsidRPr="003331EF">
        <w:t xml:space="preserve">, </w:t>
      </w:r>
      <w:r w:rsidR="00BB3247" w:rsidRPr="003331EF">
        <w:rPr>
          <w:iCs/>
          <w:spacing w:val="-5"/>
          <w:lang w:eastAsia="en-US"/>
        </w:rPr>
        <w:t xml:space="preserve">mille alusel saab Finantsinspektsioon edaspidi anda korralduse </w:t>
      </w:r>
      <w:proofErr w:type="spellStart"/>
      <w:r w:rsidR="00BB3247" w:rsidRPr="003331EF">
        <w:rPr>
          <w:iCs/>
          <w:spacing w:val="-5"/>
          <w:lang w:eastAsia="en-US"/>
        </w:rPr>
        <w:t>krüptovarateenuse</w:t>
      </w:r>
      <w:proofErr w:type="spellEnd"/>
      <w:r w:rsidR="00BB3247" w:rsidRPr="003331EF">
        <w:rPr>
          <w:iCs/>
          <w:spacing w:val="-5"/>
          <w:lang w:eastAsia="en-US"/>
        </w:rPr>
        <w:t xml:space="preserve"> osutajale, kes tegutseb Eestis muus vormis kui filiaalina ja kelle peakontor asub teises </w:t>
      </w:r>
      <w:r w:rsidR="005E2B5D" w:rsidRPr="003331EF">
        <w:rPr>
          <w:iCs/>
          <w:spacing w:val="-5"/>
          <w:lang w:eastAsia="en-US"/>
        </w:rPr>
        <w:t>EL</w:t>
      </w:r>
      <w:r w:rsidR="00BB3247" w:rsidRPr="003331EF">
        <w:rPr>
          <w:iCs/>
          <w:spacing w:val="-5"/>
          <w:lang w:eastAsia="en-US"/>
        </w:rPr>
        <w:t xml:space="preserve"> liikmesriigis, määrata Eestis keskse kontaktpunkti, mille ülesanne on tagada teenuse osutaja vastavus </w:t>
      </w:r>
      <w:proofErr w:type="spellStart"/>
      <w:r w:rsidR="00BB3247" w:rsidRPr="003331EF">
        <w:rPr>
          <w:iCs/>
          <w:spacing w:val="-5"/>
          <w:lang w:eastAsia="en-US"/>
        </w:rPr>
        <w:t>RahaPTS</w:t>
      </w:r>
      <w:proofErr w:type="spellEnd"/>
      <w:r w:rsidR="00BB3247" w:rsidRPr="003331EF">
        <w:rPr>
          <w:iCs/>
          <w:spacing w:val="-5"/>
          <w:lang w:eastAsia="en-US"/>
        </w:rPr>
        <w:t>-i nõuetega. Tegemist on AMLD4</w:t>
      </w:r>
      <w:r w:rsidR="00482CA2">
        <w:rPr>
          <w:rStyle w:val="Allmrkuseviide"/>
          <w:iCs/>
          <w:spacing w:val="-5"/>
          <w:lang w:eastAsia="en-US"/>
        </w:rPr>
        <w:footnoteReference w:id="29"/>
      </w:r>
      <w:r w:rsidR="00BB3247" w:rsidRPr="003331EF">
        <w:rPr>
          <w:iCs/>
          <w:spacing w:val="-5"/>
          <w:lang w:eastAsia="en-US"/>
        </w:rPr>
        <w:t xml:space="preserve">-st tuleneva liikmesriikidele antud võimalusega, mida Eesti on kasutanud e-raha asutuste ja makseteenuse pakkujate osas. Muudatusega rakendatakse vastavat võimalust ka </w:t>
      </w:r>
      <w:proofErr w:type="spellStart"/>
      <w:r w:rsidR="00BB3247" w:rsidRPr="003331EF">
        <w:rPr>
          <w:iCs/>
          <w:spacing w:val="-5"/>
          <w:lang w:eastAsia="en-US"/>
        </w:rPr>
        <w:t>krüptovarateenuse</w:t>
      </w:r>
      <w:proofErr w:type="spellEnd"/>
      <w:r w:rsidR="00BB3247" w:rsidRPr="003331EF">
        <w:rPr>
          <w:iCs/>
          <w:spacing w:val="-5"/>
          <w:lang w:eastAsia="en-US"/>
        </w:rPr>
        <w:t xml:space="preserve"> osutajate suhtes. Keskse kontaktpunkti määramise eesmärk on hõlbustada koostööd </w:t>
      </w:r>
      <w:proofErr w:type="spellStart"/>
      <w:r w:rsidR="00BB3247" w:rsidRPr="003331EF">
        <w:rPr>
          <w:iCs/>
          <w:spacing w:val="-5"/>
          <w:lang w:eastAsia="en-US"/>
        </w:rPr>
        <w:t>krüptovarateenuse</w:t>
      </w:r>
      <w:proofErr w:type="spellEnd"/>
      <w:r w:rsidR="00BB3247" w:rsidRPr="003331EF">
        <w:rPr>
          <w:iCs/>
          <w:spacing w:val="-5"/>
          <w:lang w:eastAsia="en-US"/>
        </w:rPr>
        <w:t xml:space="preserve"> osutaja ja järelevalveasutuse vahel, mis omakorda tõhustab piiriülese järelevalve efektiivsust.</w:t>
      </w:r>
    </w:p>
    <w:p w14:paraId="06D5F8B4" w14:textId="77777777" w:rsidR="00BB3247" w:rsidRPr="003331EF" w:rsidRDefault="00BB3247" w:rsidP="003331EF">
      <w:pPr>
        <w:spacing w:before="0"/>
      </w:pPr>
    </w:p>
    <w:p w14:paraId="3CFCA02A" w14:textId="7B7C3352" w:rsidR="00BB3247" w:rsidRPr="003331EF" w:rsidRDefault="00BB3247" w:rsidP="003331EF">
      <w:pPr>
        <w:spacing w:before="0"/>
        <w:rPr>
          <w:iCs/>
          <w:spacing w:val="-5"/>
          <w:lang w:eastAsia="en-US"/>
        </w:rPr>
      </w:pPr>
      <w:r w:rsidRPr="003331EF">
        <w:rPr>
          <w:b/>
          <w:bCs/>
        </w:rPr>
        <w:t>Punkti</w:t>
      </w:r>
      <w:r w:rsidR="00173AC1" w:rsidRPr="003331EF">
        <w:rPr>
          <w:b/>
          <w:bCs/>
        </w:rPr>
        <w:t>de</w:t>
      </w:r>
      <w:r w:rsidRPr="003331EF">
        <w:rPr>
          <w:b/>
          <w:bCs/>
        </w:rPr>
        <w:t xml:space="preserve">ga </w:t>
      </w:r>
      <w:r w:rsidR="00173AC1" w:rsidRPr="003331EF">
        <w:rPr>
          <w:b/>
          <w:bCs/>
        </w:rPr>
        <w:t>8-14</w:t>
      </w:r>
      <w:r w:rsidRPr="003331EF">
        <w:rPr>
          <w:b/>
          <w:bCs/>
        </w:rPr>
        <w:t xml:space="preserve"> muudetakse </w:t>
      </w:r>
      <w:proofErr w:type="spellStart"/>
      <w:r w:rsidRPr="003331EF">
        <w:rPr>
          <w:b/>
          <w:bCs/>
        </w:rPr>
        <w:t>RahaPTS</w:t>
      </w:r>
      <w:proofErr w:type="spellEnd"/>
      <w:r w:rsidRPr="003331EF">
        <w:rPr>
          <w:b/>
          <w:bCs/>
        </w:rPr>
        <w:t xml:space="preserve"> §</w:t>
      </w:r>
      <w:r w:rsidR="005C49B4" w:rsidRPr="003331EF">
        <w:rPr>
          <w:b/>
          <w:bCs/>
        </w:rPr>
        <w:t>-i</w:t>
      </w:r>
      <w:r w:rsidRPr="003331EF">
        <w:rPr>
          <w:b/>
          <w:bCs/>
        </w:rPr>
        <w:t xml:space="preserve"> 25</w:t>
      </w:r>
      <w:r w:rsidR="00173AC1" w:rsidRPr="003331EF">
        <w:t xml:space="preserve"> </w:t>
      </w:r>
      <w:r w:rsidR="00173AC1" w:rsidRPr="003331EF">
        <w:rPr>
          <w:iCs/>
          <w:spacing w:val="-5"/>
          <w:lang w:eastAsia="en-US"/>
        </w:rPr>
        <w:t>kahes järgus</w:t>
      </w:r>
      <w:r w:rsidR="006C704E" w:rsidRPr="003331EF">
        <w:rPr>
          <w:iCs/>
          <w:spacing w:val="-5"/>
          <w:lang w:eastAsia="en-US"/>
        </w:rPr>
        <w:t>,</w:t>
      </w:r>
      <w:r w:rsidR="00173AC1" w:rsidRPr="003331EF">
        <w:rPr>
          <w:iCs/>
          <w:spacing w:val="-5"/>
          <w:lang w:eastAsia="en-US"/>
        </w:rPr>
        <w:t xml:space="preserve"> lisade</w:t>
      </w:r>
      <w:r w:rsidR="006C704E" w:rsidRPr="003331EF">
        <w:rPr>
          <w:iCs/>
          <w:spacing w:val="-5"/>
          <w:lang w:eastAsia="en-US"/>
        </w:rPr>
        <w:t>s</w:t>
      </w:r>
      <w:r w:rsidR="00173AC1" w:rsidRPr="003331EF">
        <w:rPr>
          <w:iCs/>
          <w:spacing w:val="-5"/>
          <w:lang w:eastAsia="en-US"/>
        </w:rPr>
        <w:t xml:space="preserve"> esmalt </w:t>
      </w:r>
      <w:proofErr w:type="spellStart"/>
      <w:r w:rsidR="00173AC1" w:rsidRPr="003331EF">
        <w:rPr>
          <w:iCs/>
          <w:spacing w:val="-5"/>
          <w:lang w:eastAsia="en-US"/>
        </w:rPr>
        <w:t>krüptovarateenuse</w:t>
      </w:r>
      <w:proofErr w:type="spellEnd"/>
      <w:r w:rsidR="00173AC1" w:rsidRPr="003331EF">
        <w:rPr>
          <w:iCs/>
          <w:spacing w:val="-5"/>
          <w:lang w:eastAsia="en-US"/>
        </w:rPr>
        <w:t xml:space="preserve"> osutaja</w:t>
      </w:r>
      <w:r w:rsidR="006C704E" w:rsidRPr="003331EF">
        <w:rPr>
          <w:iCs/>
          <w:spacing w:val="-5"/>
          <w:lang w:eastAsia="en-US"/>
        </w:rPr>
        <w:t xml:space="preserve"> ja </w:t>
      </w:r>
      <w:proofErr w:type="spellStart"/>
      <w:r w:rsidR="006C704E" w:rsidRPr="003331EF">
        <w:rPr>
          <w:iCs/>
          <w:spacing w:val="-5"/>
          <w:lang w:eastAsia="en-US"/>
        </w:rPr>
        <w:t>krüptovara</w:t>
      </w:r>
      <w:proofErr w:type="spellEnd"/>
      <w:r w:rsidR="006C704E" w:rsidRPr="003331EF">
        <w:rPr>
          <w:iCs/>
          <w:spacing w:val="-5"/>
          <w:lang w:eastAsia="en-US"/>
        </w:rPr>
        <w:t xml:space="preserve"> aadressi mõisted</w:t>
      </w:r>
      <w:r w:rsidR="00173AC1" w:rsidRPr="003331EF">
        <w:rPr>
          <w:iCs/>
          <w:spacing w:val="-5"/>
          <w:lang w:eastAsia="en-US"/>
        </w:rPr>
        <w:t xml:space="preserve"> sätetega, mis jõustuvad 30. detsembril 2024</w:t>
      </w:r>
      <w:r w:rsidR="00095459" w:rsidRPr="003331EF">
        <w:rPr>
          <w:iCs/>
          <w:spacing w:val="-5"/>
          <w:lang w:eastAsia="en-US"/>
        </w:rPr>
        <w:t>. a</w:t>
      </w:r>
      <w:r w:rsidR="006C704E" w:rsidRPr="003331EF">
        <w:rPr>
          <w:iCs/>
          <w:spacing w:val="-5"/>
          <w:lang w:eastAsia="en-US"/>
        </w:rPr>
        <w:t>,</w:t>
      </w:r>
      <w:r w:rsidR="00173AC1" w:rsidRPr="003331EF">
        <w:rPr>
          <w:iCs/>
          <w:spacing w:val="-5"/>
          <w:lang w:eastAsia="en-US"/>
        </w:rPr>
        <w:t xml:space="preserve"> ja seejärel eemaldatakse sõnastusest virtuaalvääringu teenuse pakkuja</w:t>
      </w:r>
      <w:r w:rsidR="006C704E" w:rsidRPr="003331EF">
        <w:rPr>
          <w:iCs/>
          <w:spacing w:val="-5"/>
          <w:lang w:eastAsia="en-US"/>
        </w:rPr>
        <w:t xml:space="preserve"> ja virtuaalvääringu rahakoti mõisted</w:t>
      </w:r>
      <w:r w:rsidR="00173AC1" w:rsidRPr="003331EF">
        <w:rPr>
          <w:iCs/>
          <w:spacing w:val="-5"/>
          <w:lang w:eastAsia="en-US"/>
        </w:rPr>
        <w:t xml:space="preserve"> muudatustega, mis jõustuvad 1. </w:t>
      </w:r>
      <w:r w:rsidR="007E6C59" w:rsidRPr="003331EF">
        <w:rPr>
          <w:iCs/>
          <w:spacing w:val="-5"/>
          <w:lang w:eastAsia="en-US"/>
        </w:rPr>
        <w:t xml:space="preserve">jaanuaril </w:t>
      </w:r>
      <w:r w:rsidR="00173AC1" w:rsidRPr="003331EF">
        <w:rPr>
          <w:iCs/>
          <w:spacing w:val="-5"/>
          <w:lang w:eastAsia="en-US"/>
        </w:rPr>
        <w:t>202</w:t>
      </w:r>
      <w:r w:rsidR="007E6C59" w:rsidRPr="003331EF">
        <w:rPr>
          <w:iCs/>
          <w:spacing w:val="-5"/>
          <w:lang w:eastAsia="en-US"/>
        </w:rPr>
        <w:t>6</w:t>
      </w:r>
      <w:r w:rsidR="00173AC1" w:rsidRPr="003331EF">
        <w:rPr>
          <w:iCs/>
          <w:spacing w:val="-5"/>
          <w:lang w:eastAsia="en-US"/>
        </w:rPr>
        <w:t>.</w:t>
      </w:r>
      <w:r w:rsidR="00095459" w:rsidRPr="003331EF">
        <w:rPr>
          <w:iCs/>
          <w:spacing w:val="-5"/>
          <w:lang w:eastAsia="en-US"/>
        </w:rPr>
        <w:t xml:space="preserve"> a.</w:t>
      </w:r>
      <w:r w:rsidRPr="003331EF">
        <w:rPr>
          <w:iCs/>
          <w:spacing w:val="-5"/>
          <w:lang w:eastAsia="en-US"/>
        </w:rPr>
        <w:t xml:space="preserve"> </w:t>
      </w:r>
      <w:r w:rsidR="006C704E" w:rsidRPr="003331EF">
        <w:rPr>
          <w:iCs/>
          <w:spacing w:val="-5"/>
          <w:lang w:eastAsia="en-US"/>
        </w:rPr>
        <w:t>Muudatustega tagatakse</w:t>
      </w:r>
      <w:r w:rsidR="00173AC1" w:rsidRPr="003331EF">
        <w:rPr>
          <w:iCs/>
          <w:spacing w:val="-5"/>
          <w:lang w:eastAsia="en-US"/>
        </w:rPr>
        <w:t xml:space="preserve">, et </w:t>
      </w:r>
      <w:proofErr w:type="spellStart"/>
      <w:r w:rsidR="00173AC1" w:rsidRPr="003331EF">
        <w:rPr>
          <w:iCs/>
          <w:spacing w:val="-5"/>
          <w:lang w:eastAsia="en-US"/>
        </w:rPr>
        <w:t>krüptovarateenuse</w:t>
      </w:r>
      <w:proofErr w:type="spellEnd"/>
      <w:r w:rsidR="00173AC1" w:rsidRPr="003331EF">
        <w:rPr>
          <w:iCs/>
          <w:spacing w:val="-5"/>
          <w:lang w:eastAsia="en-US"/>
        </w:rPr>
        <w:t xml:space="preserve"> osutajatele hakkaksid kohalduma samad hoolsusmeetmete riigisisesed erisused nagu </w:t>
      </w:r>
      <w:r w:rsidR="005E7406" w:rsidRPr="003331EF">
        <w:rPr>
          <w:iCs/>
          <w:spacing w:val="-5"/>
          <w:lang w:eastAsia="en-US"/>
        </w:rPr>
        <w:t>VASP-</w:t>
      </w:r>
      <w:proofErr w:type="spellStart"/>
      <w:r w:rsidR="005E7406" w:rsidRPr="003331EF">
        <w:rPr>
          <w:iCs/>
          <w:spacing w:val="-5"/>
          <w:lang w:eastAsia="en-US"/>
        </w:rPr>
        <w:t>le</w:t>
      </w:r>
      <w:proofErr w:type="spellEnd"/>
      <w:r w:rsidR="00173AC1" w:rsidRPr="003331EF">
        <w:rPr>
          <w:iCs/>
          <w:spacing w:val="-5"/>
          <w:lang w:eastAsia="en-US"/>
        </w:rPr>
        <w:t xml:space="preserve"> kohalduvad</w:t>
      </w:r>
      <w:r w:rsidR="006C704E" w:rsidRPr="003331EF">
        <w:rPr>
          <w:iCs/>
          <w:spacing w:val="-5"/>
          <w:lang w:eastAsia="en-US"/>
        </w:rPr>
        <w:t xml:space="preserve"> ja et samad erisused kohalduksid </w:t>
      </w:r>
      <w:r w:rsidR="005E7406" w:rsidRPr="003331EF">
        <w:rPr>
          <w:iCs/>
          <w:spacing w:val="-5"/>
          <w:lang w:eastAsia="en-US"/>
        </w:rPr>
        <w:t>VASP-</w:t>
      </w:r>
      <w:proofErr w:type="spellStart"/>
      <w:r w:rsidR="005E7406" w:rsidRPr="003331EF">
        <w:rPr>
          <w:iCs/>
          <w:spacing w:val="-5"/>
          <w:lang w:eastAsia="en-US"/>
        </w:rPr>
        <w:t>dele</w:t>
      </w:r>
      <w:proofErr w:type="spellEnd"/>
      <w:r w:rsidR="006C704E" w:rsidRPr="003331EF">
        <w:rPr>
          <w:iCs/>
          <w:spacing w:val="-5"/>
          <w:lang w:eastAsia="en-US"/>
        </w:rPr>
        <w:t xml:space="preserve"> kuni tegevuslubade kehtetuks muutumiseni.</w:t>
      </w:r>
    </w:p>
    <w:p w14:paraId="320E9D0A" w14:textId="77777777" w:rsidR="004E0AAA" w:rsidRPr="003331EF" w:rsidRDefault="004E0AAA" w:rsidP="003331EF">
      <w:pPr>
        <w:spacing w:before="0"/>
      </w:pPr>
    </w:p>
    <w:p w14:paraId="4BE03B13" w14:textId="1EF1321E" w:rsidR="007339D7" w:rsidRPr="003331EF" w:rsidRDefault="001A4507" w:rsidP="003331EF">
      <w:pPr>
        <w:pStyle w:val="Pealkiri2"/>
        <w:spacing w:before="0"/>
        <w:jc w:val="both"/>
        <w:rPr>
          <w:rFonts w:eastAsia="Times New Roman"/>
          <w:b w:val="0"/>
          <w:bCs w:val="0"/>
          <w:iCs/>
          <w:color w:val="auto"/>
          <w:spacing w:val="-5"/>
          <w:sz w:val="24"/>
          <w:szCs w:val="24"/>
        </w:rPr>
      </w:pPr>
      <w:r w:rsidRPr="003331EF">
        <w:rPr>
          <w:color w:val="auto"/>
          <w:sz w:val="24"/>
          <w:szCs w:val="24"/>
        </w:rPr>
        <w:lastRenderedPageBreak/>
        <w:t>Punkt</w:t>
      </w:r>
      <w:r w:rsidR="009D4C50" w:rsidRPr="003331EF">
        <w:rPr>
          <w:color w:val="auto"/>
          <w:sz w:val="24"/>
          <w:szCs w:val="24"/>
        </w:rPr>
        <w:t xml:space="preserve"> </w:t>
      </w:r>
      <w:r w:rsidR="007339D7" w:rsidRPr="003331EF">
        <w:rPr>
          <w:color w:val="auto"/>
          <w:sz w:val="24"/>
          <w:szCs w:val="24"/>
        </w:rPr>
        <w:t>1</w:t>
      </w:r>
      <w:r w:rsidR="006C704E" w:rsidRPr="003331EF">
        <w:rPr>
          <w:color w:val="auto"/>
          <w:sz w:val="24"/>
          <w:szCs w:val="24"/>
        </w:rPr>
        <w:t>5</w:t>
      </w:r>
      <w:r w:rsidR="009D4C50" w:rsidRPr="003331EF">
        <w:rPr>
          <w:color w:val="auto"/>
          <w:sz w:val="24"/>
          <w:szCs w:val="24"/>
        </w:rPr>
        <w:t xml:space="preserve">. </w:t>
      </w:r>
      <w:proofErr w:type="spellStart"/>
      <w:r w:rsidR="009D4C50" w:rsidRPr="003331EF">
        <w:rPr>
          <w:color w:val="auto"/>
          <w:sz w:val="24"/>
          <w:szCs w:val="24"/>
        </w:rPr>
        <w:t>RahaPTS</w:t>
      </w:r>
      <w:proofErr w:type="spellEnd"/>
      <w:r w:rsidR="009D4C50" w:rsidRPr="003331EF">
        <w:rPr>
          <w:color w:val="auto"/>
          <w:sz w:val="24"/>
          <w:szCs w:val="24"/>
        </w:rPr>
        <w:t xml:space="preserve"> § 36 lõike 2 muudatusega</w:t>
      </w:r>
      <w:r w:rsidR="007339D7" w:rsidRPr="003331EF">
        <w:rPr>
          <w:b w:val="0"/>
          <w:bCs w:val="0"/>
          <w:color w:val="auto"/>
          <w:sz w:val="24"/>
          <w:szCs w:val="24"/>
        </w:rPr>
        <w:t xml:space="preserve"> </w:t>
      </w:r>
      <w:r w:rsidR="007339D7" w:rsidRPr="003331EF">
        <w:rPr>
          <w:rFonts w:eastAsia="Times New Roman"/>
          <w:b w:val="0"/>
          <w:bCs w:val="0"/>
          <w:iCs/>
          <w:color w:val="auto"/>
          <w:spacing w:val="-5"/>
          <w:sz w:val="24"/>
          <w:szCs w:val="24"/>
        </w:rPr>
        <w:t xml:space="preserve">lisatakse suuremale riskile viitavate asjaolude loetellu </w:t>
      </w:r>
      <w:proofErr w:type="spellStart"/>
      <w:r w:rsidR="007339D7" w:rsidRPr="003331EF">
        <w:rPr>
          <w:rFonts w:eastAsia="Times New Roman"/>
          <w:b w:val="0"/>
          <w:bCs w:val="0"/>
          <w:iCs/>
          <w:color w:val="auto"/>
          <w:spacing w:val="-5"/>
          <w:sz w:val="24"/>
          <w:szCs w:val="24"/>
        </w:rPr>
        <w:t>krüptovara</w:t>
      </w:r>
      <w:proofErr w:type="spellEnd"/>
      <w:r w:rsidR="007339D7" w:rsidRPr="003331EF">
        <w:rPr>
          <w:rFonts w:eastAsia="Times New Roman"/>
          <w:b w:val="0"/>
          <w:bCs w:val="0"/>
          <w:iCs/>
          <w:color w:val="auto"/>
          <w:spacing w:val="-5"/>
          <w:sz w:val="24"/>
          <w:szCs w:val="24"/>
        </w:rPr>
        <w:t xml:space="preserve"> ülekandmise tehingud, mis on suunatud isehallatavale aadressile või pärinevad isehallatavalt aadressilt. Isehallatavate aadressi</w:t>
      </w:r>
      <w:r w:rsidR="00BE4954" w:rsidRPr="003331EF">
        <w:rPr>
          <w:rFonts w:eastAsia="Times New Roman"/>
          <w:b w:val="0"/>
          <w:bCs w:val="0"/>
          <w:iCs/>
          <w:color w:val="auto"/>
          <w:spacing w:val="-5"/>
          <w:sz w:val="24"/>
          <w:szCs w:val="24"/>
        </w:rPr>
        <w:t>d</w:t>
      </w:r>
      <w:r w:rsidR="007339D7" w:rsidRPr="003331EF">
        <w:rPr>
          <w:rFonts w:eastAsia="Times New Roman"/>
          <w:b w:val="0"/>
          <w:bCs w:val="0"/>
          <w:iCs/>
          <w:color w:val="auto"/>
          <w:spacing w:val="-5"/>
          <w:sz w:val="24"/>
          <w:szCs w:val="24"/>
        </w:rPr>
        <w:t>ega seonduvad potentsiaalselt suured riskid, mille maandamist raskendab ülesande regulatiivne ja tehnoloogiline keerukus.</w:t>
      </w:r>
      <w:r w:rsidR="00BE4954" w:rsidRPr="003331EF">
        <w:rPr>
          <w:rFonts w:eastAsia="Times New Roman"/>
          <w:b w:val="0"/>
          <w:bCs w:val="0"/>
          <w:iCs/>
          <w:color w:val="auto"/>
          <w:spacing w:val="-5"/>
          <w:sz w:val="24"/>
          <w:szCs w:val="24"/>
        </w:rPr>
        <w:t xml:space="preserve"> Euroopa Komisjon hindab 2026. aasta 1. juuliks vajadust täiendavate erimeetmete järele, et maandada riske, mida kujutavad endast ülekanded isehallatavatele aadressidele või isehallatavatelt aadressidelt või üksustele või üksustelt, mis ei ole asutatud liidus, sealhulgas võimalike piirangute kehtestamist, ning Euroopa Komisjon hindab selliste mehhanismide mõjusust ja proportsionaalsust, mida kasutatakse isehallatava aadressi omanditeabe õigsuse kontrollimiseks. Nii kaua, kui vastavaid hinnanguid pole</w:t>
      </w:r>
      <w:r w:rsidR="0021338A" w:rsidRPr="003331EF">
        <w:rPr>
          <w:rFonts w:eastAsia="Times New Roman"/>
          <w:b w:val="0"/>
          <w:bCs w:val="0"/>
          <w:iCs/>
          <w:color w:val="auto"/>
          <w:spacing w:val="-5"/>
          <w:sz w:val="24"/>
          <w:szCs w:val="24"/>
        </w:rPr>
        <w:t xml:space="preserve"> ega täpsustavaid regulatsioone pole</w:t>
      </w:r>
      <w:r w:rsidR="00BE4954" w:rsidRPr="003331EF">
        <w:rPr>
          <w:rFonts w:eastAsia="Times New Roman"/>
          <w:b w:val="0"/>
          <w:bCs w:val="0"/>
          <w:iCs/>
          <w:color w:val="auto"/>
          <w:spacing w:val="-5"/>
          <w:sz w:val="24"/>
          <w:szCs w:val="24"/>
        </w:rPr>
        <w:t xml:space="preserve">, tuleb kohelda isehallatavate aadressidega seonduvaid tehinguid kui </w:t>
      </w:r>
      <w:r w:rsidR="0021338A" w:rsidRPr="003331EF">
        <w:rPr>
          <w:rFonts w:eastAsia="Times New Roman"/>
          <w:b w:val="0"/>
          <w:bCs w:val="0"/>
          <w:iCs/>
          <w:color w:val="auto"/>
          <w:spacing w:val="-5"/>
          <w:sz w:val="24"/>
          <w:szCs w:val="24"/>
        </w:rPr>
        <w:t>tavapärasest kõrgema riskiga olukorda</w:t>
      </w:r>
      <w:r w:rsidR="00BE4954" w:rsidRPr="003331EF">
        <w:rPr>
          <w:rFonts w:eastAsia="Times New Roman"/>
          <w:b w:val="0"/>
          <w:bCs w:val="0"/>
          <w:iCs/>
          <w:color w:val="auto"/>
          <w:spacing w:val="-5"/>
          <w:sz w:val="24"/>
          <w:szCs w:val="24"/>
        </w:rPr>
        <w:t>, mille korral tuleb kasutusele võtta asjakohaseid riske maandavaid meetmeid.</w:t>
      </w:r>
      <w:r w:rsidR="006824A6" w:rsidRPr="003331EF">
        <w:rPr>
          <w:rFonts w:eastAsia="Times New Roman"/>
          <w:b w:val="0"/>
          <w:bCs w:val="0"/>
          <w:iCs/>
          <w:color w:val="auto"/>
          <w:spacing w:val="-5"/>
          <w:sz w:val="24"/>
          <w:szCs w:val="24"/>
        </w:rPr>
        <w:t xml:space="preserve"> Täiendavad hoolsusmeetmed on sätestatud §-des 38–40. Hoolsusmeetmete valik sõltub maandatava riski olemusest ja riskitasemest ning lõplik valik jääb kohustatud isikule, kes peab siinkohal rakendama riskipõhist lähenemist.</w:t>
      </w:r>
    </w:p>
    <w:p w14:paraId="66EC832F" w14:textId="77777777" w:rsidR="00BE4954" w:rsidRPr="003331EF" w:rsidRDefault="00BE4954" w:rsidP="003331EF">
      <w:pPr>
        <w:spacing w:before="0"/>
        <w:rPr>
          <w:lang w:eastAsia="en-US"/>
        </w:rPr>
      </w:pPr>
    </w:p>
    <w:p w14:paraId="0B92B4BB" w14:textId="5D35FFA9" w:rsidR="00BE4954" w:rsidRPr="003331EF" w:rsidRDefault="006824A6" w:rsidP="003331EF">
      <w:pPr>
        <w:spacing w:before="0"/>
        <w:rPr>
          <w:iCs/>
          <w:spacing w:val="-5"/>
          <w:lang w:eastAsia="en-US"/>
        </w:rPr>
      </w:pPr>
      <w:r w:rsidRPr="003331EF">
        <w:rPr>
          <w:b/>
          <w:bCs/>
          <w:lang w:eastAsia="en-US"/>
        </w:rPr>
        <w:t>Punkt 1</w:t>
      </w:r>
      <w:r w:rsidR="006C704E" w:rsidRPr="003331EF">
        <w:rPr>
          <w:b/>
          <w:bCs/>
          <w:lang w:eastAsia="en-US"/>
        </w:rPr>
        <w:t>6</w:t>
      </w:r>
      <w:r w:rsidR="009D4C50" w:rsidRPr="003331EF">
        <w:rPr>
          <w:b/>
          <w:bCs/>
          <w:lang w:eastAsia="en-US"/>
        </w:rPr>
        <w:t xml:space="preserve">. </w:t>
      </w:r>
      <w:proofErr w:type="spellStart"/>
      <w:r w:rsidR="009D4C50" w:rsidRPr="003331EF">
        <w:rPr>
          <w:b/>
          <w:bCs/>
          <w:lang w:eastAsia="en-US"/>
        </w:rPr>
        <w:t>RahaPTS</w:t>
      </w:r>
      <w:proofErr w:type="spellEnd"/>
      <w:r w:rsidR="009D4C50" w:rsidRPr="003331EF">
        <w:rPr>
          <w:b/>
          <w:bCs/>
          <w:lang w:eastAsia="en-US"/>
        </w:rPr>
        <w:t xml:space="preserve"> § 38 muudatusega</w:t>
      </w:r>
      <w:r w:rsidRPr="003331EF">
        <w:rPr>
          <w:b/>
          <w:bCs/>
          <w:lang w:eastAsia="en-US"/>
        </w:rPr>
        <w:t xml:space="preserve"> </w:t>
      </w:r>
      <w:r w:rsidRPr="003331EF">
        <w:rPr>
          <w:iCs/>
          <w:spacing w:val="-5"/>
          <w:lang w:eastAsia="en-US"/>
        </w:rPr>
        <w:t xml:space="preserve">lisatakse täiendavate hoolsusmeetmete loetellu täiendava teabe kogumine ülekantud </w:t>
      </w:r>
      <w:proofErr w:type="spellStart"/>
      <w:r w:rsidRPr="003331EF">
        <w:rPr>
          <w:iCs/>
          <w:spacing w:val="-5"/>
          <w:lang w:eastAsia="en-US"/>
        </w:rPr>
        <w:t>krüptovara</w:t>
      </w:r>
      <w:proofErr w:type="spellEnd"/>
      <w:r w:rsidRPr="003331EF">
        <w:rPr>
          <w:iCs/>
          <w:spacing w:val="-5"/>
          <w:lang w:eastAsia="en-US"/>
        </w:rPr>
        <w:t xml:space="preserve"> päritolu ja sihtkoha kohta, mida teenuspakkuja saaks kasutada, kui ilmneb tavapärasest kõrgem rahapesu ja/või terrorismi rahastamise risk seoses </w:t>
      </w:r>
      <w:proofErr w:type="spellStart"/>
      <w:r w:rsidRPr="003331EF">
        <w:rPr>
          <w:iCs/>
          <w:spacing w:val="-5"/>
          <w:lang w:eastAsia="en-US"/>
        </w:rPr>
        <w:t>krüptovaraülekannetega</w:t>
      </w:r>
      <w:proofErr w:type="spellEnd"/>
      <w:r w:rsidRPr="003331EF">
        <w:rPr>
          <w:iCs/>
          <w:spacing w:val="-5"/>
          <w:lang w:eastAsia="en-US"/>
        </w:rPr>
        <w:t>.</w:t>
      </w:r>
    </w:p>
    <w:p w14:paraId="7A97ED13" w14:textId="77777777" w:rsidR="00346D87" w:rsidRPr="003331EF" w:rsidRDefault="00346D87" w:rsidP="003331EF">
      <w:pPr>
        <w:spacing w:before="0"/>
        <w:rPr>
          <w:lang w:eastAsia="en-US"/>
        </w:rPr>
      </w:pPr>
    </w:p>
    <w:p w14:paraId="659A8458" w14:textId="60971EA8" w:rsidR="0074284D" w:rsidRPr="003331EF" w:rsidRDefault="00346D87" w:rsidP="003331EF">
      <w:pPr>
        <w:spacing w:before="0"/>
        <w:rPr>
          <w:iCs/>
          <w:spacing w:val="-5"/>
          <w:lang w:eastAsia="en-US"/>
        </w:rPr>
      </w:pPr>
      <w:r w:rsidRPr="003331EF">
        <w:rPr>
          <w:b/>
          <w:bCs/>
          <w:lang w:eastAsia="en-US"/>
        </w:rPr>
        <w:t>Punktiga 1</w:t>
      </w:r>
      <w:r w:rsidR="006C704E" w:rsidRPr="003331EF">
        <w:rPr>
          <w:b/>
          <w:bCs/>
          <w:lang w:eastAsia="en-US"/>
        </w:rPr>
        <w:t>7</w:t>
      </w:r>
      <w:r w:rsidRPr="003331EF">
        <w:rPr>
          <w:b/>
          <w:bCs/>
          <w:lang w:eastAsia="en-US"/>
        </w:rPr>
        <w:t xml:space="preserve"> </w:t>
      </w:r>
      <w:r w:rsidRPr="003331EF">
        <w:rPr>
          <w:iCs/>
          <w:spacing w:val="-5"/>
          <w:lang w:eastAsia="en-US"/>
        </w:rPr>
        <w:t xml:space="preserve">lisatakse </w:t>
      </w:r>
      <w:proofErr w:type="spellStart"/>
      <w:r w:rsidRPr="003331EF">
        <w:rPr>
          <w:iCs/>
          <w:spacing w:val="-5"/>
          <w:lang w:eastAsia="en-US"/>
        </w:rPr>
        <w:t>krüptovara</w:t>
      </w:r>
      <w:proofErr w:type="spellEnd"/>
      <w:r w:rsidRPr="003331EF">
        <w:rPr>
          <w:iCs/>
          <w:spacing w:val="-5"/>
          <w:lang w:eastAsia="en-US"/>
        </w:rPr>
        <w:t xml:space="preserve"> teenuse osutajatele kohustus arvestada täiendavate hoolsusmeetmete valikul ja kohaldamisel asjakohaste</w:t>
      </w:r>
      <w:r w:rsidR="00095459" w:rsidRPr="003331EF">
        <w:rPr>
          <w:iCs/>
          <w:spacing w:val="-5"/>
          <w:lang w:eastAsia="en-US"/>
        </w:rPr>
        <w:t xml:space="preserve"> Euroopa Pangandusjärelevalve Asutuse</w:t>
      </w:r>
      <w:r w:rsidRPr="003331EF">
        <w:rPr>
          <w:iCs/>
          <w:spacing w:val="-5"/>
          <w:lang w:eastAsia="en-US"/>
        </w:rPr>
        <w:t xml:space="preserve"> </w:t>
      </w:r>
      <w:r w:rsidR="00095459" w:rsidRPr="003331EF">
        <w:rPr>
          <w:iCs/>
          <w:spacing w:val="-5"/>
          <w:lang w:eastAsia="en-US"/>
        </w:rPr>
        <w:t>(</w:t>
      </w:r>
      <w:r w:rsidRPr="003331EF">
        <w:rPr>
          <w:iCs/>
          <w:spacing w:val="-5"/>
          <w:lang w:eastAsia="en-US"/>
        </w:rPr>
        <w:t>EBA</w:t>
      </w:r>
      <w:r w:rsidR="00095459" w:rsidRPr="003331EF">
        <w:rPr>
          <w:iCs/>
          <w:spacing w:val="-5"/>
          <w:lang w:eastAsia="en-US"/>
        </w:rPr>
        <w:t>)</w:t>
      </w:r>
      <w:r w:rsidRPr="003331EF">
        <w:rPr>
          <w:iCs/>
          <w:spacing w:val="-5"/>
          <w:lang w:eastAsia="en-US"/>
        </w:rPr>
        <w:t xml:space="preserve"> suunistega. Lisaks peab § 38 lõike viis kohaselt finantseerimisasutus arvestama EBA suunistega riskifaktorite kohta. </w:t>
      </w:r>
      <w:r w:rsidR="0074284D" w:rsidRPr="003331EF">
        <w:rPr>
          <w:iCs/>
          <w:spacing w:val="-5"/>
          <w:lang w:eastAsia="en-US"/>
        </w:rPr>
        <w:t>EBA annab hiljemalt 30. detsembriks 2024</w:t>
      </w:r>
      <w:r w:rsidR="00492C10" w:rsidRPr="003331EF">
        <w:rPr>
          <w:iCs/>
          <w:spacing w:val="-5"/>
          <w:lang w:eastAsia="en-US"/>
        </w:rPr>
        <w:t>. a</w:t>
      </w:r>
      <w:r w:rsidR="0074284D" w:rsidRPr="003331EF">
        <w:rPr>
          <w:iCs/>
          <w:spacing w:val="-5"/>
          <w:lang w:eastAsia="en-US"/>
        </w:rPr>
        <w:t xml:space="preserve"> välja: </w:t>
      </w:r>
    </w:p>
    <w:p w14:paraId="5EE89C2F" w14:textId="6CE918D9" w:rsidR="0074284D" w:rsidRPr="003331EF" w:rsidRDefault="0074284D" w:rsidP="003331EF">
      <w:pPr>
        <w:pStyle w:val="Loendilik"/>
        <w:numPr>
          <w:ilvl w:val="0"/>
          <w:numId w:val="48"/>
        </w:numPr>
        <w:jc w:val="both"/>
        <w:rPr>
          <w:iCs/>
          <w:spacing w:val="-5"/>
        </w:rPr>
      </w:pPr>
      <w:r w:rsidRPr="003331EF">
        <w:rPr>
          <w:iCs/>
          <w:spacing w:val="-5"/>
        </w:rPr>
        <w:t xml:space="preserve">suunised riskimuutujate ja riskitegurite kohta, mida </w:t>
      </w:r>
      <w:proofErr w:type="spellStart"/>
      <w:r w:rsidRPr="003331EF">
        <w:rPr>
          <w:iCs/>
          <w:spacing w:val="-5"/>
        </w:rPr>
        <w:t>krüptovarateenuse</w:t>
      </w:r>
      <w:proofErr w:type="spellEnd"/>
      <w:r w:rsidRPr="003331EF">
        <w:rPr>
          <w:iCs/>
          <w:spacing w:val="-5"/>
        </w:rPr>
        <w:t xml:space="preserve"> osutajad peavad arvesse võtma ärisuhete loomisel või </w:t>
      </w:r>
      <w:proofErr w:type="spellStart"/>
      <w:r w:rsidRPr="003331EF">
        <w:rPr>
          <w:iCs/>
          <w:spacing w:val="-5"/>
        </w:rPr>
        <w:t>krüptovaratehingute</w:t>
      </w:r>
      <w:proofErr w:type="spellEnd"/>
      <w:r w:rsidRPr="003331EF">
        <w:rPr>
          <w:iCs/>
          <w:spacing w:val="-5"/>
        </w:rPr>
        <w:t xml:space="preserve"> tegemisel;</w:t>
      </w:r>
    </w:p>
    <w:p w14:paraId="449CDA5D" w14:textId="305EBE03" w:rsidR="0074284D" w:rsidRPr="003331EF" w:rsidRDefault="0074284D" w:rsidP="003331EF">
      <w:pPr>
        <w:pStyle w:val="Loendilik"/>
        <w:numPr>
          <w:ilvl w:val="0"/>
          <w:numId w:val="48"/>
        </w:numPr>
        <w:jc w:val="both"/>
        <w:rPr>
          <w:iCs/>
          <w:spacing w:val="-5"/>
        </w:rPr>
      </w:pPr>
      <w:r w:rsidRPr="003331EF">
        <w:rPr>
          <w:iCs/>
          <w:spacing w:val="-5"/>
        </w:rPr>
        <w:t xml:space="preserve">suunised, et täpsustada </w:t>
      </w:r>
      <w:proofErr w:type="spellStart"/>
      <w:r w:rsidRPr="003331EF">
        <w:rPr>
          <w:iCs/>
          <w:spacing w:val="-5"/>
        </w:rPr>
        <w:t>krüptovarateenuse</w:t>
      </w:r>
      <w:proofErr w:type="spellEnd"/>
      <w:r w:rsidRPr="003331EF">
        <w:rPr>
          <w:iCs/>
          <w:spacing w:val="-5"/>
        </w:rPr>
        <w:t xml:space="preserve"> osutaja rakendatavaid hoolsusmeetmeid, sealhulgas kriteeriume ja vahendeid isehallatavale aadressile suunatud või sealt pärineva ülekande algataja või saaja isikusamasuse kindlakstegemiseks ja kontrollimiseks, eelkõige kolmandate isikute abil, võttes arvesse </w:t>
      </w:r>
      <w:proofErr w:type="spellStart"/>
      <w:r w:rsidRPr="003331EF">
        <w:rPr>
          <w:iCs/>
          <w:spacing w:val="-5"/>
        </w:rPr>
        <w:t>uusimat</w:t>
      </w:r>
      <w:proofErr w:type="spellEnd"/>
      <w:r w:rsidRPr="003331EF">
        <w:rPr>
          <w:iCs/>
          <w:spacing w:val="-5"/>
        </w:rPr>
        <w:t xml:space="preserve"> tehnoloogilist arengut;</w:t>
      </w:r>
    </w:p>
    <w:p w14:paraId="2A77DC94" w14:textId="599A1881" w:rsidR="0074284D" w:rsidRPr="003331EF" w:rsidRDefault="0074284D" w:rsidP="003331EF">
      <w:pPr>
        <w:pStyle w:val="Loendilik"/>
        <w:numPr>
          <w:ilvl w:val="0"/>
          <w:numId w:val="48"/>
        </w:numPr>
        <w:jc w:val="both"/>
        <w:rPr>
          <w:iCs/>
          <w:spacing w:val="-5"/>
        </w:rPr>
      </w:pPr>
      <w:r w:rsidRPr="003331EF">
        <w:rPr>
          <w:iCs/>
          <w:spacing w:val="-5"/>
        </w:rPr>
        <w:t xml:space="preserve">suunised, milles täpsustatakse, kuidas kohaldatakse kliendi suhtes rakendatavaid tõhustatud hoolsusmeetmeid, kui kohustatud isikud osutavad </w:t>
      </w:r>
      <w:proofErr w:type="spellStart"/>
      <w:r w:rsidRPr="003331EF">
        <w:rPr>
          <w:iCs/>
          <w:spacing w:val="-5"/>
        </w:rPr>
        <w:t>krüptovaraülekandeid</w:t>
      </w:r>
      <w:proofErr w:type="spellEnd"/>
      <w:r w:rsidRPr="003331EF">
        <w:rPr>
          <w:iCs/>
          <w:spacing w:val="-5"/>
        </w:rPr>
        <w:t>, sh kuidas ja millal saavad kohustatud isikud täiendavat teavet tehingu algataja ja saaja kohta.</w:t>
      </w:r>
    </w:p>
    <w:p w14:paraId="1D4FC1BF" w14:textId="77777777" w:rsidR="00095459" w:rsidRPr="003331EF" w:rsidRDefault="00095459" w:rsidP="003331EF">
      <w:pPr>
        <w:pStyle w:val="Loendilik"/>
        <w:ind w:left="360"/>
        <w:jc w:val="both"/>
        <w:rPr>
          <w:iCs/>
          <w:spacing w:val="-5"/>
        </w:rPr>
      </w:pPr>
    </w:p>
    <w:p w14:paraId="52131601" w14:textId="5FFB2707" w:rsidR="00A6052B" w:rsidRPr="003331EF" w:rsidRDefault="0074284D" w:rsidP="003331EF">
      <w:pPr>
        <w:spacing w:before="0"/>
        <w:rPr>
          <w:iCs/>
          <w:spacing w:val="-5"/>
          <w:lang w:eastAsia="en-US"/>
        </w:rPr>
      </w:pPr>
      <w:r w:rsidRPr="003331EF">
        <w:rPr>
          <w:iCs/>
          <w:spacing w:val="-5"/>
          <w:lang w:eastAsia="en-US"/>
        </w:rPr>
        <w:t>EBA pea</w:t>
      </w:r>
      <w:r w:rsidR="00986391" w:rsidRPr="003331EF">
        <w:rPr>
          <w:iCs/>
          <w:spacing w:val="-5"/>
          <w:lang w:eastAsia="en-US"/>
        </w:rPr>
        <w:t>b</w:t>
      </w:r>
      <w:r w:rsidRPr="003331EF">
        <w:rPr>
          <w:iCs/>
          <w:spacing w:val="-5"/>
          <w:lang w:eastAsia="en-US"/>
        </w:rPr>
        <w:t xml:space="preserve"> riskimuutujate ja riskitegurite kohta käivates suunistes selgitama eelkõige, kuidas </w:t>
      </w:r>
      <w:proofErr w:type="spellStart"/>
      <w:r w:rsidRPr="003331EF">
        <w:rPr>
          <w:iCs/>
          <w:spacing w:val="-5"/>
          <w:lang w:eastAsia="en-US"/>
        </w:rPr>
        <w:t>krüptovarateenuse</w:t>
      </w:r>
      <w:proofErr w:type="spellEnd"/>
      <w:r w:rsidRPr="003331EF">
        <w:rPr>
          <w:iCs/>
          <w:spacing w:val="-5"/>
          <w:lang w:eastAsia="en-US"/>
        </w:rPr>
        <w:t xml:space="preserve"> osutajad peavad arvesse võtma riskitegureid, sealhulgas tehingute tegemisel isikute ja üksustega, kes ei ole rahapesu tõkestamise direktiiviga/</w:t>
      </w:r>
      <w:proofErr w:type="spellStart"/>
      <w:r w:rsidRPr="003331EF">
        <w:rPr>
          <w:iCs/>
          <w:spacing w:val="-5"/>
          <w:lang w:eastAsia="en-US"/>
        </w:rPr>
        <w:t>RahaPTS</w:t>
      </w:r>
      <w:proofErr w:type="spellEnd"/>
      <w:r w:rsidRPr="003331EF">
        <w:rPr>
          <w:iCs/>
          <w:spacing w:val="-5"/>
          <w:lang w:eastAsia="en-US"/>
        </w:rPr>
        <w:t xml:space="preserve">-iga hõlmatud. Selleks peab EBA pöörama erilist tähelepanu toodetele, tehingutele ja tehnoloogiatele, mis võivad soodustada anonüümsust, näiteks privaatsust tagavad rahakotid, mikserid ja segistid. Suurema riskiga olukordade tuvastamise korral nähakse suunistes ette tõhustatud hoolsusmeetmed, mille kohaldamist peavad kohustatud isikud selliste riskide maandamiseks kaaluma, sealhulgas asjakohaste protseduuride kehtestamine </w:t>
      </w:r>
      <w:proofErr w:type="spellStart"/>
      <w:r w:rsidRPr="003331EF">
        <w:rPr>
          <w:iCs/>
          <w:spacing w:val="-5"/>
          <w:lang w:eastAsia="en-US"/>
        </w:rPr>
        <w:t>krüptovara</w:t>
      </w:r>
      <w:proofErr w:type="spellEnd"/>
      <w:r w:rsidRPr="003331EF">
        <w:rPr>
          <w:iCs/>
          <w:spacing w:val="-5"/>
          <w:lang w:eastAsia="en-US"/>
        </w:rPr>
        <w:t xml:space="preserve"> päritolu või sihtkoha kindlakstegemiseks.</w:t>
      </w:r>
    </w:p>
    <w:p w14:paraId="63F7C07B" w14:textId="77777777" w:rsidR="00A6052B" w:rsidRPr="003331EF" w:rsidRDefault="00A6052B" w:rsidP="003331EF">
      <w:pPr>
        <w:spacing w:before="0"/>
      </w:pPr>
    </w:p>
    <w:p w14:paraId="76083197" w14:textId="075E7D9F" w:rsidR="00346D87" w:rsidRPr="003331EF" w:rsidRDefault="00095459" w:rsidP="003331EF">
      <w:pPr>
        <w:spacing w:before="0"/>
        <w:rPr>
          <w:iCs/>
          <w:spacing w:val="-5"/>
          <w:lang w:eastAsia="en-US"/>
        </w:rPr>
      </w:pPr>
      <w:r w:rsidRPr="003331EF">
        <w:rPr>
          <w:iCs/>
          <w:spacing w:val="-5"/>
          <w:lang w:eastAsia="en-US"/>
        </w:rPr>
        <w:t>TFR määruse</w:t>
      </w:r>
      <w:r w:rsidR="00346D87" w:rsidRPr="003331EF">
        <w:rPr>
          <w:iCs/>
          <w:spacing w:val="-5"/>
          <w:lang w:eastAsia="en-US"/>
        </w:rPr>
        <w:t xml:space="preserve"> põhjenduspunktis on selgitatud, et teatavate </w:t>
      </w:r>
      <w:proofErr w:type="spellStart"/>
      <w:r w:rsidR="00346D87" w:rsidRPr="003331EF">
        <w:rPr>
          <w:iCs/>
          <w:spacing w:val="-5"/>
          <w:lang w:eastAsia="en-US"/>
        </w:rPr>
        <w:t>krüptovaraülekannetega</w:t>
      </w:r>
      <w:proofErr w:type="spellEnd"/>
      <w:r w:rsidR="00346D87" w:rsidRPr="003331EF">
        <w:rPr>
          <w:iCs/>
          <w:spacing w:val="-5"/>
          <w:lang w:eastAsia="en-US"/>
        </w:rPr>
        <w:t xml:space="preserve">, eelkõige nendega, mis on seotud anonüümsuse suurendamiseks kavandatud toodete, tehingute või tehnoloogiatega, sealhulgas privaatsust tagavad rahakotid, mikserid või segistid, kaasnevad spetsiifilised rahapesu, terrorismi rahastamise ja muu kuritegevuse suurele riskile osutavad tegurid. Selliste ülekannete jälgitavuse tagamiseks peaks EBA eelkõige selgitama, kuidas </w:t>
      </w:r>
      <w:proofErr w:type="spellStart"/>
      <w:r w:rsidR="00346D87" w:rsidRPr="003331EF">
        <w:rPr>
          <w:iCs/>
          <w:spacing w:val="-5"/>
          <w:lang w:eastAsia="en-US"/>
        </w:rPr>
        <w:t>krüptovarateenuse</w:t>
      </w:r>
      <w:proofErr w:type="spellEnd"/>
      <w:r w:rsidR="00346D87" w:rsidRPr="003331EF">
        <w:rPr>
          <w:iCs/>
          <w:spacing w:val="-5"/>
          <w:lang w:eastAsia="en-US"/>
        </w:rPr>
        <w:t xml:space="preserve"> osutajad peavad arvesse võtma riskitegureid, sealhulgas tehingute tegemisel liiduväliste üksustega, kes ei ole reguleeritud, registreeritud ega oma tegevusluba üheski kolmandas riigis, või isehallatavate aadressidega. Kui tehakse kindlaks suurema riskiga olukorrad, peaks EBA andma välja suunised, milles täpsustatakse, milliste tõhustatud hoolsusmeetmete kohaldamist peaksid kohustatud isikud </w:t>
      </w:r>
      <w:r w:rsidR="00346D87" w:rsidRPr="003331EF">
        <w:rPr>
          <w:iCs/>
          <w:spacing w:val="-5"/>
          <w:lang w:eastAsia="en-US"/>
        </w:rPr>
        <w:lastRenderedPageBreak/>
        <w:t xml:space="preserve">selliste riskide maandamiseks kaaluma, sealhulgas selliste asjakohaste menetluste vastuvõtmine nagu hajusraamatu tehnoloogia analüütiliste vahendite kasutamine, et teha kindlaks </w:t>
      </w:r>
      <w:proofErr w:type="spellStart"/>
      <w:r w:rsidR="00346D87" w:rsidRPr="003331EF">
        <w:rPr>
          <w:iCs/>
          <w:spacing w:val="-5"/>
          <w:lang w:eastAsia="en-US"/>
        </w:rPr>
        <w:t>krüptovara</w:t>
      </w:r>
      <w:proofErr w:type="spellEnd"/>
      <w:r w:rsidR="00346D87" w:rsidRPr="003331EF">
        <w:rPr>
          <w:iCs/>
          <w:spacing w:val="-5"/>
          <w:lang w:eastAsia="en-US"/>
        </w:rPr>
        <w:t xml:space="preserve"> päritolu või sihtkoht.</w:t>
      </w:r>
    </w:p>
    <w:p w14:paraId="399204D6" w14:textId="77777777" w:rsidR="0074284D" w:rsidRPr="003331EF" w:rsidRDefault="0074284D" w:rsidP="003331EF">
      <w:pPr>
        <w:spacing w:before="0"/>
        <w:rPr>
          <w:iCs/>
          <w:spacing w:val="-5"/>
          <w:lang w:eastAsia="en-US"/>
        </w:rPr>
      </w:pPr>
    </w:p>
    <w:p w14:paraId="1321F731" w14:textId="013D933D" w:rsidR="0074284D" w:rsidRPr="003331EF" w:rsidRDefault="0074284D" w:rsidP="003331EF">
      <w:pPr>
        <w:spacing w:before="0"/>
        <w:rPr>
          <w:iCs/>
          <w:spacing w:val="-5"/>
          <w:lang w:eastAsia="en-US"/>
        </w:rPr>
      </w:pPr>
      <w:r w:rsidRPr="003331EF">
        <w:rPr>
          <w:iCs/>
          <w:spacing w:val="-5"/>
          <w:lang w:eastAsia="en-US"/>
        </w:rPr>
        <w:t>Ülal kirjeldatu viitab, et EBA koostatavad suunised on sisult laiemad ja hõlmavad lisaks riskiteguritele ka näiteks hoolsusmeetmete valikut</w:t>
      </w:r>
      <w:r w:rsidR="00177BEA" w:rsidRPr="003331EF">
        <w:rPr>
          <w:iCs/>
          <w:spacing w:val="-5"/>
          <w:lang w:eastAsia="en-US"/>
        </w:rPr>
        <w:t xml:space="preserve">, mille tõttu on vaja kehtestada eraldi säte, et tagada </w:t>
      </w:r>
      <w:proofErr w:type="spellStart"/>
      <w:r w:rsidR="00177BEA" w:rsidRPr="003331EF">
        <w:rPr>
          <w:iCs/>
          <w:spacing w:val="-5"/>
          <w:lang w:eastAsia="en-US"/>
        </w:rPr>
        <w:t>krüptovarateenuse</w:t>
      </w:r>
      <w:proofErr w:type="spellEnd"/>
      <w:r w:rsidR="00177BEA" w:rsidRPr="003331EF">
        <w:rPr>
          <w:iCs/>
          <w:spacing w:val="-5"/>
          <w:lang w:eastAsia="en-US"/>
        </w:rPr>
        <w:t xml:space="preserve"> osutajate</w:t>
      </w:r>
      <w:r w:rsidR="00986391" w:rsidRPr="003331EF">
        <w:rPr>
          <w:iCs/>
          <w:spacing w:val="-5"/>
          <w:lang w:eastAsia="en-US"/>
        </w:rPr>
        <w:t xml:space="preserve"> tegevuse</w:t>
      </w:r>
      <w:r w:rsidR="00177BEA" w:rsidRPr="003331EF">
        <w:rPr>
          <w:iCs/>
          <w:spacing w:val="-5"/>
          <w:lang w:eastAsia="en-US"/>
        </w:rPr>
        <w:t xml:space="preserve"> igakülgne vastavus EBA </w:t>
      </w:r>
      <w:r w:rsidR="00986391" w:rsidRPr="003331EF">
        <w:rPr>
          <w:iCs/>
          <w:spacing w:val="-5"/>
          <w:lang w:eastAsia="en-US"/>
        </w:rPr>
        <w:t>suunistele</w:t>
      </w:r>
      <w:r w:rsidR="00177BEA" w:rsidRPr="003331EF">
        <w:rPr>
          <w:iCs/>
          <w:spacing w:val="-5"/>
          <w:lang w:eastAsia="en-US"/>
        </w:rPr>
        <w:t>.</w:t>
      </w:r>
    </w:p>
    <w:p w14:paraId="036BE26F" w14:textId="77777777" w:rsidR="00177BEA" w:rsidRPr="003331EF" w:rsidRDefault="00177BEA" w:rsidP="003331EF">
      <w:pPr>
        <w:spacing w:before="0"/>
        <w:rPr>
          <w:lang w:eastAsia="en-US"/>
        </w:rPr>
      </w:pPr>
    </w:p>
    <w:p w14:paraId="0A750943" w14:textId="1EAF788E" w:rsidR="00177BEA" w:rsidRPr="003331EF" w:rsidRDefault="00177BEA" w:rsidP="003331EF">
      <w:pPr>
        <w:spacing w:before="0"/>
        <w:rPr>
          <w:lang w:eastAsia="en-US"/>
        </w:rPr>
      </w:pPr>
      <w:r w:rsidRPr="003331EF">
        <w:rPr>
          <w:b/>
          <w:bCs/>
          <w:lang w:eastAsia="en-US"/>
        </w:rPr>
        <w:t>Punktiga 1</w:t>
      </w:r>
      <w:r w:rsidR="006C704E" w:rsidRPr="003331EF">
        <w:rPr>
          <w:b/>
          <w:bCs/>
          <w:lang w:eastAsia="en-US"/>
        </w:rPr>
        <w:t>8</w:t>
      </w:r>
      <w:r w:rsidRPr="003331EF">
        <w:rPr>
          <w:b/>
          <w:bCs/>
          <w:lang w:eastAsia="en-US"/>
        </w:rPr>
        <w:t xml:space="preserve"> </w:t>
      </w:r>
      <w:r w:rsidRPr="003331EF">
        <w:rPr>
          <w:b/>
          <w:bCs/>
        </w:rPr>
        <w:t xml:space="preserve">tehakse </w:t>
      </w:r>
      <w:proofErr w:type="spellStart"/>
      <w:r w:rsidR="009D4C50" w:rsidRPr="003331EF">
        <w:rPr>
          <w:b/>
          <w:bCs/>
        </w:rPr>
        <w:t>RahaPTS</w:t>
      </w:r>
      <w:proofErr w:type="spellEnd"/>
      <w:r w:rsidR="009D4C50" w:rsidRPr="003331EF">
        <w:rPr>
          <w:b/>
          <w:bCs/>
        </w:rPr>
        <w:t xml:space="preserve"> § 40 lõike 1 punktis 5</w:t>
      </w:r>
      <w:r w:rsidR="009D4C50" w:rsidRPr="003331EF">
        <w:t xml:space="preserve"> </w:t>
      </w:r>
      <w:r w:rsidRPr="003331EF">
        <w:rPr>
          <w:iCs/>
          <w:spacing w:val="-5"/>
          <w:lang w:eastAsia="en-US"/>
        </w:rPr>
        <w:t>tehniline parandus, lisades lause lõppu sõna „andmed“. Kehtiva sõnastuse kohaselt oleks pidanud krediidiasutus või finantseerimisasutus olema suuteline esitama taotluse korral asjakohased kliendisuhtes rakendatavad hoolsusmeetmed, kuid tegelikult oli silmas peetud, et esitada tuleb andmed teostatud hoolsusteemete kohta.</w:t>
      </w:r>
    </w:p>
    <w:p w14:paraId="551122EB" w14:textId="77777777" w:rsidR="00177BEA" w:rsidRPr="003331EF" w:rsidRDefault="00177BEA" w:rsidP="003331EF">
      <w:pPr>
        <w:spacing w:before="0"/>
        <w:rPr>
          <w:lang w:eastAsia="en-US"/>
        </w:rPr>
      </w:pPr>
    </w:p>
    <w:p w14:paraId="06887F0A" w14:textId="39D8B535" w:rsidR="00177BEA" w:rsidRPr="003331EF" w:rsidRDefault="00177BEA" w:rsidP="003331EF">
      <w:pPr>
        <w:spacing w:before="0"/>
        <w:rPr>
          <w:lang w:eastAsia="en-US"/>
        </w:rPr>
      </w:pPr>
      <w:r w:rsidRPr="003331EF">
        <w:rPr>
          <w:b/>
          <w:bCs/>
          <w:lang w:eastAsia="en-US"/>
        </w:rPr>
        <w:t>Punktiga 1</w:t>
      </w:r>
      <w:r w:rsidR="006C704E" w:rsidRPr="003331EF">
        <w:rPr>
          <w:b/>
          <w:bCs/>
          <w:lang w:eastAsia="en-US"/>
        </w:rPr>
        <w:t>9</w:t>
      </w:r>
      <w:r w:rsidRPr="003331EF">
        <w:rPr>
          <w:lang w:eastAsia="en-US"/>
        </w:rPr>
        <w:t xml:space="preserve"> </w:t>
      </w:r>
      <w:r w:rsidRPr="003331EF">
        <w:rPr>
          <w:b/>
          <w:bCs/>
        </w:rPr>
        <w:t>sätestatakse</w:t>
      </w:r>
      <w:r w:rsidR="009D4C50" w:rsidRPr="003331EF">
        <w:rPr>
          <w:b/>
          <w:bCs/>
        </w:rPr>
        <w:t xml:space="preserve"> </w:t>
      </w:r>
      <w:proofErr w:type="spellStart"/>
      <w:r w:rsidR="009D4C50" w:rsidRPr="003331EF">
        <w:rPr>
          <w:b/>
          <w:bCs/>
        </w:rPr>
        <w:t>RahaPTS</w:t>
      </w:r>
      <w:proofErr w:type="spellEnd"/>
      <w:r w:rsidR="009D4C50" w:rsidRPr="003331EF">
        <w:rPr>
          <w:b/>
          <w:bCs/>
        </w:rPr>
        <w:t xml:space="preserve"> §-s 40</w:t>
      </w:r>
      <w:r w:rsidRPr="003331EF">
        <w:t xml:space="preserve">, </w:t>
      </w:r>
      <w:r w:rsidRPr="003331EF">
        <w:rPr>
          <w:iCs/>
          <w:spacing w:val="-5"/>
          <w:lang w:eastAsia="en-US"/>
        </w:rPr>
        <w:t xml:space="preserve">et </w:t>
      </w:r>
      <w:proofErr w:type="spellStart"/>
      <w:r w:rsidRPr="003331EF">
        <w:rPr>
          <w:iCs/>
          <w:spacing w:val="-5"/>
          <w:lang w:eastAsia="en-US"/>
        </w:rPr>
        <w:t>krüptovara</w:t>
      </w:r>
      <w:proofErr w:type="spellEnd"/>
      <w:r w:rsidRPr="003331EF">
        <w:rPr>
          <w:iCs/>
          <w:spacing w:val="-5"/>
          <w:lang w:eastAsia="en-US"/>
        </w:rPr>
        <w:t xml:space="preserve"> teenuse osutaja teeb kindlaks, kas respondentasutuseks olev </w:t>
      </w:r>
      <w:proofErr w:type="spellStart"/>
      <w:r w:rsidRPr="003331EF">
        <w:rPr>
          <w:iCs/>
          <w:spacing w:val="-5"/>
          <w:lang w:eastAsia="en-US"/>
        </w:rPr>
        <w:t>krüptovara</w:t>
      </w:r>
      <w:proofErr w:type="spellEnd"/>
      <w:r w:rsidRPr="003331EF">
        <w:rPr>
          <w:iCs/>
          <w:spacing w:val="-5"/>
          <w:lang w:eastAsia="en-US"/>
        </w:rPr>
        <w:t xml:space="preserve"> teenuse osutajal on tegevusluba või kas ta on registreeritud, kui kliendiks olev </w:t>
      </w:r>
      <w:proofErr w:type="spellStart"/>
      <w:r w:rsidRPr="003331EF">
        <w:rPr>
          <w:iCs/>
          <w:spacing w:val="-5"/>
          <w:lang w:eastAsia="en-US"/>
        </w:rPr>
        <w:t>k</w:t>
      </w:r>
      <w:r w:rsidR="00EB29AA" w:rsidRPr="003331EF">
        <w:rPr>
          <w:iCs/>
          <w:spacing w:val="-5"/>
          <w:lang w:eastAsia="en-US"/>
        </w:rPr>
        <w:t>r</w:t>
      </w:r>
      <w:r w:rsidRPr="003331EF">
        <w:rPr>
          <w:iCs/>
          <w:spacing w:val="-5"/>
          <w:lang w:eastAsia="en-US"/>
        </w:rPr>
        <w:t>üptovara</w:t>
      </w:r>
      <w:proofErr w:type="spellEnd"/>
      <w:r w:rsidRPr="003331EF">
        <w:rPr>
          <w:iCs/>
          <w:spacing w:val="-5"/>
          <w:lang w:eastAsia="en-US"/>
        </w:rPr>
        <w:t xml:space="preserve"> teenuse osutaja on asutatud kolmandas riigis. Kogutud teabe põhjal peaksid korrespondent-</w:t>
      </w:r>
      <w:proofErr w:type="spellStart"/>
      <w:r w:rsidRPr="003331EF">
        <w:rPr>
          <w:iCs/>
          <w:spacing w:val="-5"/>
          <w:lang w:eastAsia="en-US"/>
        </w:rPr>
        <w:t>krüptovarateenuse</w:t>
      </w:r>
      <w:proofErr w:type="spellEnd"/>
      <w:r w:rsidRPr="003331EF">
        <w:rPr>
          <w:iCs/>
          <w:spacing w:val="-5"/>
          <w:lang w:eastAsia="en-US"/>
        </w:rPr>
        <w:t xml:space="preserve"> osutajad rakendama </w:t>
      </w:r>
      <w:proofErr w:type="spellStart"/>
      <w:r w:rsidRPr="003331EF">
        <w:rPr>
          <w:iCs/>
          <w:spacing w:val="-5"/>
          <w:lang w:eastAsia="en-US"/>
        </w:rPr>
        <w:t>riskimaandamismeetmeid</w:t>
      </w:r>
      <w:proofErr w:type="spellEnd"/>
      <w:r w:rsidRPr="003331EF">
        <w:rPr>
          <w:iCs/>
          <w:spacing w:val="-5"/>
          <w:lang w:eastAsia="en-US"/>
        </w:rPr>
        <w:t xml:space="preserve">, mille puhul tuleks eelkõige arvesse võtta registreerimata ja tegevusloata üksustega kaasnevat potentsiaalselt suuremat rahapesu ja terrorismi rahastamise riski. See on eriti oluline seni, kuni </w:t>
      </w:r>
      <w:proofErr w:type="spellStart"/>
      <w:r w:rsidRPr="003331EF">
        <w:rPr>
          <w:iCs/>
          <w:spacing w:val="-5"/>
          <w:lang w:eastAsia="en-US"/>
        </w:rPr>
        <w:t>krüptovaraga</w:t>
      </w:r>
      <w:proofErr w:type="spellEnd"/>
      <w:r w:rsidRPr="003331EF">
        <w:rPr>
          <w:iCs/>
          <w:spacing w:val="-5"/>
          <w:lang w:eastAsia="en-US"/>
        </w:rPr>
        <w:t xml:space="preserve"> seonduvate </w:t>
      </w:r>
      <w:r w:rsidR="00783F12" w:rsidRPr="003331EF">
        <w:rPr>
          <w:iCs/>
          <w:spacing w:val="-5"/>
          <w:lang w:eastAsia="en-US"/>
        </w:rPr>
        <w:t>FATF</w:t>
      </w:r>
      <w:r w:rsidRPr="003331EF">
        <w:rPr>
          <w:iCs/>
          <w:spacing w:val="-5"/>
          <w:lang w:eastAsia="en-US"/>
        </w:rPr>
        <w:t xml:space="preserve"> standardite rakendamine püsib ülemaailmsel tasandil ebaühtlane, mis tekitab lisariske ja probleeme.</w:t>
      </w:r>
    </w:p>
    <w:p w14:paraId="7651C3AE" w14:textId="77777777" w:rsidR="004E0AAA" w:rsidRPr="003331EF" w:rsidRDefault="004E0AAA" w:rsidP="003331EF">
      <w:pPr>
        <w:spacing w:before="0"/>
        <w:rPr>
          <w:lang w:eastAsia="en-US"/>
        </w:rPr>
      </w:pPr>
    </w:p>
    <w:p w14:paraId="1B4191C3" w14:textId="1DDF45A0" w:rsidR="00783F12" w:rsidRPr="003331EF" w:rsidRDefault="00783F12" w:rsidP="003331EF">
      <w:pPr>
        <w:spacing w:before="0"/>
        <w:rPr>
          <w:lang w:eastAsia="en-US"/>
        </w:rPr>
      </w:pPr>
      <w:r w:rsidRPr="003331EF">
        <w:rPr>
          <w:b/>
          <w:bCs/>
          <w:lang w:eastAsia="en-US"/>
        </w:rPr>
        <w:t xml:space="preserve">Punktiga </w:t>
      </w:r>
      <w:r w:rsidR="006C704E" w:rsidRPr="003331EF">
        <w:rPr>
          <w:b/>
          <w:bCs/>
          <w:lang w:eastAsia="en-US"/>
        </w:rPr>
        <w:t>20</w:t>
      </w:r>
      <w:r w:rsidRPr="003331EF">
        <w:rPr>
          <w:lang w:eastAsia="en-US"/>
        </w:rPr>
        <w:t xml:space="preserve"> </w:t>
      </w:r>
      <w:r w:rsidRPr="003331EF">
        <w:rPr>
          <w:b/>
          <w:bCs/>
          <w:lang w:eastAsia="en-US"/>
        </w:rPr>
        <w:t>sätestatakse</w:t>
      </w:r>
      <w:r w:rsidR="009D4C50" w:rsidRPr="003331EF">
        <w:rPr>
          <w:b/>
          <w:bCs/>
          <w:lang w:eastAsia="en-US"/>
        </w:rPr>
        <w:t xml:space="preserve"> </w:t>
      </w:r>
      <w:proofErr w:type="spellStart"/>
      <w:r w:rsidR="009D4C50" w:rsidRPr="003331EF">
        <w:rPr>
          <w:b/>
          <w:bCs/>
          <w:lang w:eastAsia="en-US"/>
        </w:rPr>
        <w:t>RahaPTS</w:t>
      </w:r>
      <w:proofErr w:type="spellEnd"/>
      <w:r w:rsidR="009D4C50" w:rsidRPr="003331EF">
        <w:rPr>
          <w:b/>
          <w:bCs/>
          <w:lang w:eastAsia="en-US"/>
        </w:rPr>
        <w:t xml:space="preserve"> §-s 40 uus lõige 5 </w:t>
      </w:r>
      <w:r w:rsidR="009D4C50" w:rsidRPr="003331EF">
        <w:rPr>
          <w:iCs/>
          <w:spacing w:val="-5"/>
          <w:lang w:eastAsia="en-US"/>
        </w:rPr>
        <w:t>selle kohta</w:t>
      </w:r>
      <w:r w:rsidRPr="003331EF">
        <w:rPr>
          <w:iCs/>
          <w:spacing w:val="-5"/>
          <w:lang w:eastAsia="en-US"/>
        </w:rPr>
        <w:t xml:space="preserve">, et korrespondentsuhetes peab </w:t>
      </w:r>
      <w:proofErr w:type="spellStart"/>
      <w:r w:rsidRPr="003331EF">
        <w:rPr>
          <w:iCs/>
          <w:spacing w:val="-5"/>
          <w:lang w:eastAsia="en-US"/>
        </w:rPr>
        <w:t>krüptovarateenuse</w:t>
      </w:r>
      <w:proofErr w:type="spellEnd"/>
      <w:r w:rsidRPr="003331EF">
        <w:rPr>
          <w:iCs/>
          <w:spacing w:val="-5"/>
          <w:lang w:eastAsia="en-US"/>
        </w:rPr>
        <w:t xml:space="preserve"> osutaja arvestama EBA suunistega. EBA peab andma 30. juuniks 2024</w:t>
      </w:r>
      <w:r w:rsidR="009D4C50" w:rsidRPr="003331EF">
        <w:rPr>
          <w:iCs/>
          <w:spacing w:val="-5"/>
          <w:lang w:eastAsia="en-US"/>
        </w:rPr>
        <w:t>. a</w:t>
      </w:r>
      <w:r w:rsidRPr="003331EF">
        <w:rPr>
          <w:iCs/>
          <w:spacing w:val="-5"/>
          <w:lang w:eastAsia="en-US"/>
        </w:rPr>
        <w:t xml:space="preserve"> suuniseid selle kohta, kuidas </w:t>
      </w:r>
      <w:proofErr w:type="spellStart"/>
      <w:r w:rsidRPr="003331EF">
        <w:rPr>
          <w:iCs/>
          <w:spacing w:val="-5"/>
          <w:lang w:eastAsia="en-US"/>
        </w:rPr>
        <w:t>krüptovarateenuse</w:t>
      </w:r>
      <w:proofErr w:type="spellEnd"/>
      <w:r w:rsidRPr="003331EF">
        <w:rPr>
          <w:iCs/>
          <w:spacing w:val="-5"/>
          <w:lang w:eastAsia="en-US"/>
        </w:rPr>
        <w:t xml:space="preserve"> osutajad peaksid rakendama tõhustatud hoolsuskohustust, ning peaks </w:t>
      </w:r>
      <w:proofErr w:type="spellStart"/>
      <w:r w:rsidRPr="003331EF">
        <w:rPr>
          <w:iCs/>
          <w:spacing w:val="-5"/>
          <w:lang w:eastAsia="en-US"/>
        </w:rPr>
        <w:t>riskimaandamismeetmeid</w:t>
      </w:r>
      <w:proofErr w:type="spellEnd"/>
      <w:r w:rsidRPr="003331EF">
        <w:rPr>
          <w:iCs/>
          <w:spacing w:val="-5"/>
          <w:lang w:eastAsia="en-US"/>
        </w:rPr>
        <w:t xml:space="preserve"> täpsustama, sealhulgas millised oleksid miinimummeetmed, mis tuleb võtta suhtlemisel registreerimata või tegevusloata üksustega, kes osutavad </w:t>
      </w:r>
      <w:proofErr w:type="spellStart"/>
      <w:r w:rsidRPr="003331EF">
        <w:rPr>
          <w:iCs/>
          <w:spacing w:val="-5"/>
          <w:lang w:eastAsia="en-US"/>
        </w:rPr>
        <w:t>krüptovarateenust</w:t>
      </w:r>
      <w:proofErr w:type="spellEnd"/>
      <w:r w:rsidRPr="003331EF">
        <w:rPr>
          <w:iCs/>
          <w:spacing w:val="-5"/>
          <w:lang w:eastAsia="en-US"/>
        </w:rPr>
        <w:t>.</w:t>
      </w:r>
    </w:p>
    <w:p w14:paraId="51035728" w14:textId="77777777" w:rsidR="00783F12" w:rsidRPr="003331EF" w:rsidRDefault="00783F12" w:rsidP="003331EF">
      <w:pPr>
        <w:spacing w:before="0"/>
        <w:rPr>
          <w:lang w:eastAsia="en-US"/>
        </w:rPr>
      </w:pPr>
    </w:p>
    <w:p w14:paraId="78EF463A" w14:textId="48367422" w:rsidR="00BC19C8" w:rsidRPr="003331EF" w:rsidRDefault="00BC19C8" w:rsidP="003331EF">
      <w:pPr>
        <w:spacing w:before="0"/>
        <w:rPr>
          <w:lang w:eastAsia="en-US"/>
        </w:rPr>
      </w:pPr>
      <w:r w:rsidRPr="003331EF">
        <w:rPr>
          <w:b/>
          <w:bCs/>
          <w:lang w:eastAsia="en-US"/>
        </w:rPr>
        <w:t xml:space="preserve">Punktiga 21 lisatakse </w:t>
      </w:r>
      <w:proofErr w:type="spellStart"/>
      <w:r w:rsidRPr="003331EF">
        <w:rPr>
          <w:b/>
          <w:bCs/>
          <w:lang w:eastAsia="en-US"/>
        </w:rPr>
        <w:t>RahaPTS</w:t>
      </w:r>
      <w:proofErr w:type="spellEnd"/>
      <w:r w:rsidRPr="003331EF">
        <w:rPr>
          <w:b/>
          <w:bCs/>
          <w:lang w:eastAsia="en-US"/>
        </w:rPr>
        <w:t xml:space="preserve"> § 42 lõikesse 3 </w:t>
      </w:r>
      <w:r w:rsidRPr="003331EF">
        <w:rPr>
          <w:lang w:eastAsia="en-US"/>
        </w:rPr>
        <w:t xml:space="preserve">lisatakse </w:t>
      </w:r>
      <w:proofErr w:type="spellStart"/>
      <w:r w:rsidRPr="003331EF">
        <w:rPr>
          <w:lang w:eastAsia="en-US"/>
        </w:rPr>
        <w:t>krüptovara</w:t>
      </w:r>
      <w:proofErr w:type="spellEnd"/>
      <w:r w:rsidRPr="003331EF">
        <w:rPr>
          <w:lang w:eastAsia="en-US"/>
        </w:rPr>
        <w:t xml:space="preserve"> teenuse osutaja, kehtestades talle keelu</w:t>
      </w:r>
      <w:r w:rsidRPr="003331EF">
        <w:rPr>
          <w:bCs/>
        </w:rPr>
        <w:t xml:space="preserve"> kliendi </w:t>
      </w:r>
      <w:proofErr w:type="spellStart"/>
      <w:r w:rsidRPr="003331EF">
        <w:rPr>
          <w:bCs/>
        </w:rPr>
        <w:t>krüptovara</w:t>
      </w:r>
      <w:proofErr w:type="spellEnd"/>
      <w:r w:rsidRPr="003331EF">
        <w:rPr>
          <w:bCs/>
        </w:rPr>
        <w:t xml:space="preserve"> kättesaadavaks teha, kui ta ei suuda täita </w:t>
      </w:r>
      <w:proofErr w:type="spellStart"/>
      <w:r w:rsidRPr="003331EF">
        <w:rPr>
          <w:bCs/>
        </w:rPr>
        <w:t>RahaPTS</w:t>
      </w:r>
      <w:proofErr w:type="spellEnd"/>
      <w:r w:rsidRPr="003331EF">
        <w:rPr>
          <w:bCs/>
        </w:rPr>
        <w:t xml:space="preserve">-i §-s 25 sätestatud kohustusi. </w:t>
      </w:r>
      <w:proofErr w:type="spellStart"/>
      <w:r w:rsidRPr="003331EF">
        <w:rPr>
          <w:bCs/>
        </w:rPr>
        <w:t>RahaPTS</w:t>
      </w:r>
      <w:proofErr w:type="spellEnd"/>
      <w:r w:rsidRPr="003331EF">
        <w:rPr>
          <w:bCs/>
        </w:rPr>
        <w:t xml:space="preserve"> §-s 25 sätestatud kohustuste kohaselt tuleb teenust osutada kliendisuhte raames, tuvastades isikusamasus</w:t>
      </w:r>
      <w:r w:rsidR="001F66DA" w:rsidRPr="003331EF">
        <w:rPr>
          <w:bCs/>
        </w:rPr>
        <w:t xml:space="preserve"> ja</w:t>
      </w:r>
      <w:r w:rsidRPr="003331EF">
        <w:rPr>
          <w:bCs/>
        </w:rPr>
        <w:t xml:space="preserve"> kontrollides andmeid.</w:t>
      </w:r>
      <w:r w:rsidR="001F66DA" w:rsidRPr="003331EF">
        <w:rPr>
          <w:bCs/>
        </w:rPr>
        <w:t xml:space="preserve"> Keelatud on avada anonüümseid </w:t>
      </w:r>
      <w:proofErr w:type="spellStart"/>
      <w:r w:rsidR="001F66DA" w:rsidRPr="003331EF">
        <w:rPr>
          <w:bCs/>
        </w:rPr>
        <w:t>krüptovara</w:t>
      </w:r>
      <w:proofErr w:type="spellEnd"/>
      <w:r w:rsidR="001F66DA" w:rsidRPr="003331EF">
        <w:rPr>
          <w:bCs/>
        </w:rPr>
        <w:t xml:space="preserve"> aadresse.</w:t>
      </w:r>
    </w:p>
    <w:p w14:paraId="7723A98C" w14:textId="77777777" w:rsidR="00BC19C8" w:rsidRPr="003331EF" w:rsidRDefault="00BC19C8" w:rsidP="003331EF">
      <w:pPr>
        <w:spacing w:before="0"/>
        <w:rPr>
          <w:lang w:eastAsia="en-US"/>
        </w:rPr>
      </w:pPr>
    </w:p>
    <w:p w14:paraId="09E4919A" w14:textId="4C3B0929" w:rsidR="00783F12" w:rsidRPr="003331EF" w:rsidRDefault="00783F12" w:rsidP="003331EF">
      <w:pPr>
        <w:spacing w:before="0"/>
      </w:pPr>
      <w:r w:rsidRPr="003331EF">
        <w:rPr>
          <w:b/>
          <w:bCs/>
          <w:lang w:eastAsia="en-US"/>
        </w:rPr>
        <w:t xml:space="preserve">Punktiga </w:t>
      </w:r>
      <w:r w:rsidR="006C704E" w:rsidRPr="003331EF">
        <w:rPr>
          <w:b/>
          <w:bCs/>
          <w:lang w:eastAsia="en-US"/>
        </w:rPr>
        <w:t>2</w:t>
      </w:r>
      <w:r w:rsidR="001F66DA" w:rsidRPr="003331EF">
        <w:rPr>
          <w:b/>
          <w:bCs/>
          <w:lang w:eastAsia="en-US"/>
        </w:rPr>
        <w:t>2</w:t>
      </w:r>
      <w:r w:rsidRPr="003331EF">
        <w:rPr>
          <w:lang w:eastAsia="en-US"/>
        </w:rPr>
        <w:t xml:space="preserve"> </w:t>
      </w:r>
      <w:r w:rsidRPr="003331EF">
        <w:rPr>
          <w:b/>
          <w:bCs/>
          <w:lang w:eastAsia="en-US"/>
        </w:rPr>
        <w:t xml:space="preserve">eemaldatakse </w:t>
      </w:r>
      <w:proofErr w:type="spellStart"/>
      <w:r w:rsidRPr="003331EF">
        <w:rPr>
          <w:b/>
          <w:bCs/>
          <w:lang w:eastAsia="en-US"/>
        </w:rPr>
        <w:t>RahaPTS</w:t>
      </w:r>
      <w:proofErr w:type="spellEnd"/>
      <w:r w:rsidRPr="003331EF">
        <w:rPr>
          <w:b/>
          <w:bCs/>
          <w:lang w:eastAsia="en-US"/>
        </w:rPr>
        <w:t xml:space="preserve"> § 42 lõikest 3</w:t>
      </w:r>
      <w:r w:rsidRPr="003331EF">
        <w:rPr>
          <w:lang w:eastAsia="en-US"/>
        </w:rPr>
        <w:t xml:space="preserve"> </w:t>
      </w:r>
      <w:r w:rsidRPr="003331EF">
        <w:rPr>
          <w:iCs/>
          <w:spacing w:val="-5"/>
          <w:lang w:eastAsia="en-US"/>
        </w:rPr>
        <w:t>virtuaalvääringu teenuse ülekandeid puudutav</w:t>
      </w:r>
      <w:r w:rsidR="001F66DA" w:rsidRPr="003331EF">
        <w:rPr>
          <w:iCs/>
          <w:spacing w:val="-5"/>
          <w:lang w:eastAsia="en-US"/>
        </w:rPr>
        <w:t>ad</w:t>
      </w:r>
      <w:r w:rsidRPr="003331EF">
        <w:rPr>
          <w:iCs/>
          <w:spacing w:val="-5"/>
          <w:lang w:eastAsia="en-US"/>
        </w:rPr>
        <w:t xml:space="preserve"> erisus</w:t>
      </w:r>
      <w:r w:rsidR="001F66DA" w:rsidRPr="003331EF">
        <w:rPr>
          <w:iCs/>
          <w:spacing w:val="-5"/>
          <w:lang w:eastAsia="en-US"/>
        </w:rPr>
        <w:t>ed ja virtuaalvääringu tehingute ja teenuse osutamisega seonduvad keelud</w:t>
      </w:r>
      <w:r w:rsidRPr="003331EF">
        <w:rPr>
          <w:iCs/>
          <w:spacing w:val="-5"/>
          <w:lang w:eastAsia="en-US"/>
        </w:rPr>
        <w:t xml:space="preserve">, kuna edaspidi reguleerib </w:t>
      </w:r>
      <w:proofErr w:type="spellStart"/>
      <w:r w:rsidRPr="003331EF">
        <w:rPr>
          <w:iCs/>
          <w:spacing w:val="-5"/>
          <w:lang w:eastAsia="en-US"/>
        </w:rPr>
        <w:t>krüptovaraülekannetele</w:t>
      </w:r>
      <w:proofErr w:type="spellEnd"/>
      <w:r w:rsidRPr="003331EF">
        <w:rPr>
          <w:iCs/>
          <w:spacing w:val="-5"/>
          <w:lang w:eastAsia="en-US"/>
        </w:rPr>
        <w:t xml:space="preserve"> kohaldatavaid hoolsusmeetmeid </w:t>
      </w:r>
      <w:r w:rsidR="009D4C50" w:rsidRPr="003331EF">
        <w:rPr>
          <w:iCs/>
          <w:spacing w:val="-5"/>
          <w:lang w:eastAsia="en-US"/>
        </w:rPr>
        <w:t>TFR</w:t>
      </w:r>
      <w:r w:rsidRPr="003331EF">
        <w:rPr>
          <w:iCs/>
          <w:spacing w:val="-5"/>
          <w:lang w:eastAsia="en-US"/>
        </w:rPr>
        <w:t xml:space="preserve"> määrus</w:t>
      </w:r>
      <w:r w:rsidR="001F66DA" w:rsidRPr="003331EF">
        <w:rPr>
          <w:iCs/>
          <w:spacing w:val="-5"/>
          <w:lang w:eastAsia="en-US"/>
        </w:rPr>
        <w:t xml:space="preserve"> ja edaspidi ei käsitleta </w:t>
      </w:r>
      <w:proofErr w:type="spellStart"/>
      <w:r w:rsidR="001F66DA" w:rsidRPr="003331EF">
        <w:rPr>
          <w:iCs/>
          <w:spacing w:val="-5"/>
          <w:lang w:eastAsia="en-US"/>
        </w:rPr>
        <w:t>RahaPTS-is</w:t>
      </w:r>
      <w:proofErr w:type="spellEnd"/>
      <w:r w:rsidR="001F66DA" w:rsidRPr="003331EF">
        <w:rPr>
          <w:iCs/>
          <w:spacing w:val="-5"/>
          <w:lang w:eastAsia="en-US"/>
        </w:rPr>
        <w:t xml:space="preserve"> virtuaalvääringuid </w:t>
      </w:r>
      <w:proofErr w:type="spellStart"/>
      <w:r w:rsidR="001F66DA" w:rsidRPr="003331EF">
        <w:rPr>
          <w:iCs/>
          <w:spacing w:val="-5"/>
          <w:lang w:eastAsia="en-US"/>
        </w:rPr>
        <w:t>krüptovaradest</w:t>
      </w:r>
      <w:proofErr w:type="spellEnd"/>
      <w:r w:rsidR="001F66DA" w:rsidRPr="003331EF">
        <w:rPr>
          <w:iCs/>
          <w:spacing w:val="-5"/>
          <w:lang w:eastAsia="en-US"/>
        </w:rPr>
        <w:t xml:space="preserve"> eraldiseisvalt</w:t>
      </w:r>
      <w:r w:rsidRPr="003331EF">
        <w:rPr>
          <w:iCs/>
          <w:spacing w:val="-5"/>
          <w:lang w:eastAsia="en-US"/>
        </w:rPr>
        <w:t>.</w:t>
      </w:r>
    </w:p>
    <w:p w14:paraId="7EECC136" w14:textId="77777777" w:rsidR="00783F12" w:rsidRPr="003331EF" w:rsidRDefault="00783F12" w:rsidP="003331EF">
      <w:pPr>
        <w:spacing w:before="0"/>
        <w:rPr>
          <w:lang w:eastAsia="en-US"/>
        </w:rPr>
      </w:pPr>
    </w:p>
    <w:p w14:paraId="1C863651" w14:textId="23B80FB5" w:rsidR="00783F12" w:rsidRPr="003331EF" w:rsidRDefault="00783F12" w:rsidP="003331EF">
      <w:pPr>
        <w:spacing w:before="0"/>
      </w:pPr>
      <w:r w:rsidRPr="003331EF">
        <w:rPr>
          <w:b/>
          <w:bCs/>
          <w:lang w:eastAsia="en-US"/>
        </w:rPr>
        <w:t xml:space="preserve">Punktiga </w:t>
      </w:r>
      <w:r w:rsidR="006C704E" w:rsidRPr="003331EF">
        <w:rPr>
          <w:b/>
          <w:bCs/>
          <w:lang w:eastAsia="en-US"/>
        </w:rPr>
        <w:t>2</w:t>
      </w:r>
      <w:r w:rsidR="001F66DA" w:rsidRPr="003331EF">
        <w:rPr>
          <w:b/>
          <w:bCs/>
          <w:lang w:eastAsia="en-US"/>
        </w:rPr>
        <w:t>3</w:t>
      </w:r>
      <w:r w:rsidRPr="003331EF">
        <w:rPr>
          <w:lang w:eastAsia="en-US"/>
        </w:rPr>
        <w:t xml:space="preserve"> </w:t>
      </w:r>
      <w:r w:rsidRPr="003331EF">
        <w:rPr>
          <w:b/>
          <w:bCs/>
          <w:lang w:eastAsia="en-US"/>
        </w:rPr>
        <w:t xml:space="preserve">lisatakse </w:t>
      </w:r>
      <w:proofErr w:type="spellStart"/>
      <w:r w:rsidR="009D4C50" w:rsidRPr="003331EF">
        <w:rPr>
          <w:b/>
          <w:bCs/>
          <w:lang w:eastAsia="en-US"/>
        </w:rPr>
        <w:t>RahaPTS</w:t>
      </w:r>
      <w:proofErr w:type="spellEnd"/>
      <w:r w:rsidR="009D4C50" w:rsidRPr="003331EF">
        <w:rPr>
          <w:b/>
          <w:bCs/>
          <w:lang w:eastAsia="en-US"/>
        </w:rPr>
        <w:t xml:space="preserve"> §-i 46</w:t>
      </w:r>
      <w:r w:rsidR="009D4C50" w:rsidRPr="003331EF">
        <w:rPr>
          <w:lang w:eastAsia="en-US"/>
        </w:rPr>
        <w:t xml:space="preserve"> </w:t>
      </w:r>
      <w:r w:rsidRPr="003331EF">
        <w:rPr>
          <w:iCs/>
          <w:spacing w:val="-5"/>
          <w:lang w:eastAsia="en-US"/>
        </w:rPr>
        <w:t xml:space="preserve">säte, mis viitab kohustusele säilitada rahaülekannete ja </w:t>
      </w:r>
      <w:proofErr w:type="spellStart"/>
      <w:r w:rsidRPr="003331EF">
        <w:rPr>
          <w:iCs/>
          <w:spacing w:val="-5"/>
          <w:lang w:eastAsia="en-US"/>
        </w:rPr>
        <w:t>krüptovaraülekannetega</w:t>
      </w:r>
      <w:proofErr w:type="spellEnd"/>
      <w:r w:rsidRPr="003331EF">
        <w:rPr>
          <w:iCs/>
          <w:spacing w:val="-5"/>
          <w:lang w:eastAsia="en-US"/>
        </w:rPr>
        <w:t xml:space="preserve"> seonduvalt rakendatud hoolsusmeetmetega kogutud andmed.</w:t>
      </w:r>
      <w:r w:rsidR="00F106F5" w:rsidRPr="003331EF">
        <w:rPr>
          <w:iCs/>
          <w:spacing w:val="-5"/>
          <w:lang w:eastAsia="en-US"/>
        </w:rPr>
        <w:t xml:space="preserve"> Andmete säilitamine on </w:t>
      </w:r>
      <w:r w:rsidR="009D4C50" w:rsidRPr="003331EF">
        <w:rPr>
          <w:iCs/>
          <w:spacing w:val="-5"/>
          <w:lang w:eastAsia="en-US"/>
        </w:rPr>
        <w:t xml:space="preserve">TFR määrusest </w:t>
      </w:r>
      <w:r w:rsidR="00F106F5" w:rsidRPr="003331EF">
        <w:rPr>
          <w:iCs/>
          <w:spacing w:val="-5"/>
          <w:lang w:eastAsia="en-US"/>
        </w:rPr>
        <w:t>tulenev otsekohalduv kohustus, kuid riigisises</w:t>
      </w:r>
      <w:r w:rsidR="0058502F" w:rsidRPr="003331EF">
        <w:rPr>
          <w:iCs/>
          <w:spacing w:val="-5"/>
          <w:lang w:eastAsia="en-US"/>
        </w:rPr>
        <w:t>e</w:t>
      </w:r>
      <w:r w:rsidR="00F106F5" w:rsidRPr="003331EF">
        <w:rPr>
          <w:iCs/>
          <w:spacing w:val="-5"/>
          <w:lang w:eastAsia="en-US"/>
        </w:rPr>
        <w:t xml:space="preserve"> õiguses on vajalik sellele kohustusele viidata, et täpsustada, millistel asjaoludel pea</w:t>
      </w:r>
      <w:r w:rsidR="00986391" w:rsidRPr="003331EF">
        <w:rPr>
          <w:iCs/>
          <w:spacing w:val="-5"/>
          <w:lang w:eastAsia="en-US"/>
        </w:rPr>
        <w:t>b</w:t>
      </w:r>
      <w:r w:rsidR="00F106F5" w:rsidRPr="003331EF">
        <w:rPr>
          <w:iCs/>
          <w:spacing w:val="-5"/>
          <w:lang w:eastAsia="en-US"/>
        </w:rPr>
        <w:t xml:space="preserve"> </w:t>
      </w:r>
      <w:proofErr w:type="spellStart"/>
      <w:r w:rsidR="00F106F5" w:rsidRPr="003331EF">
        <w:rPr>
          <w:iCs/>
          <w:spacing w:val="-5"/>
          <w:lang w:eastAsia="en-US"/>
        </w:rPr>
        <w:t>krüptovarateenuse</w:t>
      </w:r>
      <w:proofErr w:type="spellEnd"/>
      <w:r w:rsidR="00F106F5" w:rsidRPr="003331EF">
        <w:rPr>
          <w:iCs/>
          <w:spacing w:val="-5"/>
          <w:lang w:eastAsia="en-US"/>
        </w:rPr>
        <w:t xml:space="preserve"> osutaja andmeid pikemalt säilitama. Vastavalt kehtivale </w:t>
      </w:r>
      <w:proofErr w:type="spellStart"/>
      <w:r w:rsidR="00F106F5" w:rsidRPr="003331EF">
        <w:rPr>
          <w:iCs/>
          <w:spacing w:val="-5"/>
          <w:lang w:eastAsia="en-US"/>
        </w:rPr>
        <w:t>RahaPTS</w:t>
      </w:r>
      <w:proofErr w:type="spellEnd"/>
      <w:r w:rsidR="00F106F5" w:rsidRPr="003331EF">
        <w:rPr>
          <w:iCs/>
          <w:spacing w:val="-5"/>
          <w:lang w:eastAsia="en-US"/>
        </w:rPr>
        <w:t xml:space="preserve"> § 47 lõikele 7 võib pädeva järelevalveasutuse ettekirjutuse alusel rahapesu või terrorismi rahastamise tõkestamise, avastamise või uurimise seisukohast olulisi andmeid säilitada kauem, kuid mitte rohkem kui viis aastat pärast esmase tähtaja möödumist.</w:t>
      </w:r>
    </w:p>
    <w:p w14:paraId="3C06F672" w14:textId="77777777" w:rsidR="00BE4954" w:rsidRPr="003331EF" w:rsidRDefault="00BE4954" w:rsidP="003331EF">
      <w:pPr>
        <w:spacing w:before="0"/>
      </w:pPr>
    </w:p>
    <w:p w14:paraId="50EA8A79" w14:textId="4C6E0DB8" w:rsidR="001A4507" w:rsidRPr="003331EF" w:rsidRDefault="001A4507" w:rsidP="003331EF">
      <w:pPr>
        <w:pStyle w:val="Pealkiri2"/>
        <w:spacing w:before="0"/>
        <w:jc w:val="both"/>
        <w:rPr>
          <w:b w:val="0"/>
          <w:color w:val="auto"/>
          <w:sz w:val="24"/>
        </w:rPr>
      </w:pPr>
      <w:r w:rsidRPr="003331EF">
        <w:rPr>
          <w:color w:val="auto"/>
          <w:sz w:val="24"/>
          <w:szCs w:val="24"/>
        </w:rPr>
        <w:lastRenderedPageBreak/>
        <w:t>Punkti</w:t>
      </w:r>
      <w:r w:rsidR="00BC0A65" w:rsidRPr="003331EF">
        <w:rPr>
          <w:color w:val="auto"/>
          <w:sz w:val="24"/>
          <w:szCs w:val="24"/>
        </w:rPr>
        <w:t>de</w:t>
      </w:r>
      <w:r w:rsidRPr="003331EF">
        <w:rPr>
          <w:color w:val="auto"/>
          <w:sz w:val="24"/>
          <w:szCs w:val="24"/>
        </w:rPr>
        <w:t xml:space="preserve">ga </w:t>
      </w:r>
      <w:r w:rsidR="00F31FB2" w:rsidRPr="003331EF">
        <w:rPr>
          <w:color w:val="auto"/>
          <w:sz w:val="24"/>
          <w:szCs w:val="24"/>
        </w:rPr>
        <w:t>2</w:t>
      </w:r>
      <w:r w:rsidR="001F66DA" w:rsidRPr="003331EF">
        <w:rPr>
          <w:color w:val="auto"/>
          <w:sz w:val="24"/>
          <w:szCs w:val="24"/>
        </w:rPr>
        <w:t>4</w:t>
      </w:r>
      <w:r w:rsidR="00BC0A65" w:rsidRPr="003331EF">
        <w:rPr>
          <w:color w:val="auto"/>
          <w:sz w:val="24"/>
          <w:szCs w:val="24"/>
        </w:rPr>
        <w:t xml:space="preserve"> ja 2</w:t>
      </w:r>
      <w:r w:rsidR="001F66DA" w:rsidRPr="003331EF">
        <w:rPr>
          <w:color w:val="auto"/>
          <w:sz w:val="24"/>
          <w:szCs w:val="24"/>
        </w:rPr>
        <w:t>5</w:t>
      </w:r>
      <w:r w:rsidRPr="003331EF">
        <w:rPr>
          <w:color w:val="auto"/>
          <w:sz w:val="24"/>
          <w:szCs w:val="24"/>
        </w:rPr>
        <w:t xml:space="preserve"> </w:t>
      </w:r>
      <w:r w:rsidRPr="003331EF">
        <w:rPr>
          <w:bCs w:val="0"/>
          <w:color w:val="auto"/>
          <w:sz w:val="24"/>
          <w:szCs w:val="24"/>
        </w:rPr>
        <w:t>muudetakse § 70 lõi</w:t>
      </w:r>
      <w:r w:rsidR="00BC0A65" w:rsidRPr="003331EF">
        <w:rPr>
          <w:bCs w:val="0"/>
          <w:color w:val="auto"/>
          <w:sz w:val="24"/>
          <w:szCs w:val="24"/>
        </w:rPr>
        <w:t>gete</w:t>
      </w:r>
      <w:r w:rsidRPr="003331EF">
        <w:rPr>
          <w:bCs w:val="0"/>
          <w:color w:val="auto"/>
          <w:sz w:val="24"/>
          <w:szCs w:val="24"/>
        </w:rPr>
        <w:t xml:space="preserve"> 4</w:t>
      </w:r>
      <w:r w:rsidR="00BC0A65" w:rsidRPr="003331EF">
        <w:rPr>
          <w:bCs w:val="0"/>
          <w:color w:val="auto"/>
          <w:sz w:val="24"/>
          <w:szCs w:val="24"/>
        </w:rPr>
        <w:t xml:space="preserve"> ja 5</w:t>
      </w:r>
      <w:r w:rsidRPr="003331EF">
        <w:rPr>
          <w:b w:val="0"/>
          <w:color w:val="auto"/>
          <w:sz w:val="24"/>
          <w:szCs w:val="24"/>
        </w:rPr>
        <w:t xml:space="preserve"> </w:t>
      </w:r>
      <w:r w:rsidRPr="003331EF">
        <w:rPr>
          <w:rFonts w:eastAsia="Times New Roman"/>
          <w:b w:val="0"/>
          <w:bCs w:val="0"/>
          <w:iCs/>
          <w:color w:val="auto"/>
          <w:spacing w:val="-5"/>
          <w:sz w:val="24"/>
          <w:szCs w:val="24"/>
        </w:rPr>
        <w:t xml:space="preserve">sõnastust selliselt, et kustutatakse viide </w:t>
      </w:r>
      <w:proofErr w:type="spellStart"/>
      <w:r w:rsidRPr="003331EF">
        <w:rPr>
          <w:rFonts w:eastAsia="Times New Roman"/>
          <w:b w:val="0"/>
          <w:bCs w:val="0"/>
          <w:iCs/>
          <w:color w:val="auto"/>
          <w:spacing w:val="-5"/>
          <w:sz w:val="24"/>
          <w:szCs w:val="24"/>
        </w:rPr>
        <w:t>krüptovarateenuse</w:t>
      </w:r>
      <w:proofErr w:type="spellEnd"/>
      <w:r w:rsidRPr="003331EF">
        <w:rPr>
          <w:rFonts w:eastAsia="Times New Roman"/>
          <w:b w:val="0"/>
          <w:bCs w:val="0"/>
          <w:iCs/>
          <w:color w:val="auto"/>
          <w:spacing w:val="-5"/>
          <w:sz w:val="24"/>
          <w:szCs w:val="24"/>
        </w:rPr>
        <w:t xml:space="preserve"> osutajatele </w:t>
      </w:r>
      <w:proofErr w:type="spellStart"/>
      <w:r w:rsidRPr="003331EF">
        <w:rPr>
          <w:rFonts w:eastAsia="Times New Roman"/>
          <w:b w:val="0"/>
          <w:bCs w:val="0"/>
          <w:iCs/>
          <w:color w:val="auto"/>
          <w:spacing w:val="-5"/>
          <w:sz w:val="24"/>
          <w:szCs w:val="24"/>
        </w:rPr>
        <w:t>RahaPTS</w:t>
      </w:r>
      <w:proofErr w:type="spellEnd"/>
      <w:r w:rsidRPr="003331EF">
        <w:rPr>
          <w:rFonts w:eastAsia="Times New Roman"/>
          <w:b w:val="0"/>
          <w:bCs w:val="0"/>
          <w:iCs/>
          <w:color w:val="auto"/>
          <w:spacing w:val="-5"/>
          <w:sz w:val="24"/>
          <w:szCs w:val="24"/>
        </w:rPr>
        <w:t xml:space="preserve"> tegevusloa taotlemise kontekstis, kuivõrd </w:t>
      </w:r>
      <w:proofErr w:type="spellStart"/>
      <w:r w:rsidRPr="003331EF">
        <w:rPr>
          <w:rFonts w:eastAsia="Times New Roman"/>
          <w:b w:val="0"/>
          <w:bCs w:val="0"/>
          <w:iCs/>
          <w:color w:val="auto"/>
          <w:spacing w:val="-5"/>
          <w:sz w:val="24"/>
          <w:szCs w:val="24"/>
        </w:rPr>
        <w:t>krüptovarateenuse</w:t>
      </w:r>
      <w:proofErr w:type="spellEnd"/>
      <w:r w:rsidRPr="003331EF">
        <w:rPr>
          <w:rFonts w:eastAsia="Times New Roman"/>
          <w:b w:val="0"/>
          <w:bCs w:val="0"/>
          <w:iCs/>
          <w:color w:val="auto"/>
          <w:spacing w:val="-5"/>
          <w:sz w:val="24"/>
          <w:szCs w:val="24"/>
        </w:rPr>
        <w:t xml:space="preserve"> osutaja tegevusloa taotlemine toimub </w:t>
      </w:r>
      <w:proofErr w:type="spellStart"/>
      <w:r w:rsidRPr="003331EF">
        <w:rPr>
          <w:rFonts w:eastAsia="Times New Roman"/>
          <w:b w:val="0"/>
          <w:bCs w:val="0"/>
          <w:iCs/>
          <w:color w:val="auto"/>
          <w:spacing w:val="-5"/>
          <w:sz w:val="24"/>
          <w:szCs w:val="24"/>
        </w:rPr>
        <w:t>M</w:t>
      </w:r>
      <w:r w:rsidR="0019289B">
        <w:rPr>
          <w:rFonts w:eastAsia="Times New Roman"/>
          <w:b w:val="0"/>
          <w:bCs w:val="0"/>
          <w:iCs/>
          <w:color w:val="auto"/>
          <w:spacing w:val="-5"/>
          <w:sz w:val="24"/>
          <w:szCs w:val="24"/>
        </w:rPr>
        <w:t>i</w:t>
      </w:r>
      <w:r w:rsidRPr="003331EF">
        <w:rPr>
          <w:rFonts w:eastAsia="Times New Roman"/>
          <w:b w:val="0"/>
          <w:bCs w:val="0"/>
          <w:iCs/>
          <w:color w:val="auto"/>
          <w:spacing w:val="-5"/>
          <w:sz w:val="24"/>
          <w:szCs w:val="24"/>
        </w:rPr>
        <w:t>CA</w:t>
      </w:r>
      <w:proofErr w:type="spellEnd"/>
      <w:r w:rsidRPr="003331EF">
        <w:rPr>
          <w:rFonts w:eastAsia="Times New Roman"/>
          <w:b w:val="0"/>
          <w:bCs w:val="0"/>
          <w:iCs/>
          <w:color w:val="auto"/>
          <w:spacing w:val="-5"/>
          <w:sz w:val="24"/>
          <w:szCs w:val="24"/>
        </w:rPr>
        <w:t xml:space="preserve"> määruse alusel. Lõiget 5 muudetakse, et kaotada viide sama paragrahvi lõikele</w:t>
      </w:r>
      <w:r w:rsidRPr="003331EF">
        <w:rPr>
          <w:rFonts w:eastAsia="Times New Roman"/>
          <w:b w:val="0"/>
          <w:bCs w:val="0"/>
          <w:color w:val="auto"/>
          <w:sz w:val="24"/>
          <w:szCs w:val="24"/>
          <w:lang w:eastAsia="et-EE"/>
        </w:rPr>
        <w:t xml:space="preserve"> 3</w:t>
      </w:r>
      <w:r w:rsidRPr="003331EF">
        <w:rPr>
          <w:rFonts w:eastAsia="Times New Roman"/>
          <w:b w:val="0"/>
          <w:bCs w:val="0"/>
          <w:color w:val="auto"/>
          <w:sz w:val="24"/>
          <w:szCs w:val="24"/>
          <w:vertAlign w:val="superscript"/>
          <w:lang w:eastAsia="et-EE"/>
        </w:rPr>
        <w:t>2</w:t>
      </w:r>
      <w:r w:rsidRPr="003331EF">
        <w:rPr>
          <w:rFonts w:eastAsia="Times New Roman"/>
          <w:b w:val="0"/>
          <w:bCs w:val="0"/>
          <w:color w:val="auto"/>
          <w:sz w:val="24"/>
          <w:szCs w:val="24"/>
          <w:lang w:eastAsia="et-EE"/>
        </w:rPr>
        <w:t xml:space="preserve">, </w:t>
      </w:r>
      <w:r w:rsidRPr="003331EF">
        <w:rPr>
          <w:rFonts w:eastAsia="Times New Roman"/>
          <w:b w:val="0"/>
          <w:bCs w:val="0"/>
          <w:iCs/>
          <w:color w:val="auto"/>
          <w:spacing w:val="-5"/>
          <w:sz w:val="24"/>
          <w:szCs w:val="24"/>
        </w:rPr>
        <w:t>mis reguleerib virtuaalvääringu alase tegevusloa taotlemisega seonduvat.</w:t>
      </w:r>
    </w:p>
    <w:p w14:paraId="50CF1F5E" w14:textId="77777777" w:rsidR="001A4507" w:rsidRPr="003331EF" w:rsidRDefault="001A4507" w:rsidP="003331EF">
      <w:pPr>
        <w:spacing w:before="0"/>
        <w:rPr>
          <w:b/>
        </w:rPr>
      </w:pPr>
    </w:p>
    <w:p w14:paraId="6C1AF07E" w14:textId="51AC710A" w:rsidR="006C704E" w:rsidRPr="003331EF" w:rsidRDefault="006C704E" w:rsidP="003331EF">
      <w:pPr>
        <w:spacing w:before="0"/>
        <w:rPr>
          <w:iCs/>
          <w:spacing w:val="-5"/>
          <w:lang w:eastAsia="en-US"/>
        </w:rPr>
      </w:pPr>
      <w:r w:rsidRPr="003331EF">
        <w:rPr>
          <w:b/>
        </w:rPr>
        <w:t>Punktidega 2</w:t>
      </w:r>
      <w:r w:rsidR="001F66DA" w:rsidRPr="003331EF">
        <w:rPr>
          <w:b/>
        </w:rPr>
        <w:t>6</w:t>
      </w:r>
      <w:r w:rsidR="00492C10" w:rsidRPr="003331EF">
        <w:rPr>
          <w:b/>
        </w:rPr>
        <w:t>–</w:t>
      </w:r>
      <w:r w:rsidRPr="003331EF">
        <w:rPr>
          <w:b/>
        </w:rPr>
        <w:t>2</w:t>
      </w:r>
      <w:r w:rsidR="001F66DA" w:rsidRPr="003331EF">
        <w:rPr>
          <w:b/>
        </w:rPr>
        <w:t>8</w:t>
      </w:r>
      <w:r w:rsidRPr="003331EF">
        <w:rPr>
          <w:b/>
        </w:rPr>
        <w:t xml:space="preserve"> </w:t>
      </w:r>
      <w:r w:rsidRPr="003331EF">
        <w:rPr>
          <w:iCs/>
          <w:spacing w:val="-5"/>
          <w:lang w:eastAsia="en-US"/>
        </w:rPr>
        <w:t xml:space="preserve">tagatakse, et §-s 25 sätestatud kohustuste rikkumise eest oleks võimalik karistada </w:t>
      </w:r>
      <w:proofErr w:type="spellStart"/>
      <w:r w:rsidRPr="003331EF">
        <w:rPr>
          <w:iCs/>
          <w:spacing w:val="-5"/>
          <w:lang w:eastAsia="en-US"/>
        </w:rPr>
        <w:t>krüptovarateenuse</w:t>
      </w:r>
      <w:proofErr w:type="spellEnd"/>
      <w:r w:rsidRPr="003331EF">
        <w:rPr>
          <w:iCs/>
          <w:spacing w:val="-5"/>
          <w:lang w:eastAsia="en-US"/>
        </w:rPr>
        <w:t xml:space="preserve"> osutajaid ja et virtuaalvääringu teenuse pakkujate suhtes oleks väärteokoosseis kohaldatav kuni nende tegevuslubade kehtetuks muutumiseni. </w:t>
      </w:r>
    </w:p>
    <w:p w14:paraId="4F42C0EF" w14:textId="77777777" w:rsidR="00506D76" w:rsidRPr="003331EF" w:rsidRDefault="00506D76" w:rsidP="003331EF">
      <w:pPr>
        <w:spacing w:before="0"/>
        <w:rPr>
          <w:b/>
          <w:bCs/>
        </w:rPr>
      </w:pPr>
    </w:p>
    <w:p w14:paraId="2AC6AAB2" w14:textId="523FC064" w:rsidR="00D6010F" w:rsidRPr="003331EF" w:rsidRDefault="00D6010F" w:rsidP="003331EF">
      <w:pPr>
        <w:spacing w:before="0"/>
      </w:pPr>
      <w:r w:rsidRPr="003331EF">
        <w:rPr>
          <w:b/>
          <w:bCs/>
        </w:rPr>
        <w:t>Puntiga 2</w:t>
      </w:r>
      <w:r w:rsidR="001F66DA" w:rsidRPr="003331EF">
        <w:rPr>
          <w:b/>
          <w:bCs/>
        </w:rPr>
        <w:t>9</w:t>
      </w:r>
      <w:r w:rsidRPr="003331EF">
        <w:t xml:space="preserve"> </w:t>
      </w:r>
      <w:r w:rsidRPr="003331EF">
        <w:rPr>
          <w:b/>
          <w:bCs/>
        </w:rPr>
        <w:t>asendat</w:t>
      </w:r>
      <w:r w:rsidR="0021338A" w:rsidRPr="003331EF">
        <w:rPr>
          <w:b/>
          <w:bCs/>
        </w:rPr>
        <w:t xml:space="preserve">akse </w:t>
      </w:r>
      <w:proofErr w:type="spellStart"/>
      <w:r w:rsidR="00492C10" w:rsidRPr="003331EF">
        <w:rPr>
          <w:b/>
          <w:bCs/>
        </w:rPr>
        <w:t>RahaPTS</w:t>
      </w:r>
      <w:proofErr w:type="spellEnd"/>
      <w:r w:rsidR="00492C10" w:rsidRPr="003331EF">
        <w:rPr>
          <w:b/>
          <w:bCs/>
        </w:rPr>
        <w:t xml:space="preserve"> §-s 96</w:t>
      </w:r>
      <w:r w:rsidR="00492C10" w:rsidRPr="003331EF">
        <w:t xml:space="preserve"> </w:t>
      </w:r>
      <w:r w:rsidR="0021338A" w:rsidRPr="003331EF">
        <w:t xml:space="preserve">määruse (EL) 2015/847 viide viitega uuele makseteenuseid ja </w:t>
      </w:r>
      <w:proofErr w:type="spellStart"/>
      <w:r w:rsidR="0021338A" w:rsidRPr="003331EF">
        <w:t>krüptovaraülekandeid</w:t>
      </w:r>
      <w:proofErr w:type="spellEnd"/>
      <w:r w:rsidR="0021338A" w:rsidRPr="003331EF">
        <w:t xml:space="preserve"> reguleerivale </w:t>
      </w:r>
      <w:r w:rsidR="00991BAD" w:rsidRPr="003331EF">
        <w:t xml:space="preserve">TFR </w:t>
      </w:r>
      <w:r w:rsidR="0021338A" w:rsidRPr="003331EF">
        <w:t xml:space="preserve">määrusele </w:t>
      </w:r>
      <w:r w:rsidR="00991BAD" w:rsidRPr="003331EF">
        <w:t xml:space="preserve">ehk määrusele </w:t>
      </w:r>
      <w:r w:rsidR="0021338A" w:rsidRPr="003331EF">
        <w:t>(EL) 2023/111</w:t>
      </w:r>
      <w:r w:rsidR="00991BAD" w:rsidRPr="003331EF">
        <w:t>3</w:t>
      </w:r>
      <w:r w:rsidR="00083FE9" w:rsidRPr="003331EF">
        <w:t>.</w:t>
      </w:r>
    </w:p>
    <w:p w14:paraId="50CF9C7D" w14:textId="77777777" w:rsidR="00D6010F" w:rsidRPr="003331EF" w:rsidRDefault="00D6010F" w:rsidP="003331EF">
      <w:pPr>
        <w:spacing w:before="0"/>
      </w:pPr>
    </w:p>
    <w:p w14:paraId="35C04893" w14:textId="0A470196" w:rsidR="00F31FB2" w:rsidRPr="003331EF" w:rsidRDefault="00D6010F" w:rsidP="003331EF">
      <w:pPr>
        <w:spacing w:before="0"/>
      </w:pPr>
      <w:r w:rsidRPr="003331EF">
        <w:rPr>
          <w:b/>
          <w:bCs/>
        </w:rPr>
        <w:t xml:space="preserve">Puntiga </w:t>
      </w:r>
      <w:r w:rsidR="001F66DA" w:rsidRPr="003331EF">
        <w:rPr>
          <w:b/>
          <w:bCs/>
        </w:rPr>
        <w:t>30</w:t>
      </w:r>
      <w:r w:rsidRPr="003331EF">
        <w:t xml:space="preserve"> </w:t>
      </w:r>
      <w:r w:rsidR="006C704E" w:rsidRPr="003331EF">
        <w:rPr>
          <w:iCs/>
          <w:spacing w:val="-5"/>
          <w:lang w:eastAsia="en-US"/>
        </w:rPr>
        <w:t>täiendatakse seadust uue väärteokoosseisuga</w:t>
      </w:r>
      <w:r w:rsidR="00492C10" w:rsidRPr="003331EF">
        <w:rPr>
          <w:iCs/>
          <w:spacing w:val="-5"/>
          <w:lang w:eastAsia="en-US"/>
        </w:rPr>
        <w:t xml:space="preserve"> (</w:t>
      </w:r>
      <w:proofErr w:type="spellStart"/>
      <w:r w:rsidR="00492C10" w:rsidRPr="003331EF">
        <w:rPr>
          <w:b/>
          <w:bCs/>
          <w:iCs/>
          <w:spacing w:val="-5"/>
          <w:lang w:eastAsia="en-US"/>
        </w:rPr>
        <w:t>RahaPTS</w:t>
      </w:r>
      <w:proofErr w:type="spellEnd"/>
      <w:r w:rsidR="00492C10" w:rsidRPr="003331EF">
        <w:rPr>
          <w:b/>
          <w:bCs/>
          <w:iCs/>
          <w:spacing w:val="-5"/>
          <w:lang w:eastAsia="en-US"/>
        </w:rPr>
        <w:t xml:space="preserve"> § 96</w:t>
      </w:r>
      <w:r w:rsidR="00492C10" w:rsidRPr="003331EF">
        <w:rPr>
          <w:b/>
          <w:bCs/>
          <w:iCs/>
          <w:spacing w:val="-5"/>
          <w:vertAlign w:val="superscript"/>
          <w:lang w:eastAsia="en-US"/>
        </w:rPr>
        <w:t>2</w:t>
      </w:r>
      <w:r w:rsidR="00492C10" w:rsidRPr="003331EF">
        <w:rPr>
          <w:iCs/>
          <w:spacing w:val="-5"/>
          <w:lang w:eastAsia="en-US"/>
        </w:rPr>
        <w:t>)</w:t>
      </w:r>
      <w:r w:rsidR="004E60F4" w:rsidRPr="003331EF">
        <w:rPr>
          <w:iCs/>
          <w:spacing w:val="-5"/>
          <w:lang w:eastAsia="en-US"/>
        </w:rPr>
        <w:t xml:space="preserve"> ja </w:t>
      </w:r>
      <w:proofErr w:type="spellStart"/>
      <w:r w:rsidR="004E60F4" w:rsidRPr="003331EF">
        <w:rPr>
          <w:iCs/>
          <w:spacing w:val="-5"/>
          <w:lang w:eastAsia="en-US"/>
        </w:rPr>
        <w:t>RahaPTS</w:t>
      </w:r>
      <w:proofErr w:type="spellEnd"/>
      <w:r w:rsidR="004E60F4" w:rsidRPr="003331EF">
        <w:rPr>
          <w:iCs/>
          <w:spacing w:val="-5"/>
          <w:lang w:eastAsia="en-US"/>
        </w:rPr>
        <w:t xml:space="preserve"> § 96</w:t>
      </w:r>
      <w:r w:rsidR="004E60F4" w:rsidRPr="003331EF">
        <w:rPr>
          <w:iCs/>
          <w:spacing w:val="-5"/>
          <w:vertAlign w:val="superscript"/>
          <w:lang w:eastAsia="en-US"/>
        </w:rPr>
        <w:t>2</w:t>
      </w:r>
      <w:r w:rsidR="004E60F4" w:rsidRPr="003331EF">
        <w:rPr>
          <w:iCs/>
          <w:spacing w:val="-5"/>
          <w:lang w:eastAsia="en-US"/>
        </w:rPr>
        <w:t xml:space="preserve"> loetakse </w:t>
      </w:r>
      <w:proofErr w:type="spellStart"/>
      <w:r w:rsidR="004E60F4" w:rsidRPr="003331EF">
        <w:rPr>
          <w:iCs/>
          <w:spacing w:val="-5"/>
          <w:lang w:eastAsia="en-US"/>
        </w:rPr>
        <w:t>RahaPTS</w:t>
      </w:r>
      <w:proofErr w:type="spellEnd"/>
      <w:r w:rsidR="004E60F4" w:rsidRPr="003331EF">
        <w:rPr>
          <w:iCs/>
          <w:spacing w:val="-5"/>
          <w:lang w:eastAsia="en-US"/>
        </w:rPr>
        <w:t xml:space="preserve"> § 96</w:t>
      </w:r>
      <w:r w:rsidR="004E60F4" w:rsidRPr="003331EF">
        <w:rPr>
          <w:iCs/>
          <w:spacing w:val="-5"/>
          <w:vertAlign w:val="superscript"/>
          <w:lang w:eastAsia="en-US"/>
        </w:rPr>
        <w:t>4</w:t>
      </w:r>
      <w:r w:rsidR="004E60F4" w:rsidRPr="003331EF">
        <w:rPr>
          <w:iCs/>
          <w:spacing w:val="-5"/>
          <w:lang w:eastAsia="en-US"/>
        </w:rPr>
        <w:t>, et säilitada vastutuse peatüki senine ülesehitus</w:t>
      </w:r>
      <w:r w:rsidR="006C704E" w:rsidRPr="003331EF">
        <w:rPr>
          <w:iCs/>
          <w:spacing w:val="-5"/>
          <w:lang w:eastAsia="en-US"/>
        </w:rPr>
        <w:t xml:space="preserve">. </w:t>
      </w:r>
      <w:r w:rsidR="0021338A" w:rsidRPr="003331EF">
        <w:rPr>
          <w:iCs/>
          <w:spacing w:val="-5"/>
          <w:lang w:eastAsia="en-US"/>
        </w:rPr>
        <w:t>Varasemalt tuli kohustus virtuaalvääringu ülekannetega edastada maksja kohta käiv informatsioon riigisisesest õigusest (</w:t>
      </w:r>
      <w:proofErr w:type="spellStart"/>
      <w:r w:rsidR="0021338A" w:rsidRPr="003331EF">
        <w:rPr>
          <w:iCs/>
          <w:spacing w:val="-5"/>
          <w:lang w:eastAsia="en-US"/>
        </w:rPr>
        <w:t>RahaPTS</w:t>
      </w:r>
      <w:proofErr w:type="spellEnd"/>
      <w:r w:rsidR="0021338A" w:rsidRPr="003331EF">
        <w:rPr>
          <w:iCs/>
          <w:spacing w:val="-5"/>
          <w:lang w:eastAsia="en-US"/>
        </w:rPr>
        <w:t xml:space="preserve"> § 25), kuid </w:t>
      </w:r>
      <w:proofErr w:type="spellStart"/>
      <w:r w:rsidR="006C704E" w:rsidRPr="003331EF">
        <w:rPr>
          <w:iCs/>
          <w:spacing w:val="-5"/>
          <w:lang w:eastAsia="en-US"/>
        </w:rPr>
        <w:t>krüptovaraülekandeid</w:t>
      </w:r>
      <w:proofErr w:type="spellEnd"/>
      <w:r w:rsidR="006C704E" w:rsidRPr="003331EF">
        <w:rPr>
          <w:iCs/>
          <w:spacing w:val="-5"/>
          <w:lang w:eastAsia="en-US"/>
        </w:rPr>
        <w:t xml:space="preserve"> reguleerib</w:t>
      </w:r>
      <w:r w:rsidR="0021338A" w:rsidRPr="003331EF">
        <w:rPr>
          <w:iCs/>
          <w:spacing w:val="-5"/>
          <w:lang w:eastAsia="en-US"/>
        </w:rPr>
        <w:t xml:space="preserve"> </w:t>
      </w:r>
      <w:r w:rsidR="0058502F" w:rsidRPr="003331EF">
        <w:rPr>
          <w:iCs/>
          <w:spacing w:val="-5"/>
          <w:lang w:eastAsia="en-US"/>
        </w:rPr>
        <w:t>TFR määrus</w:t>
      </w:r>
      <w:r w:rsidR="0021338A" w:rsidRPr="003331EF">
        <w:rPr>
          <w:iCs/>
          <w:spacing w:val="-5"/>
          <w:lang w:eastAsia="en-US"/>
        </w:rPr>
        <w:t xml:space="preserve">, kust tulenevad ka nõuded kõrgete rahatrahvide kehtestamiseks. </w:t>
      </w:r>
      <w:proofErr w:type="spellStart"/>
      <w:r w:rsidR="0021338A" w:rsidRPr="003331EF">
        <w:rPr>
          <w:iCs/>
          <w:spacing w:val="-5"/>
          <w:lang w:eastAsia="en-US"/>
        </w:rPr>
        <w:t>K</w:t>
      </w:r>
      <w:r w:rsidR="00991BAD" w:rsidRPr="003331EF">
        <w:rPr>
          <w:iCs/>
          <w:spacing w:val="-5"/>
          <w:lang w:eastAsia="en-US"/>
        </w:rPr>
        <w:t>r</w:t>
      </w:r>
      <w:r w:rsidR="0021338A" w:rsidRPr="003331EF">
        <w:rPr>
          <w:iCs/>
          <w:spacing w:val="-5"/>
          <w:lang w:eastAsia="en-US"/>
        </w:rPr>
        <w:t>üptovaraülekannetele</w:t>
      </w:r>
      <w:proofErr w:type="spellEnd"/>
      <w:r w:rsidR="0021338A" w:rsidRPr="003331EF">
        <w:rPr>
          <w:iCs/>
          <w:spacing w:val="-5"/>
          <w:lang w:eastAsia="en-US"/>
        </w:rPr>
        <w:t xml:space="preserve"> kehtestatud rahapesu ja terrorismi rahastamise tõkestamise nõuete rikkumisele </w:t>
      </w:r>
      <w:r w:rsidR="00D23449" w:rsidRPr="003331EF">
        <w:rPr>
          <w:iCs/>
          <w:spacing w:val="-5"/>
          <w:lang w:eastAsia="en-US"/>
        </w:rPr>
        <w:t xml:space="preserve">hakkab kohalduma sama raamistik nagu makseteenuste puhul, mis tähendab, et </w:t>
      </w:r>
      <w:proofErr w:type="spellStart"/>
      <w:r w:rsidR="00D23449" w:rsidRPr="003331EF">
        <w:rPr>
          <w:iCs/>
          <w:spacing w:val="-5"/>
          <w:lang w:eastAsia="en-US"/>
        </w:rPr>
        <w:t>RahaPTS</w:t>
      </w:r>
      <w:proofErr w:type="spellEnd"/>
      <w:r w:rsidR="00D23449" w:rsidRPr="003331EF">
        <w:rPr>
          <w:iCs/>
          <w:spacing w:val="-5"/>
          <w:lang w:eastAsia="en-US"/>
        </w:rPr>
        <w:t xml:space="preserve"> § 9</w:t>
      </w:r>
      <w:r w:rsidR="00BC057B" w:rsidRPr="003331EF">
        <w:rPr>
          <w:iCs/>
          <w:spacing w:val="-5"/>
          <w:lang w:eastAsia="en-US"/>
        </w:rPr>
        <w:t>5</w:t>
      </w:r>
      <w:r w:rsidR="00BC057B" w:rsidRPr="003331EF">
        <w:rPr>
          <w:iCs/>
          <w:spacing w:val="-5"/>
          <w:vertAlign w:val="superscript"/>
          <w:lang w:eastAsia="en-US"/>
        </w:rPr>
        <w:t>1</w:t>
      </w:r>
      <w:r w:rsidR="00D23449" w:rsidRPr="003331EF">
        <w:rPr>
          <w:iCs/>
          <w:spacing w:val="-5"/>
          <w:lang w:eastAsia="en-US"/>
        </w:rPr>
        <w:t xml:space="preserve"> ja </w:t>
      </w:r>
      <w:r w:rsidR="00D23449" w:rsidRPr="003331EF">
        <w:t>§ 96</w:t>
      </w:r>
      <w:r w:rsidR="006C704E" w:rsidRPr="003331EF">
        <w:rPr>
          <w:vertAlign w:val="superscript"/>
        </w:rPr>
        <w:t>2</w:t>
      </w:r>
      <w:r w:rsidR="00D23449" w:rsidRPr="003331EF">
        <w:t xml:space="preserve"> </w:t>
      </w:r>
      <w:r w:rsidR="00D23449" w:rsidRPr="003331EF">
        <w:rPr>
          <w:iCs/>
          <w:spacing w:val="-5"/>
          <w:lang w:eastAsia="en-US"/>
        </w:rPr>
        <w:t>peavad olema sisult sarnased ning erinema üksnes subjekti osas.</w:t>
      </w:r>
    </w:p>
    <w:p w14:paraId="785DCD6C" w14:textId="77777777" w:rsidR="0058502F" w:rsidRPr="003331EF" w:rsidRDefault="0058502F" w:rsidP="003331EF">
      <w:pPr>
        <w:spacing w:before="0"/>
      </w:pPr>
    </w:p>
    <w:p w14:paraId="6332B10E" w14:textId="162DEA3E" w:rsidR="00580895" w:rsidRPr="003331EF" w:rsidRDefault="0058502F" w:rsidP="003331EF">
      <w:pPr>
        <w:spacing w:before="0"/>
        <w:rPr>
          <w:iCs/>
          <w:spacing w:val="-5"/>
          <w:lang w:eastAsia="en-US"/>
        </w:rPr>
      </w:pPr>
      <w:r w:rsidRPr="003331EF">
        <w:rPr>
          <w:iCs/>
          <w:spacing w:val="-5"/>
          <w:lang w:eastAsia="en-US"/>
        </w:rPr>
        <w:t>TFR määruse artikli 29 sissejuhatava lause kohaselt tagavad liikmesriigid, et karistused ja -meetmed hõlmavad vähemalt direktiivi (EL) 2015/849 artikli 59 lõigetes 2 ja</w:t>
      </w:r>
      <w:r w:rsidR="000020ED" w:rsidRPr="003331EF">
        <w:rPr>
          <w:iCs/>
          <w:spacing w:val="-5"/>
          <w:lang w:eastAsia="en-US"/>
        </w:rPr>
        <w:t xml:space="preserve"> </w:t>
      </w:r>
      <w:r w:rsidRPr="003331EF">
        <w:rPr>
          <w:iCs/>
          <w:spacing w:val="-5"/>
          <w:lang w:eastAsia="en-US"/>
        </w:rPr>
        <w:t xml:space="preserve">3 sätestatud halduskaristusi ja -meetmeid. Viidatud lõike 3 kohaselt </w:t>
      </w:r>
      <w:r w:rsidR="00580895" w:rsidRPr="003331EF">
        <w:rPr>
          <w:iCs/>
          <w:spacing w:val="-5"/>
          <w:lang w:eastAsia="en-US"/>
        </w:rPr>
        <w:t xml:space="preserve">võib juhul, kui kohustatud isik on krediidiasutus või finantseerimisasutus,  kohaldada juriidilise isiku puhul maksimaalset rahalist karistust vähemalt 5 000 000 euro ulatuses või 10 % aastasest kogukäibest ning füüsilise isiku puhul on maksimaalne rahaline karistus vähemalt 5 000 000 eurot. </w:t>
      </w:r>
    </w:p>
    <w:p w14:paraId="119DD92A" w14:textId="77777777" w:rsidR="0058502F" w:rsidRPr="003331EF" w:rsidRDefault="0058502F" w:rsidP="003331EF">
      <w:pPr>
        <w:spacing w:before="0"/>
      </w:pPr>
    </w:p>
    <w:p w14:paraId="1A28B8DC" w14:textId="39C6442B" w:rsidR="00C96C2D" w:rsidRPr="003331EF" w:rsidRDefault="00C96C2D" w:rsidP="003331EF">
      <w:pPr>
        <w:spacing w:before="0"/>
      </w:pPr>
      <w:r w:rsidRPr="003331EF">
        <w:rPr>
          <w:b/>
          <w:bCs/>
        </w:rPr>
        <w:t>Punktidega 3</w:t>
      </w:r>
      <w:r w:rsidR="003C46AC" w:rsidRPr="003331EF">
        <w:rPr>
          <w:b/>
          <w:bCs/>
        </w:rPr>
        <w:t>1</w:t>
      </w:r>
      <w:r w:rsidRPr="003331EF">
        <w:rPr>
          <w:b/>
          <w:bCs/>
        </w:rPr>
        <w:t xml:space="preserve"> ja 3</w:t>
      </w:r>
      <w:r w:rsidR="003C46AC" w:rsidRPr="003331EF">
        <w:rPr>
          <w:b/>
          <w:bCs/>
        </w:rPr>
        <w:t>2</w:t>
      </w:r>
      <w:r w:rsidRPr="003331EF">
        <w:rPr>
          <w:b/>
          <w:bCs/>
        </w:rPr>
        <w:t xml:space="preserve"> </w:t>
      </w:r>
      <w:r w:rsidRPr="003331EF">
        <w:t xml:space="preserve">tehakse tehnilised muudatused, mille tulemusel </w:t>
      </w:r>
      <w:proofErr w:type="spellStart"/>
      <w:r w:rsidRPr="003331EF">
        <w:rPr>
          <w:b/>
          <w:bCs/>
        </w:rPr>
        <w:t>RahaPTS</w:t>
      </w:r>
      <w:proofErr w:type="spellEnd"/>
      <w:r w:rsidRPr="003331EF">
        <w:rPr>
          <w:b/>
          <w:bCs/>
        </w:rPr>
        <w:t xml:space="preserve"> § 96</w:t>
      </w:r>
      <w:r w:rsidRPr="003331EF">
        <w:rPr>
          <w:b/>
          <w:bCs/>
          <w:vertAlign w:val="superscript"/>
        </w:rPr>
        <w:t>3</w:t>
      </w:r>
      <w:r w:rsidRPr="003331EF">
        <w:rPr>
          <w:b/>
          <w:bCs/>
        </w:rPr>
        <w:t xml:space="preserve"> tunnistatakse kehtetuks ja </w:t>
      </w:r>
      <w:proofErr w:type="spellStart"/>
      <w:r w:rsidRPr="003331EF">
        <w:rPr>
          <w:b/>
          <w:bCs/>
        </w:rPr>
        <w:t>RahaPTS</w:t>
      </w:r>
      <w:proofErr w:type="spellEnd"/>
      <w:r w:rsidRPr="003331EF">
        <w:rPr>
          <w:b/>
          <w:bCs/>
        </w:rPr>
        <w:t xml:space="preserve"> § 97 täiendatakse lõikega 2</w:t>
      </w:r>
      <w:r w:rsidRPr="003331EF">
        <w:t>, mis on samasisuline nagu kehtiv § 96</w:t>
      </w:r>
      <w:r w:rsidRPr="003331EF">
        <w:rPr>
          <w:vertAlign w:val="superscript"/>
        </w:rPr>
        <w:t>3</w:t>
      </w:r>
      <w:r w:rsidRPr="003331EF">
        <w:t>. Muudatuse eesmärgiks on tagada kooskõla teiste seadustega, kus eraldi aegumise paragrahvi pole, vaid aegumine on sätestatud menetluse paragrahvis.</w:t>
      </w:r>
    </w:p>
    <w:p w14:paraId="737211C9" w14:textId="77777777" w:rsidR="00C96C2D" w:rsidRPr="003331EF" w:rsidRDefault="00C96C2D" w:rsidP="003331EF">
      <w:pPr>
        <w:spacing w:before="0"/>
      </w:pPr>
    </w:p>
    <w:p w14:paraId="34F34A11" w14:textId="70BF5B23" w:rsidR="001A4507" w:rsidRPr="003331EF" w:rsidRDefault="001A4507" w:rsidP="003331EF">
      <w:pPr>
        <w:spacing w:before="0"/>
      </w:pPr>
      <w:r w:rsidRPr="003331EF">
        <w:rPr>
          <w:b/>
        </w:rPr>
        <w:t xml:space="preserve">Punktiga </w:t>
      </w:r>
      <w:r w:rsidR="00C96C2D" w:rsidRPr="003331EF">
        <w:rPr>
          <w:b/>
        </w:rPr>
        <w:t>3</w:t>
      </w:r>
      <w:r w:rsidR="003C46AC" w:rsidRPr="003331EF">
        <w:rPr>
          <w:b/>
        </w:rPr>
        <w:t>3</w:t>
      </w:r>
      <w:r w:rsidRPr="003331EF">
        <w:t xml:space="preserve"> </w:t>
      </w:r>
      <w:r w:rsidRPr="003331EF">
        <w:rPr>
          <w:b/>
          <w:bCs/>
          <w:iCs/>
          <w:spacing w:val="-5"/>
          <w:lang w:eastAsia="en-US"/>
        </w:rPr>
        <w:t>lisatakse seadusesse §</w:t>
      </w:r>
      <w:r w:rsidR="00197BA4" w:rsidRPr="003331EF">
        <w:rPr>
          <w:b/>
          <w:bCs/>
          <w:iCs/>
          <w:spacing w:val="-5"/>
          <w:lang w:eastAsia="en-US"/>
        </w:rPr>
        <w:t>-d</w:t>
      </w:r>
      <w:r w:rsidRPr="003331EF">
        <w:rPr>
          <w:b/>
          <w:bCs/>
          <w:iCs/>
          <w:spacing w:val="-5"/>
          <w:lang w:eastAsia="en-US"/>
        </w:rPr>
        <w:t xml:space="preserve"> 118</w:t>
      </w:r>
      <w:r w:rsidRPr="003331EF">
        <w:rPr>
          <w:b/>
          <w:bCs/>
          <w:iCs/>
          <w:spacing w:val="-5"/>
          <w:vertAlign w:val="superscript"/>
          <w:lang w:eastAsia="en-US"/>
        </w:rPr>
        <w:t>4</w:t>
      </w:r>
      <w:r w:rsidR="00197BA4" w:rsidRPr="003331EF">
        <w:rPr>
          <w:b/>
          <w:bCs/>
          <w:iCs/>
          <w:spacing w:val="-5"/>
          <w:lang w:eastAsia="en-US"/>
        </w:rPr>
        <w:t xml:space="preserve"> ja 118</w:t>
      </w:r>
      <w:r w:rsidR="00197BA4" w:rsidRPr="003331EF">
        <w:rPr>
          <w:b/>
          <w:bCs/>
          <w:iCs/>
          <w:spacing w:val="-5"/>
          <w:vertAlign w:val="superscript"/>
          <w:lang w:eastAsia="en-US"/>
        </w:rPr>
        <w:t>5</w:t>
      </w:r>
      <w:r w:rsidR="00197BA4" w:rsidRPr="003331EF">
        <w:rPr>
          <w:iCs/>
          <w:spacing w:val="-5"/>
          <w:lang w:eastAsia="en-US"/>
        </w:rPr>
        <w:t>.</w:t>
      </w:r>
      <w:r w:rsidRPr="003331EF">
        <w:rPr>
          <w:iCs/>
          <w:spacing w:val="-5"/>
          <w:lang w:eastAsia="en-US"/>
        </w:rPr>
        <w:t xml:space="preserve"> </w:t>
      </w:r>
      <w:r w:rsidR="00197BA4" w:rsidRPr="003331EF">
        <w:rPr>
          <w:iCs/>
          <w:spacing w:val="-5"/>
          <w:lang w:eastAsia="en-US"/>
        </w:rPr>
        <w:t>Lisanduva § 118</w:t>
      </w:r>
      <w:r w:rsidR="00197BA4" w:rsidRPr="003331EF">
        <w:rPr>
          <w:iCs/>
          <w:spacing w:val="-5"/>
          <w:vertAlign w:val="superscript"/>
          <w:lang w:eastAsia="en-US"/>
        </w:rPr>
        <w:t>4</w:t>
      </w:r>
      <w:r w:rsidR="00197BA4" w:rsidRPr="003331EF">
        <w:rPr>
          <w:iCs/>
          <w:spacing w:val="-5"/>
          <w:lang w:eastAsia="en-US"/>
        </w:rPr>
        <w:t xml:space="preserve"> </w:t>
      </w:r>
      <w:r w:rsidRPr="003331EF">
        <w:rPr>
          <w:iCs/>
          <w:spacing w:val="-5"/>
          <w:lang w:eastAsia="en-US"/>
        </w:rPr>
        <w:t xml:space="preserve">kohaselt </w:t>
      </w:r>
      <w:proofErr w:type="spellStart"/>
      <w:r w:rsidRPr="003331EF">
        <w:rPr>
          <w:iCs/>
          <w:spacing w:val="-5"/>
          <w:lang w:eastAsia="en-US"/>
        </w:rPr>
        <w:t>RahaPTS</w:t>
      </w:r>
      <w:proofErr w:type="spellEnd"/>
      <w:r w:rsidRPr="003331EF">
        <w:rPr>
          <w:iCs/>
          <w:spacing w:val="-5"/>
          <w:lang w:eastAsia="en-US"/>
        </w:rPr>
        <w:t xml:space="preserve">-i alusel antud </w:t>
      </w:r>
      <w:r w:rsidR="005E7406" w:rsidRPr="003331EF">
        <w:rPr>
          <w:iCs/>
          <w:spacing w:val="-5"/>
          <w:lang w:eastAsia="en-US"/>
        </w:rPr>
        <w:t>VASP</w:t>
      </w:r>
      <w:r w:rsidRPr="003331EF">
        <w:rPr>
          <w:iCs/>
          <w:spacing w:val="-5"/>
          <w:lang w:eastAsia="en-US"/>
        </w:rPr>
        <w:t xml:space="preserve"> tegevusluba muutub kehtetuks eelnõu kohase </w:t>
      </w:r>
      <w:proofErr w:type="spellStart"/>
      <w:r w:rsidRPr="003331EF">
        <w:rPr>
          <w:iCs/>
          <w:spacing w:val="-5"/>
          <w:lang w:eastAsia="en-US"/>
        </w:rPr>
        <w:t>krüptovarateenuse</w:t>
      </w:r>
      <w:proofErr w:type="spellEnd"/>
      <w:r w:rsidRPr="003331EF">
        <w:rPr>
          <w:iCs/>
          <w:spacing w:val="-5"/>
          <w:lang w:eastAsia="en-US"/>
        </w:rPr>
        <w:t xml:space="preserve"> osutaja tegevusloa andmisega või 202</w:t>
      </w:r>
      <w:r w:rsidR="003C46AC" w:rsidRPr="003331EF">
        <w:rPr>
          <w:iCs/>
          <w:spacing w:val="-5"/>
          <w:lang w:eastAsia="en-US"/>
        </w:rPr>
        <w:t>6</w:t>
      </w:r>
      <w:r w:rsidRPr="003331EF">
        <w:rPr>
          <w:iCs/>
          <w:spacing w:val="-5"/>
          <w:lang w:eastAsia="en-US"/>
        </w:rPr>
        <w:t>. aasta 1. j</w:t>
      </w:r>
      <w:r w:rsidR="003C46AC" w:rsidRPr="003331EF">
        <w:rPr>
          <w:iCs/>
          <w:spacing w:val="-5"/>
          <w:lang w:eastAsia="en-US"/>
        </w:rPr>
        <w:t>aanuaril</w:t>
      </w:r>
      <w:r w:rsidRPr="003331EF">
        <w:rPr>
          <w:iCs/>
          <w:spacing w:val="-5"/>
          <w:lang w:eastAsia="en-US"/>
        </w:rPr>
        <w:t xml:space="preserve">. </w:t>
      </w:r>
      <w:proofErr w:type="spellStart"/>
      <w:r w:rsidRPr="003331EF">
        <w:rPr>
          <w:iCs/>
          <w:spacing w:val="-5"/>
          <w:lang w:eastAsia="en-US"/>
        </w:rPr>
        <w:t>RahaPTS</w:t>
      </w:r>
      <w:proofErr w:type="spellEnd"/>
      <w:r w:rsidRPr="003331EF">
        <w:rPr>
          <w:iCs/>
          <w:spacing w:val="-5"/>
          <w:lang w:eastAsia="en-US"/>
        </w:rPr>
        <w:t xml:space="preserve"> alusel ei saa enam tegevusluba taotleda alates 2024. aasta </w:t>
      </w:r>
      <w:r w:rsidR="00D23449" w:rsidRPr="003331EF">
        <w:rPr>
          <w:iCs/>
          <w:spacing w:val="-5"/>
          <w:lang w:eastAsia="en-US"/>
        </w:rPr>
        <w:t>30. detsembris</w:t>
      </w:r>
      <w:r w:rsidR="00986391" w:rsidRPr="003331EF">
        <w:rPr>
          <w:iCs/>
          <w:spacing w:val="-5"/>
          <w:lang w:eastAsia="en-US"/>
        </w:rPr>
        <w:t>t</w:t>
      </w:r>
      <w:r w:rsidRPr="003331EF">
        <w:rPr>
          <w:iCs/>
          <w:spacing w:val="-5"/>
          <w:lang w:eastAsia="en-US"/>
        </w:rPr>
        <w:t xml:space="preserve"> ehk </w:t>
      </w:r>
      <w:proofErr w:type="spellStart"/>
      <w:r w:rsidRPr="003331EF">
        <w:rPr>
          <w:iCs/>
          <w:spacing w:val="-5"/>
          <w:lang w:eastAsia="en-US"/>
        </w:rPr>
        <w:t>M</w:t>
      </w:r>
      <w:r w:rsidR="0019289B">
        <w:rPr>
          <w:iCs/>
          <w:spacing w:val="-5"/>
          <w:lang w:eastAsia="en-US"/>
        </w:rPr>
        <w:t>i</w:t>
      </w:r>
      <w:r w:rsidRPr="003331EF">
        <w:rPr>
          <w:iCs/>
          <w:spacing w:val="-5"/>
          <w:lang w:eastAsia="en-US"/>
        </w:rPr>
        <w:t>CA</w:t>
      </w:r>
      <w:proofErr w:type="spellEnd"/>
      <w:r w:rsidRPr="003331EF">
        <w:rPr>
          <w:iCs/>
          <w:spacing w:val="-5"/>
          <w:lang w:eastAsia="en-US"/>
        </w:rPr>
        <w:t xml:space="preserve"> </w:t>
      </w:r>
      <w:r w:rsidR="00D23449" w:rsidRPr="003331EF">
        <w:rPr>
          <w:iCs/>
          <w:spacing w:val="-5"/>
          <w:lang w:eastAsia="en-US"/>
        </w:rPr>
        <w:t>ja AMLD4 muudatuste</w:t>
      </w:r>
      <w:r w:rsidRPr="003331EF">
        <w:rPr>
          <w:iCs/>
          <w:spacing w:val="-5"/>
          <w:lang w:eastAsia="en-US"/>
        </w:rPr>
        <w:t xml:space="preserve"> rakendamise kuupäevast</w:t>
      </w:r>
      <w:r w:rsidR="00917708" w:rsidRPr="003331EF">
        <w:t xml:space="preserve"> (</w:t>
      </w:r>
      <w:r w:rsidR="00917708" w:rsidRPr="003331EF">
        <w:rPr>
          <w:b/>
          <w:bCs/>
        </w:rPr>
        <w:t>lõige 1</w:t>
      </w:r>
      <w:r w:rsidR="00917708" w:rsidRPr="003331EF">
        <w:t>)</w:t>
      </w:r>
      <w:r w:rsidRPr="003331EF">
        <w:t>.</w:t>
      </w:r>
      <w:r w:rsidR="0045582E" w:rsidRPr="003331EF">
        <w:t xml:space="preserve"> </w:t>
      </w:r>
      <w:r w:rsidR="0045582E" w:rsidRPr="003331EF">
        <w:rPr>
          <w:iCs/>
          <w:spacing w:val="-5"/>
          <w:lang w:eastAsia="en-US"/>
        </w:rPr>
        <w:t xml:space="preserve">Teenuseosutajad, kes soovivad </w:t>
      </w:r>
      <w:proofErr w:type="spellStart"/>
      <w:r w:rsidR="0045582E" w:rsidRPr="003331EF">
        <w:rPr>
          <w:iCs/>
          <w:spacing w:val="-5"/>
          <w:lang w:eastAsia="en-US"/>
        </w:rPr>
        <w:t>MiCA</w:t>
      </w:r>
      <w:proofErr w:type="spellEnd"/>
      <w:r w:rsidR="0045582E" w:rsidRPr="003331EF">
        <w:rPr>
          <w:iCs/>
          <w:spacing w:val="-5"/>
          <w:lang w:eastAsia="en-US"/>
        </w:rPr>
        <w:t xml:space="preserve"> rakendumisel RAB tegevusloa all edasi tegutseda, ei saa tegevusloa muutmist taotleda alates 2026. aasta 1. j</w:t>
      </w:r>
      <w:r w:rsidR="00C402F7" w:rsidRPr="003331EF">
        <w:rPr>
          <w:iCs/>
          <w:spacing w:val="-5"/>
          <w:lang w:eastAsia="en-US"/>
        </w:rPr>
        <w:t>aanuarist</w:t>
      </w:r>
      <w:r w:rsidR="0045582E" w:rsidRPr="003331EF">
        <w:rPr>
          <w:iCs/>
          <w:spacing w:val="-5"/>
          <w:lang w:eastAsia="en-US"/>
        </w:rPr>
        <w:t>.</w:t>
      </w:r>
      <w:r w:rsidR="0045582E" w:rsidRPr="003331EF">
        <w:t xml:space="preserve"> </w:t>
      </w:r>
    </w:p>
    <w:p w14:paraId="02851387" w14:textId="77777777" w:rsidR="00917708" w:rsidRPr="003331EF" w:rsidRDefault="00917708" w:rsidP="003331EF">
      <w:pPr>
        <w:spacing w:before="0"/>
      </w:pPr>
    </w:p>
    <w:p w14:paraId="356266E8" w14:textId="5480E400" w:rsidR="00FF1CF7" w:rsidRPr="003331EF" w:rsidRDefault="00917708" w:rsidP="003331EF">
      <w:pPr>
        <w:spacing w:before="0"/>
        <w:rPr>
          <w:iCs/>
          <w:spacing w:val="-5"/>
          <w:lang w:eastAsia="en-US"/>
        </w:rPr>
      </w:pPr>
      <w:r w:rsidRPr="003331EF">
        <w:rPr>
          <w:iCs/>
          <w:spacing w:val="-5"/>
          <w:lang w:eastAsia="en-US"/>
        </w:rPr>
        <w:t xml:space="preserve">Kui Rahapesu Andmebüroole on esitatud tegevusloa taotlus enne, kui lõike 1 kohaselt seda enam teha ei saa, kuid tegevusloa menetlus on </w:t>
      </w:r>
      <w:proofErr w:type="spellStart"/>
      <w:r w:rsidRPr="003331EF">
        <w:rPr>
          <w:iCs/>
          <w:spacing w:val="-5"/>
          <w:lang w:eastAsia="en-US"/>
        </w:rPr>
        <w:t>M</w:t>
      </w:r>
      <w:r w:rsidR="0019289B">
        <w:rPr>
          <w:iCs/>
          <w:spacing w:val="-5"/>
          <w:lang w:eastAsia="en-US"/>
        </w:rPr>
        <w:t>i</w:t>
      </w:r>
      <w:r w:rsidRPr="003331EF">
        <w:rPr>
          <w:iCs/>
          <w:spacing w:val="-5"/>
          <w:lang w:eastAsia="en-US"/>
        </w:rPr>
        <w:t>CA</w:t>
      </w:r>
      <w:proofErr w:type="spellEnd"/>
      <w:r w:rsidRPr="003331EF">
        <w:rPr>
          <w:iCs/>
          <w:spacing w:val="-5"/>
          <w:lang w:eastAsia="en-US"/>
        </w:rPr>
        <w:t xml:space="preserve"> rakendamiskuupäeva seisuga pooleli, jätab Rahapesu Andmebüroo taotluse </w:t>
      </w:r>
      <w:proofErr w:type="spellStart"/>
      <w:r w:rsidRPr="003331EF">
        <w:rPr>
          <w:iCs/>
          <w:spacing w:val="-5"/>
          <w:lang w:eastAsia="en-US"/>
        </w:rPr>
        <w:t>läbivaatamata</w:t>
      </w:r>
      <w:proofErr w:type="spellEnd"/>
      <w:r w:rsidRPr="003331EF">
        <w:rPr>
          <w:iCs/>
          <w:spacing w:val="-5"/>
          <w:lang w:eastAsia="en-US"/>
        </w:rPr>
        <w:t xml:space="preserve"> ning kõik dokumendid tagastatakse taotlejale. Riigilõivu tagastamisele kohaldatakse RLS-</w:t>
      </w:r>
      <w:proofErr w:type="spellStart"/>
      <w:r w:rsidRPr="003331EF">
        <w:rPr>
          <w:iCs/>
          <w:spacing w:val="-5"/>
          <w:lang w:eastAsia="en-US"/>
        </w:rPr>
        <w:t>is</w:t>
      </w:r>
      <w:proofErr w:type="spellEnd"/>
      <w:r w:rsidRPr="003331EF">
        <w:rPr>
          <w:iCs/>
          <w:spacing w:val="-5"/>
          <w:lang w:eastAsia="en-US"/>
        </w:rPr>
        <w:t xml:space="preserve"> sätestatut, mille § 15 lõike 1 punkti 5 kohaselt, riigilõiv tagastatakse, kui toimingu tegemise taotlus jäetakse läbi vaatamata, sealjuures võib lõike 2 kohaselt tagastatavast summast maha arvata taotluse läbivaatamisega kaasnenud menetluskulu. </w:t>
      </w:r>
    </w:p>
    <w:p w14:paraId="35483F9C" w14:textId="77777777" w:rsidR="00FF1CF7" w:rsidRPr="003331EF" w:rsidRDefault="00FF1CF7" w:rsidP="003331EF">
      <w:pPr>
        <w:spacing w:before="0"/>
      </w:pPr>
    </w:p>
    <w:tbl>
      <w:tblPr>
        <w:tblStyle w:val="Kontuurtabel"/>
        <w:tblW w:w="0" w:type="auto"/>
        <w:tblLook w:val="04A0" w:firstRow="1" w:lastRow="0" w:firstColumn="1" w:lastColumn="0" w:noHBand="0" w:noVBand="1"/>
      </w:tblPr>
      <w:tblGrid>
        <w:gridCol w:w="2547"/>
        <w:gridCol w:w="3493"/>
        <w:gridCol w:w="3021"/>
      </w:tblGrid>
      <w:tr w:rsidR="003331EF" w:rsidRPr="003331EF" w14:paraId="179C52D9" w14:textId="77777777" w:rsidTr="006374B1">
        <w:tc>
          <w:tcPr>
            <w:tcW w:w="2547" w:type="dxa"/>
            <w:shd w:val="clear" w:color="auto" w:fill="D9E2F3" w:themeFill="accent5" w:themeFillTint="33"/>
          </w:tcPr>
          <w:p w14:paraId="440AB7C5" w14:textId="77777777" w:rsidR="001A4507" w:rsidRPr="003331EF" w:rsidRDefault="001A4507" w:rsidP="003331EF">
            <w:pPr>
              <w:spacing w:before="0"/>
              <w:rPr>
                <w:i/>
                <w:iCs/>
                <w:sz w:val="20"/>
                <w:szCs w:val="20"/>
              </w:rPr>
            </w:pPr>
          </w:p>
        </w:tc>
        <w:tc>
          <w:tcPr>
            <w:tcW w:w="3493" w:type="dxa"/>
            <w:shd w:val="clear" w:color="auto" w:fill="D9E2F3" w:themeFill="accent5" w:themeFillTint="33"/>
          </w:tcPr>
          <w:p w14:paraId="6A38DE4D" w14:textId="77777777" w:rsidR="001A4507" w:rsidRPr="003331EF" w:rsidRDefault="001A4507" w:rsidP="003331EF">
            <w:pPr>
              <w:spacing w:before="0"/>
              <w:jc w:val="center"/>
              <w:rPr>
                <w:b/>
                <w:bCs/>
                <w:i/>
                <w:iCs/>
                <w:sz w:val="20"/>
                <w:szCs w:val="20"/>
              </w:rPr>
            </w:pPr>
            <w:proofErr w:type="spellStart"/>
            <w:r w:rsidRPr="003331EF">
              <w:rPr>
                <w:b/>
                <w:bCs/>
                <w:i/>
                <w:iCs/>
                <w:sz w:val="20"/>
                <w:szCs w:val="20"/>
              </w:rPr>
              <w:t>RahaPTS</w:t>
            </w:r>
            <w:proofErr w:type="spellEnd"/>
            <w:r w:rsidRPr="003331EF">
              <w:rPr>
                <w:b/>
                <w:bCs/>
                <w:i/>
                <w:iCs/>
                <w:sz w:val="20"/>
                <w:szCs w:val="20"/>
              </w:rPr>
              <w:t xml:space="preserve"> virtuaalvääringu teenuse pakkuja</w:t>
            </w:r>
          </w:p>
        </w:tc>
        <w:tc>
          <w:tcPr>
            <w:tcW w:w="3021" w:type="dxa"/>
            <w:shd w:val="clear" w:color="auto" w:fill="D9E2F3" w:themeFill="accent5" w:themeFillTint="33"/>
          </w:tcPr>
          <w:p w14:paraId="22B512BB" w14:textId="6D3EF9DC" w:rsidR="001A4507" w:rsidRPr="003331EF" w:rsidRDefault="001A4507" w:rsidP="003331EF">
            <w:pPr>
              <w:spacing w:before="0"/>
              <w:jc w:val="center"/>
              <w:rPr>
                <w:b/>
                <w:bCs/>
                <w:i/>
                <w:iCs/>
                <w:sz w:val="20"/>
                <w:szCs w:val="20"/>
              </w:rPr>
            </w:pPr>
            <w:proofErr w:type="spellStart"/>
            <w:r w:rsidRPr="003331EF">
              <w:rPr>
                <w:b/>
                <w:bCs/>
                <w:i/>
                <w:iCs/>
                <w:sz w:val="20"/>
                <w:szCs w:val="20"/>
              </w:rPr>
              <w:t>Kr</w:t>
            </w:r>
            <w:r w:rsidR="005F4E70" w:rsidRPr="003331EF">
              <w:rPr>
                <w:b/>
                <w:bCs/>
                <w:i/>
                <w:iCs/>
                <w:sz w:val="20"/>
                <w:szCs w:val="20"/>
              </w:rPr>
              <w:t>ü</w:t>
            </w:r>
            <w:r w:rsidRPr="003331EF">
              <w:rPr>
                <w:b/>
                <w:bCs/>
                <w:i/>
                <w:iCs/>
                <w:sz w:val="20"/>
                <w:szCs w:val="20"/>
              </w:rPr>
              <w:t>TS</w:t>
            </w:r>
            <w:proofErr w:type="spellEnd"/>
            <w:r w:rsidRPr="003331EF">
              <w:rPr>
                <w:b/>
                <w:bCs/>
                <w:i/>
                <w:iCs/>
                <w:sz w:val="20"/>
                <w:szCs w:val="20"/>
              </w:rPr>
              <w:t xml:space="preserve"> </w:t>
            </w:r>
            <w:proofErr w:type="spellStart"/>
            <w:r w:rsidRPr="003331EF">
              <w:rPr>
                <w:b/>
                <w:bCs/>
                <w:i/>
                <w:iCs/>
                <w:sz w:val="20"/>
                <w:szCs w:val="20"/>
              </w:rPr>
              <w:t>krüptovarateenuse</w:t>
            </w:r>
            <w:proofErr w:type="spellEnd"/>
            <w:r w:rsidRPr="003331EF">
              <w:rPr>
                <w:b/>
                <w:bCs/>
                <w:i/>
                <w:iCs/>
                <w:sz w:val="20"/>
                <w:szCs w:val="20"/>
              </w:rPr>
              <w:t xml:space="preserve"> osutaja</w:t>
            </w:r>
          </w:p>
        </w:tc>
      </w:tr>
      <w:tr w:rsidR="003331EF" w:rsidRPr="003331EF" w14:paraId="372F4FF0" w14:textId="77777777" w:rsidTr="000020ED">
        <w:trPr>
          <w:trHeight w:val="1281"/>
        </w:trPr>
        <w:tc>
          <w:tcPr>
            <w:tcW w:w="2547" w:type="dxa"/>
            <w:shd w:val="clear" w:color="auto" w:fill="D9E2F3" w:themeFill="accent5" w:themeFillTint="33"/>
          </w:tcPr>
          <w:p w14:paraId="63230A2C" w14:textId="230DDE47" w:rsidR="001A4507" w:rsidRPr="003331EF" w:rsidRDefault="00D23449" w:rsidP="003331EF">
            <w:pPr>
              <w:spacing w:before="0"/>
              <w:jc w:val="center"/>
              <w:rPr>
                <w:b/>
                <w:i/>
                <w:sz w:val="20"/>
                <w:szCs w:val="20"/>
              </w:rPr>
            </w:pPr>
            <w:r w:rsidRPr="003331EF">
              <w:rPr>
                <w:b/>
                <w:bCs/>
                <w:i/>
                <w:iCs/>
                <w:sz w:val="20"/>
                <w:szCs w:val="20"/>
              </w:rPr>
              <w:lastRenderedPageBreak/>
              <w:t>30.12.</w:t>
            </w:r>
            <w:r w:rsidR="001A4507" w:rsidRPr="003331EF">
              <w:rPr>
                <w:b/>
                <w:bCs/>
                <w:i/>
                <w:iCs/>
                <w:sz w:val="20"/>
                <w:szCs w:val="20"/>
              </w:rPr>
              <w:t>202</w:t>
            </w:r>
            <w:r w:rsidRPr="003331EF">
              <w:rPr>
                <w:b/>
                <w:bCs/>
                <w:i/>
                <w:iCs/>
                <w:sz w:val="20"/>
                <w:szCs w:val="20"/>
              </w:rPr>
              <w:t>4</w:t>
            </w:r>
          </w:p>
        </w:tc>
        <w:tc>
          <w:tcPr>
            <w:tcW w:w="3493" w:type="dxa"/>
          </w:tcPr>
          <w:p w14:paraId="524A34CB" w14:textId="3663BE2F" w:rsidR="001A4507" w:rsidRPr="003331EF" w:rsidRDefault="001A4507" w:rsidP="003331EF">
            <w:pPr>
              <w:pStyle w:val="Loendilik"/>
              <w:numPr>
                <w:ilvl w:val="0"/>
                <w:numId w:val="31"/>
              </w:numPr>
              <w:jc w:val="both"/>
              <w:rPr>
                <w:i/>
                <w:iCs/>
                <w:sz w:val="20"/>
                <w:szCs w:val="20"/>
              </w:rPr>
            </w:pPr>
            <w:r w:rsidRPr="003331EF">
              <w:rPr>
                <w:i/>
                <w:iCs/>
                <w:sz w:val="20"/>
                <w:szCs w:val="20"/>
              </w:rPr>
              <w:t xml:space="preserve">Ei saa enam </w:t>
            </w:r>
            <w:r w:rsidR="005F4E70" w:rsidRPr="003331EF">
              <w:rPr>
                <w:i/>
                <w:iCs/>
                <w:sz w:val="20"/>
                <w:szCs w:val="20"/>
              </w:rPr>
              <w:t>Rahapesu Andmebüroolt</w:t>
            </w:r>
            <w:r w:rsidRPr="003331EF">
              <w:rPr>
                <w:i/>
                <w:iCs/>
                <w:sz w:val="20"/>
                <w:szCs w:val="20"/>
              </w:rPr>
              <w:t xml:space="preserve"> tegevusluba taotleda.</w:t>
            </w:r>
          </w:p>
          <w:p w14:paraId="03D81E6D" w14:textId="2C3EA7B9" w:rsidR="001A4507" w:rsidRPr="003331EF" w:rsidRDefault="001A4507" w:rsidP="003331EF">
            <w:pPr>
              <w:pStyle w:val="Loendilik"/>
              <w:numPr>
                <w:ilvl w:val="0"/>
                <w:numId w:val="31"/>
              </w:numPr>
              <w:jc w:val="both"/>
              <w:rPr>
                <w:i/>
                <w:iCs/>
                <w:sz w:val="20"/>
                <w:szCs w:val="20"/>
              </w:rPr>
            </w:pPr>
            <w:r w:rsidRPr="003331EF">
              <w:rPr>
                <w:i/>
                <w:iCs/>
                <w:sz w:val="20"/>
                <w:szCs w:val="20"/>
              </w:rPr>
              <w:t xml:space="preserve">Teenuse pakkujatel lubatakse </w:t>
            </w:r>
            <w:r w:rsidR="00C402F7" w:rsidRPr="003331EF">
              <w:rPr>
                <w:i/>
                <w:iCs/>
                <w:sz w:val="20"/>
                <w:szCs w:val="20"/>
              </w:rPr>
              <w:t xml:space="preserve">Eestis </w:t>
            </w:r>
            <w:r w:rsidRPr="003331EF">
              <w:rPr>
                <w:i/>
                <w:iCs/>
                <w:sz w:val="20"/>
                <w:szCs w:val="20"/>
              </w:rPr>
              <w:t>tegutseda kuni 01.0</w:t>
            </w:r>
            <w:r w:rsidR="00C402F7" w:rsidRPr="003331EF">
              <w:rPr>
                <w:i/>
                <w:iCs/>
                <w:sz w:val="20"/>
                <w:szCs w:val="20"/>
              </w:rPr>
              <w:t>1</w:t>
            </w:r>
            <w:r w:rsidRPr="003331EF">
              <w:rPr>
                <w:i/>
                <w:iCs/>
                <w:sz w:val="20"/>
                <w:szCs w:val="20"/>
              </w:rPr>
              <w:t>.202</w:t>
            </w:r>
            <w:r w:rsidR="00C402F7" w:rsidRPr="003331EF">
              <w:rPr>
                <w:i/>
                <w:iCs/>
                <w:sz w:val="20"/>
                <w:szCs w:val="20"/>
              </w:rPr>
              <w:t>6</w:t>
            </w:r>
            <w:r w:rsidRPr="003331EF">
              <w:rPr>
                <w:i/>
                <w:iCs/>
                <w:sz w:val="20"/>
                <w:szCs w:val="20"/>
              </w:rPr>
              <w:t xml:space="preserve">. </w:t>
            </w:r>
            <w:r w:rsidR="00C402F7" w:rsidRPr="003331EF">
              <w:rPr>
                <w:i/>
                <w:iCs/>
                <w:sz w:val="20"/>
                <w:szCs w:val="20"/>
              </w:rPr>
              <w:t xml:space="preserve">Piiriüleselt teenust osutada enam ei saa. </w:t>
            </w:r>
          </w:p>
        </w:tc>
        <w:tc>
          <w:tcPr>
            <w:tcW w:w="3021" w:type="dxa"/>
          </w:tcPr>
          <w:p w14:paraId="1513E470" w14:textId="77777777" w:rsidR="001A4507" w:rsidRPr="003331EF" w:rsidRDefault="001A4507" w:rsidP="003331EF">
            <w:pPr>
              <w:pStyle w:val="Loendilik"/>
              <w:numPr>
                <w:ilvl w:val="0"/>
                <w:numId w:val="31"/>
              </w:numPr>
              <w:jc w:val="both"/>
              <w:rPr>
                <w:i/>
                <w:iCs/>
                <w:sz w:val="20"/>
                <w:szCs w:val="20"/>
              </w:rPr>
            </w:pPr>
            <w:r w:rsidRPr="003331EF">
              <w:rPr>
                <w:i/>
                <w:iCs/>
                <w:sz w:val="20"/>
                <w:szCs w:val="20"/>
              </w:rPr>
              <w:t xml:space="preserve">Tegevusloa taotlemine </w:t>
            </w:r>
            <w:proofErr w:type="spellStart"/>
            <w:r w:rsidRPr="003331EF">
              <w:rPr>
                <w:i/>
                <w:iCs/>
                <w:sz w:val="20"/>
                <w:szCs w:val="20"/>
              </w:rPr>
              <w:t>FI-st</w:t>
            </w:r>
            <w:proofErr w:type="spellEnd"/>
          </w:p>
        </w:tc>
      </w:tr>
      <w:tr w:rsidR="003331EF" w:rsidRPr="003331EF" w14:paraId="6173ABCF" w14:textId="77777777" w:rsidTr="006374B1">
        <w:tc>
          <w:tcPr>
            <w:tcW w:w="2547" w:type="dxa"/>
            <w:shd w:val="clear" w:color="auto" w:fill="D9E2F3" w:themeFill="accent5" w:themeFillTint="33"/>
          </w:tcPr>
          <w:p w14:paraId="2D1A8D52" w14:textId="3FC07493" w:rsidR="001A4507" w:rsidRPr="003331EF" w:rsidRDefault="00D23449" w:rsidP="003331EF">
            <w:pPr>
              <w:spacing w:before="0"/>
              <w:jc w:val="center"/>
              <w:rPr>
                <w:b/>
                <w:bCs/>
                <w:i/>
                <w:iCs/>
                <w:sz w:val="20"/>
                <w:szCs w:val="20"/>
              </w:rPr>
            </w:pPr>
            <w:r w:rsidRPr="003331EF">
              <w:rPr>
                <w:b/>
                <w:bCs/>
                <w:i/>
                <w:iCs/>
                <w:sz w:val="20"/>
                <w:szCs w:val="20"/>
              </w:rPr>
              <w:t>30.12.2024</w:t>
            </w:r>
            <w:r w:rsidR="001A4507" w:rsidRPr="003331EF">
              <w:rPr>
                <w:b/>
                <w:bCs/>
                <w:i/>
                <w:iCs/>
                <w:sz w:val="20"/>
                <w:szCs w:val="20"/>
              </w:rPr>
              <w:t>-01.0</w:t>
            </w:r>
            <w:r w:rsidR="00C402F7" w:rsidRPr="003331EF">
              <w:rPr>
                <w:b/>
                <w:bCs/>
                <w:i/>
                <w:iCs/>
                <w:sz w:val="20"/>
                <w:szCs w:val="20"/>
              </w:rPr>
              <w:t>1</w:t>
            </w:r>
            <w:r w:rsidR="001A4507" w:rsidRPr="003331EF">
              <w:rPr>
                <w:b/>
                <w:bCs/>
                <w:i/>
                <w:iCs/>
                <w:sz w:val="20"/>
                <w:szCs w:val="20"/>
              </w:rPr>
              <w:t>.202</w:t>
            </w:r>
            <w:r w:rsidR="00C402F7" w:rsidRPr="003331EF">
              <w:rPr>
                <w:b/>
                <w:bCs/>
                <w:i/>
                <w:iCs/>
                <w:sz w:val="20"/>
                <w:szCs w:val="20"/>
              </w:rPr>
              <w:t>6</w:t>
            </w:r>
          </w:p>
        </w:tc>
        <w:tc>
          <w:tcPr>
            <w:tcW w:w="6514" w:type="dxa"/>
            <w:gridSpan w:val="2"/>
          </w:tcPr>
          <w:p w14:paraId="6EAC422D" w14:textId="621B2AE0" w:rsidR="001A4507" w:rsidRPr="003331EF" w:rsidRDefault="00B15440" w:rsidP="003331EF">
            <w:pPr>
              <w:pStyle w:val="Loendilik"/>
              <w:numPr>
                <w:ilvl w:val="0"/>
                <w:numId w:val="31"/>
              </w:numPr>
              <w:jc w:val="both"/>
              <w:rPr>
                <w:i/>
                <w:iCs/>
                <w:sz w:val="20"/>
                <w:szCs w:val="20"/>
              </w:rPr>
            </w:pPr>
            <w:proofErr w:type="spellStart"/>
            <w:r w:rsidRPr="003331EF">
              <w:rPr>
                <w:i/>
                <w:iCs/>
                <w:sz w:val="20"/>
                <w:szCs w:val="20"/>
              </w:rPr>
              <w:t>RahaPTSi</w:t>
            </w:r>
            <w:proofErr w:type="spellEnd"/>
            <w:r w:rsidRPr="003331EF">
              <w:rPr>
                <w:i/>
                <w:iCs/>
                <w:sz w:val="20"/>
                <w:szCs w:val="20"/>
              </w:rPr>
              <w:t xml:space="preserve"> k</w:t>
            </w:r>
            <w:r w:rsidR="001A4507" w:rsidRPr="003331EF">
              <w:rPr>
                <w:i/>
                <w:iCs/>
                <w:sz w:val="20"/>
                <w:szCs w:val="20"/>
              </w:rPr>
              <w:t xml:space="preserve">ohaldatakse nii </w:t>
            </w:r>
            <w:r w:rsidR="005F4E70" w:rsidRPr="003331EF">
              <w:rPr>
                <w:i/>
                <w:iCs/>
                <w:sz w:val="20"/>
                <w:szCs w:val="20"/>
              </w:rPr>
              <w:t>Rahapesu Andmebüroo</w:t>
            </w:r>
            <w:r w:rsidR="001A4507" w:rsidRPr="003331EF">
              <w:rPr>
                <w:i/>
                <w:iCs/>
                <w:sz w:val="20"/>
                <w:szCs w:val="20"/>
              </w:rPr>
              <w:t xml:space="preserve"> tegevusloaga </w:t>
            </w:r>
            <w:proofErr w:type="spellStart"/>
            <w:r w:rsidR="005E7406" w:rsidRPr="003331EF">
              <w:rPr>
                <w:i/>
                <w:iCs/>
                <w:sz w:val="20"/>
                <w:szCs w:val="20"/>
              </w:rPr>
              <w:t>VASPile</w:t>
            </w:r>
            <w:proofErr w:type="spellEnd"/>
            <w:r w:rsidR="005E7406" w:rsidRPr="003331EF">
              <w:rPr>
                <w:i/>
                <w:iCs/>
                <w:sz w:val="20"/>
                <w:szCs w:val="20"/>
              </w:rPr>
              <w:t xml:space="preserve"> </w:t>
            </w:r>
            <w:r w:rsidR="001A4507" w:rsidRPr="003331EF">
              <w:rPr>
                <w:i/>
                <w:iCs/>
                <w:sz w:val="20"/>
                <w:szCs w:val="20"/>
              </w:rPr>
              <w:t xml:space="preserve">kui ka FI tegevusloaga </w:t>
            </w:r>
            <w:proofErr w:type="spellStart"/>
            <w:r w:rsidR="001A4507" w:rsidRPr="003331EF">
              <w:rPr>
                <w:i/>
                <w:iCs/>
                <w:sz w:val="20"/>
                <w:szCs w:val="20"/>
              </w:rPr>
              <w:t>krüptovarateenuse</w:t>
            </w:r>
            <w:proofErr w:type="spellEnd"/>
            <w:r w:rsidR="001A4507" w:rsidRPr="003331EF">
              <w:rPr>
                <w:i/>
                <w:iCs/>
                <w:sz w:val="20"/>
                <w:szCs w:val="20"/>
              </w:rPr>
              <w:t xml:space="preserve"> osutajatele</w:t>
            </w:r>
            <w:r w:rsidR="005E7406" w:rsidRPr="003331EF">
              <w:rPr>
                <w:i/>
                <w:iCs/>
                <w:sz w:val="20"/>
                <w:szCs w:val="20"/>
              </w:rPr>
              <w:t xml:space="preserve"> </w:t>
            </w:r>
          </w:p>
        </w:tc>
      </w:tr>
      <w:tr w:rsidR="003331EF" w:rsidRPr="003331EF" w14:paraId="1B6E25C7" w14:textId="77777777" w:rsidTr="006374B1">
        <w:tc>
          <w:tcPr>
            <w:tcW w:w="2547" w:type="dxa"/>
            <w:shd w:val="clear" w:color="auto" w:fill="D9E2F3" w:themeFill="accent5" w:themeFillTint="33"/>
          </w:tcPr>
          <w:p w14:paraId="2D9320F5" w14:textId="13C3D2C3" w:rsidR="001A4507" w:rsidRPr="003331EF" w:rsidRDefault="001A4507" w:rsidP="003331EF">
            <w:pPr>
              <w:spacing w:before="0"/>
              <w:jc w:val="center"/>
              <w:rPr>
                <w:b/>
                <w:bCs/>
                <w:i/>
                <w:iCs/>
                <w:sz w:val="20"/>
                <w:szCs w:val="20"/>
              </w:rPr>
            </w:pPr>
            <w:r w:rsidRPr="003331EF">
              <w:rPr>
                <w:b/>
                <w:bCs/>
                <w:i/>
                <w:iCs/>
                <w:sz w:val="20"/>
                <w:szCs w:val="20"/>
              </w:rPr>
              <w:t>01.0</w:t>
            </w:r>
            <w:r w:rsidR="00C402F7" w:rsidRPr="003331EF">
              <w:rPr>
                <w:b/>
                <w:bCs/>
                <w:i/>
                <w:iCs/>
                <w:sz w:val="20"/>
                <w:szCs w:val="20"/>
              </w:rPr>
              <w:t>1</w:t>
            </w:r>
            <w:r w:rsidRPr="003331EF">
              <w:rPr>
                <w:b/>
                <w:bCs/>
                <w:i/>
                <w:iCs/>
                <w:sz w:val="20"/>
                <w:szCs w:val="20"/>
              </w:rPr>
              <w:t>. 202</w:t>
            </w:r>
            <w:r w:rsidR="00C402F7" w:rsidRPr="003331EF">
              <w:rPr>
                <w:b/>
                <w:bCs/>
                <w:i/>
                <w:iCs/>
                <w:sz w:val="20"/>
                <w:szCs w:val="20"/>
              </w:rPr>
              <w:t>6</w:t>
            </w:r>
          </w:p>
        </w:tc>
        <w:tc>
          <w:tcPr>
            <w:tcW w:w="6514" w:type="dxa"/>
            <w:gridSpan w:val="2"/>
          </w:tcPr>
          <w:p w14:paraId="32CF555E" w14:textId="77777777" w:rsidR="00492C10" w:rsidRPr="003331EF" w:rsidRDefault="00492C10" w:rsidP="003331EF">
            <w:pPr>
              <w:pStyle w:val="Loendilik"/>
              <w:numPr>
                <w:ilvl w:val="0"/>
                <w:numId w:val="31"/>
              </w:numPr>
              <w:jc w:val="both"/>
              <w:rPr>
                <w:i/>
                <w:iCs/>
                <w:sz w:val="20"/>
                <w:szCs w:val="20"/>
              </w:rPr>
            </w:pPr>
            <w:proofErr w:type="spellStart"/>
            <w:r w:rsidRPr="003331EF">
              <w:rPr>
                <w:i/>
                <w:iCs/>
                <w:sz w:val="20"/>
                <w:szCs w:val="20"/>
              </w:rPr>
              <w:t>RahaPTSi</w:t>
            </w:r>
            <w:proofErr w:type="spellEnd"/>
            <w:r w:rsidRPr="003331EF">
              <w:rPr>
                <w:i/>
                <w:iCs/>
                <w:sz w:val="20"/>
                <w:szCs w:val="20"/>
              </w:rPr>
              <w:t xml:space="preserve"> kohaldatakse FI tegevusloaga </w:t>
            </w:r>
            <w:proofErr w:type="spellStart"/>
            <w:r w:rsidRPr="003331EF">
              <w:rPr>
                <w:i/>
                <w:iCs/>
                <w:sz w:val="20"/>
                <w:szCs w:val="20"/>
              </w:rPr>
              <w:t>krüptovarateenuse</w:t>
            </w:r>
            <w:proofErr w:type="spellEnd"/>
            <w:r w:rsidRPr="003331EF">
              <w:rPr>
                <w:i/>
                <w:iCs/>
                <w:sz w:val="20"/>
                <w:szCs w:val="20"/>
              </w:rPr>
              <w:t xml:space="preserve"> osutajatele.</w:t>
            </w:r>
          </w:p>
          <w:p w14:paraId="00641B0B" w14:textId="3F04B638" w:rsidR="001A4507" w:rsidRPr="003331EF" w:rsidRDefault="001A4507" w:rsidP="003331EF">
            <w:pPr>
              <w:pStyle w:val="Loendilik"/>
              <w:numPr>
                <w:ilvl w:val="0"/>
                <w:numId w:val="31"/>
              </w:numPr>
              <w:jc w:val="both"/>
              <w:rPr>
                <w:i/>
                <w:iCs/>
                <w:sz w:val="20"/>
                <w:szCs w:val="20"/>
              </w:rPr>
            </w:pPr>
            <w:r w:rsidRPr="003331EF">
              <w:rPr>
                <w:i/>
                <w:iCs/>
                <w:sz w:val="20"/>
                <w:szCs w:val="20"/>
              </w:rPr>
              <w:t xml:space="preserve">Virtuaalvääringu teenuse pakkujad </w:t>
            </w:r>
            <w:r w:rsidR="00A97910" w:rsidRPr="003331EF">
              <w:rPr>
                <w:i/>
                <w:iCs/>
                <w:sz w:val="20"/>
                <w:szCs w:val="20"/>
              </w:rPr>
              <w:t xml:space="preserve">kustutatakse </w:t>
            </w:r>
            <w:proofErr w:type="spellStart"/>
            <w:r w:rsidRPr="003331EF">
              <w:rPr>
                <w:i/>
                <w:iCs/>
                <w:sz w:val="20"/>
                <w:szCs w:val="20"/>
              </w:rPr>
              <w:t>RahaPTSis</w:t>
            </w:r>
            <w:r w:rsidR="00A97910" w:rsidRPr="003331EF">
              <w:rPr>
                <w:i/>
                <w:iCs/>
                <w:sz w:val="20"/>
                <w:szCs w:val="20"/>
              </w:rPr>
              <w:t>t</w:t>
            </w:r>
            <w:proofErr w:type="spellEnd"/>
            <w:r w:rsidRPr="003331EF">
              <w:rPr>
                <w:i/>
                <w:iCs/>
                <w:sz w:val="20"/>
                <w:szCs w:val="20"/>
              </w:rPr>
              <w:t xml:space="preserve"> </w:t>
            </w:r>
          </w:p>
        </w:tc>
      </w:tr>
    </w:tbl>
    <w:p w14:paraId="2312F4E4" w14:textId="77777777" w:rsidR="007256D3" w:rsidRPr="003331EF" w:rsidRDefault="007256D3" w:rsidP="003331EF">
      <w:pPr>
        <w:spacing w:before="0"/>
        <w:rPr>
          <w:b/>
          <w:bCs/>
        </w:rPr>
      </w:pPr>
    </w:p>
    <w:p w14:paraId="762FC604" w14:textId="680D0A76" w:rsidR="00FC73FE" w:rsidRPr="003331EF" w:rsidRDefault="00FC73FE" w:rsidP="003331EF">
      <w:pPr>
        <w:spacing w:before="0"/>
        <w:rPr>
          <w:b/>
        </w:rPr>
      </w:pPr>
      <w:r w:rsidRPr="003331EF">
        <w:rPr>
          <w:b/>
          <w:bCs/>
        </w:rPr>
        <w:t xml:space="preserve">Tabel </w:t>
      </w:r>
      <w:r w:rsidR="00E856F7" w:rsidRPr="003331EF">
        <w:rPr>
          <w:b/>
          <w:bCs/>
        </w:rPr>
        <w:t>7</w:t>
      </w:r>
      <w:r w:rsidRPr="003331EF">
        <w:rPr>
          <w:b/>
          <w:bCs/>
        </w:rPr>
        <w:t xml:space="preserve">. </w:t>
      </w:r>
      <w:proofErr w:type="spellStart"/>
      <w:r w:rsidRPr="003331EF">
        <w:rPr>
          <w:iCs/>
          <w:spacing w:val="-5"/>
          <w:lang w:eastAsia="en-US"/>
        </w:rPr>
        <w:t>RahaPTS</w:t>
      </w:r>
      <w:proofErr w:type="spellEnd"/>
      <w:r w:rsidRPr="003331EF">
        <w:rPr>
          <w:iCs/>
          <w:spacing w:val="-5"/>
          <w:lang w:eastAsia="en-US"/>
        </w:rPr>
        <w:t xml:space="preserve"> kohaldamine virtuaalvääringu teenuse pakkujatele ja </w:t>
      </w:r>
      <w:proofErr w:type="spellStart"/>
      <w:r w:rsidRPr="003331EF">
        <w:rPr>
          <w:iCs/>
          <w:spacing w:val="-5"/>
          <w:lang w:eastAsia="en-US"/>
        </w:rPr>
        <w:t>krüptovarateenuse</w:t>
      </w:r>
      <w:proofErr w:type="spellEnd"/>
      <w:r w:rsidRPr="003331EF">
        <w:rPr>
          <w:iCs/>
          <w:spacing w:val="-5"/>
          <w:lang w:eastAsia="en-US"/>
        </w:rPr>
        <w:t xml:space="preserve"> osutajatele</w:t>
      </w:r>
    </w:p>
    <w:p w14:paraId="3A60F91D" w14:textId="77777777" w:rsidR="00FC73FE" w:rsidRPr="003331EF" w:rsidRDefault="00FC73FE" w:rsidP="003331EF">
      <w:pPr>
        <w:spacing w:before="0"/>
      </w:pPr>
    </w:p>
    <w:p w14:paraId="3471F637" w14:textId="0FA2DE1D" w:rsidR="006D73F8" w:rsidRPr="003331EF" w:rsidRDefault="00197BA4" w:rsidP="003331EF">
      <w:pPr>
        <w:spacing w:before="0"/>
      </w:pPr>
      <w:r w:rsidRPr="003331EF">
        <w:t>Lisanduv § 118</w:t>
      </w:r>
      <w:r w:rsidRPr="003331EF">
        <w:rPr>
          <w:vertAlign w:val="superscript"/>
        </w:rPr>
        <w:t>5</w:t>
      </w:r>
      <w:r w:rsidRPr="003331EF">
        <w:t xml:space="preserve"> lahendab virtuaalvääringu teenuse pakkujate tegevuslubade kehtetuks muutumisega seonduvad küsimused. </w:t>
      </w:r>
    </w:p>
    <w:p w14:paraId="46DA08CE" w14:textId="77777777" w:rsidR="006D73F8" w:rsidRPr="003331EF" w:rsidRDefault="006D73F8" w:rsidP="003331EF">
      <w:pPr>
        <w:spacing w:before="0"/>
      </w:pPr>
    </w:p>
    <w:p w14:paraId="440D8F34" w14:textId="55A85350" w:rsidR="00197BA4" w:rsidRPr="003331EF" w:rsidRDefault="00197BA4" w:rsidP="003331EF">
      <w:pPr>
        <w:spacing w:before="0"/>
        <w:rPr>
          <w:iCs/>
          <w:spacing w:val="-5"/>
          <w:lang w:eastAsia="en-US"/>
        </w:rPr>
      </w:pPr>
      <w:r w:rsidRPr="003331EF">
        <w:rPr>
          <w:b/>
          <w:bCs/>
          <w:iCs/>
          <w:spacing w:val="-5"/>
          <w:lang w:eastAsia="en-US"/>
        </w:rPr>
        <w:t>Lõike 1</w:t>
      </w:r>
      <w:r w:rsidRPr="003331EF">
        <w:rPr>
          <w:iCs/>
          <w:spacing w:val="-5"/>
          <w:lang w:eastAsia="en-US"/>
        </w:rPr>
        <w:t xml:space="preserve"> kohaselt ei ole audiitorettevõtjal kohustust kontrollida </w:t>
      </w:r>
      <w:proofErr w:type="spellStart"/>
      <w:r w:rsidRPr="003331EF">
        <w:rPr>
          <w:iCs/>
          <w:spacing w:val="-5"/>
          <w:lang w:eastAsia="en-US"/>
        </w:rPr>
        <w:t>VASP-i</w:t>
      </w:r>
      <w:proofErr w:type="spellEnd"/>
      <w:r w:rsidRPr="003331EF">
        <w:rPr>
          <w:iCs/>
          <w:spacing w:val="-5"/>
          <w:lang w:eastAsia="en-US"/>
        </w:rPr>
        <w:t xml:space="preserve"> poolt omavahendite kohta kehtestatud nõuete täitmist ega kohustust esitada </w:t>
      </w:r>
      <w:proofErr w:type="spellStart"/>
      <w:r w:rsidRPr="003331EF">
        <w:rPr>
          <w:iCs/>
          <w:spacing w:val="-5"/>
          <w:lang w:eastAsia="en-US"/>
        </w:rPr>
        <w:t>VASP-i</w:t>
      </w:r>
      <w:proofErr w:type="spellEnd"/>
      <w:r w:rsidRPr="003331EF">
        <w:rPr>
          <w:iCs/>
          <w:spacing w:val="-5"/>
          <w:lang w:eastAsia="en-US"/>
        </w:rPr>
        <w:t xml:space="preserve"> majandusaasta aruande esitamise tähtajaks sellekohase arvamuse </w:t>
      </w:r>
      <w:proofErr w:type="spellStart"/>
      <w:r w:rsidRPr="003331EF">
        <w:rPr>
          <w:iCs/>
          <w:spacing w:val="-5"/>
          <w:lang w:eastAsia="en-US"/>
        </w:rPr>
        <w:t>VASP-ile</w:t>
      </w:r>
      <w:proofErr w:type="spellEnd"/>
      <w:r w:rsidRPr="003331EF">
        <w:rPr>
          <w:iCs/>
          <w:spacing w:val="-5"/>
          <w:lang w:eastAsia="en-US"/>
        </w:rPr>
        <w:t xml:space="preserve"> ja </w:t>
      </w:r>
      <w:proofErr w:type="spellStart"/>
      <w:r w:rsidRPr="003331EF">
        <w:rPr>
          <w:iCs/>
          <w:spacing w:val="-5"/>
          <w:lang w:eastAsia="en-US"/>
        </w:rPr>
        <w:t>RAB-il</w:t>
      </w:r>
      <w:proofErr w:type="spellEnd"/>
      <w:r w:rsidRPr="003331EF">
        <w:rPr>
          <w:iCs/>
          <w:spacing w:val="-5"/>
          <w:lang w:eastAsia="en-US"/>
        </w:rPr>
        <w:t xml:space="preserve">, kui </w:t>
      </w:r>
      <w:proofErr w:type="spellStart"/>
      <w:r w:rsidRPr="003331EF">
        <w:rPr>
          <w:iCs/>
          <w:spacing w:val="-5"/>
          <w:lang w:eastAsia="en-US"/>
        </w:rPr>
        <w:t>VASP-i</w:t>
      </w:r>
      <w:proofErr w:type="spellEnd"/>
      <w:r w:rsidRPr="003331EF">
        <w:rPr>
          <w:iCs/>
          <w:spacing w:val="-5"/>
          <w:lang w:eastAsia="en-US"/>
        </w:rPr>
        <w:t xml:space="preserve"> tegevusluba on muutunud kehtetuks, kuna ettevõtja on saanud </w:t>
      </w:r>
      <w:proofErr w:type="spellStart"/>
      <w:r w:rsidRPr="003331EF">
        <w:rPr>
          <w:iCs/>
          <w:spacing w:val="-5"/>
          <w:lang w:eastAsia="en-US"/>
        </w:rPr>
        <w:t>FI-lt</w:t>
      </w:r>
      <w:proofErr w:type="spellEnd"/>
      <w:r w:rsidRPr="003331EF">
        <w:rPr>
          <w:iCs/>
          <w:spacing w:val="-5"/>
          <w:lang w:eastAsia="en-US"/>
        </w:rPr>
        <w:t xml:space="preserve"> </w:t>
      </w:r>
      <w:proofErr w:type="spellStart"/>
      <w:r w:rsidRPr="003331EF">
        <w:rPr>
          <w:iCs/>
          <w:spacing w:val="-5"/>
          <w:lang w:eastAsia="en-US"/>
        </w:rPr>
        <w:t>M</w:t>
      </w:r>
      <w:r w:rsidR="000020ED" w:rsidRPr="003331EF">
        <w:rPr>
          <w:iCs/>
          <w:spacing w:val="-5"/>
          <w:lang w:eastAsia="en-US"/>
        </w:rPr>
        <w:t>i</w:t>
      </w:r>
      <w:r w:rsidRPr="003331EF">
        <w:rPr>
          <w:iCs/>
          <w:spacing w:val="-5"/>
          <w:lang w:eastAsia="en-US"/>
        </w:rPr>
        <w:t>CA</w:t>
      </w:r>
      <w:proofErr w:type="spellEnd"/>
      <w:r w:rsidR="000020ED" w:rsidRPr="003331EF">
        <w:rPr>
          <w:iCs/>
          <w:spacing w:val="-5"/>
          <w:lang w:eastAsia="en-US"/>
        </w:rPr>
        <w:t xml:space="preserve"> määruse</w:t>
      </w:r>
      <w:r w:rsidRPr="003331EF">
        <w:rPr>
          <w:iCs/>
          <w:spacing w:val="-5"/>
          <w:lang w:eastAsia="en-US"/>
        </w:rPr>
        <w:t xml:space="preserve"> alusel </w:t>
      </w:r>
      <w:proofErr w:type="spellStart"/>
      <w:r w:rsidRPr="003331EF">
        <w:rPr>
          <w:iCs/>
          <w:spacing w:val="-5"/>
          <w:lang w:eastAsia="en-US"/>
        </w:rPr>
        <w:t>krüptovarateenuse</w:t>
      </w:r>
      <w:proofErr w:type="spellEnd"/>
      <w:r w:rsidRPr="003331EF">
        <w:rPr>
          <w:iCs/>
          <w:spacing w:val="-5"/>
          <w:lang w:eastAsia="en-US"/>
        </w:rPr>
        <w:t xml:space="preserve"> osutaja tegevusloa või on möödunud kuupäev, mil kõik kehtivad </w:t>
      </w:r>
      <w:proofErr w:type="spellStart"/>
      <w:r w:rsidRPr="003331EF">
        <w:rPr>
          <w:iCs/>
          <w:spacing w:val="-5"/>
          <w:lang w:eastAsia="en-US"/>
        </w:rPr>
        <w:t>VASP-ide</w:t>
      </w:r>
      <w:proofErr w:type="spellEnd"/>
      <w:r w:rsidRPr="003331EF">
        <w:rPr>
          <w:iCs/>
          <w:spacing w:val="-5"/>
          <w:lang w:eastAsia="en-US"/>
        </w:rPr>
        <w:t xml:space="preserve"> tegevusload muutuvad kehtetuks. Omavahendite kontrollimise ja selle kohta koostatava aruande esitamise eesmärk on tagada omavahendite nõude täitmine. Kui </w:t>
      </w:r>
      <w:proofErr w:type="spellStart"/>
      <w:r w:rsidRPr="003331EF">
        <w:rPr>
          <w:iCs/>
          <w:spacing w:val="-5"/>
          <w:lang w:eastAsia="en-US"/>
        </w:rPr>
        <w:t>VASP-il</w:t>
      </w:r>
      <w:proofErr w:type="spellEnd"/>
      <w:r w:rsidRPr="003331EF">
        <w:rPr>
          <w:iCs/>
          <w:spacing w:val="-5"/>
          <w:lang w:eastAsia="en-US"/>
        </w:rPr>
        <w:t xml:space="preserve"> enam tegevusluba pole, siis ei kohaldu tema suhtes </w:t>
      </w:r>
      <w:proofErr w:type="spellStart"/>
      <w:r w:rsidRPr="003331EF">
        <w:rPr>
          <w:iCs/>
          <w:spacing w:val="-5"/>
          <w:lang w:eastAsia="en-US"/>
        </w:rPr>
        <w:t>RahaPTS-is</w:t>
      </w:r>
      <w:proofErr w:type="spellEnd"/>
      <w:r w:rsidRPr="003331EF">
        <w:rPr>
          <w:iCs/>
          <w:spacing w:val="-5"/>
          <w:lang w:eastAsia="en-US"/>
        </w:rPr>
        <w:t xml:space="preserve"> sätestatud omavahendite nõue, seega pole </w:t>
      </w:r>
      <w:proofErr w:type="spellStart"/>
      <w:r w:rsidRPr="003331EF">
        <w:rPr>
          <w:iCs/>
          <w:spacing w:val="-5"/>
          <w:lang w:eastAsia="en-US"/>
        </w:rPr>
        <w:t>RAB-il</w:t>
      </w:r>
      <w:proofErr w:type="spellEnd"/>
      <w:r w:rsidRPr="003331EF">
        <w:rPr>
          <w:iCs/>
          <w:spacing w:val="-5"/>
          <w:lang w:eastAsia="en-US"/>
        </w:rPr>
        <w:t xml:space="preserve"> vajadust vastavat aruannet saada, kuna RAB ei saaks selle alusel ühtegi toimingut teha.</w:t>
      </w:r>
    </w:p>
    <w:p w14:paraId="7A559270" w14:textId="77777777" w:rsidR="006D73F8" w:rsidRPr="003331EF" w:rsidRDefault="006D73F8" w:rsidP="003331EF">
      <w:pPr>
        <w:spacing w:before="0"/>
      </w:pPr>
    </w:p>
    <w:p w14:paraId="224AD6BA" w14:textId="76668DD3" w:rsidR="006D73F8" w:rsidRPr="003331EF" w:rsidRDefault="006D73F8" w:rsidP="003331EF">
      <w:pPr>
        <w:spacing w:before="0"/>
      </w:pPr>
      <w:r w:rsidRPr="003331EF">
        <w:rPr>
          <w:b/>
          <w:bCs/>
        </w:rPr>
        <w:t>Lõike 2</w:t>
      </w:r>
      <w:r w:rsidRPr="003331EF">
        <w:t xml:space="preserve"> kohaselt nimetab VASP</w:t>
      </w:r>
      <w:r w:rsidR="005A592A" w:rsidRPr="003331EF">
        <w:t>,</w:t>
      </w:r>
      <w:r w:rsidRPr="003331EF">
        <w:t xml:space="preserve"> juhul kui VASP on esitanud </w:t>
      </w:r>
      <w:r w:rsidR="00633DE1" w:rsidRPr="003331EF">
        <w:t xml:space="preserve">Finantsinspektsioonile </w:t>
      </w:r>
      <w:proofErr w:type="spellStart"/>
      <w:r w:rsidRPr="003331EF">
        <w:t>M</w:t>
      </w:r>
      <w:r w:rsidR="0019289B">
        <w:t>i</w:t>
      </w:r>
      <w:r w:rsidRPr="003331EF">
        <w:t>CA</w:t>
      </w:r>
      <w:proofErr w:type="spellEnd"/>
      <w:r w:rsidRPr="003331EF">
        <w:t xml:space="preserve"> alusel tegevusloa taotluse</w:t>
      </w:r>
      <w:r w:rsidR="005A592A" w:rsidRPr="003331EF">
        <w:t xml:space="preserve"> või kui VASP ei ole seda teinud, aga kuupäevaks on 1. september 2025, dokumentide hoidja. Dokumentide hoidja võimaldab dokumente</w:t>
      </w:r>
      <w:r w:rsidR="0085444A" w:rsidRPr="003331EF">
        <w:t xml:space="preserve">, dokumentide koopiaid ja andmeid (edaspidi käesoleva paragrahvi selgitustes dokumendid) </w:t>
      </w:r>
      <w:r w:rsidR="005A592A" w:rsidRPr="003331EF">
        <w:t>säilitada ka pärast seda hetke, mil ettevõtja VAS</w:t>
      </w:r>
      <w:r w:rsidR="0085444A" w:rsidRPr="003331EF">
        <w:t>P tegevusluba kaotab kehtivuse</w:t>
      </w:r>
      <w:r w:rsidR="003C46AC" w:rsidRPr="003331EF">
        <w:t xml:space="preserve">, tagades neile pädevate asutuste ja </w:t>
      </w:r>
      <w:proofErr w:type="spellStart"/>
      <w:r w:rsidR="003C46AC" w:rsidRPr="003331EF">
        <w:t>RAB-i</w:t>
      </w:r>
      <w:proofErr w:type="spellEnd"/>
      <w:r w:rsidR="003C46AC" w:rsidRPr="003331EF">
        <w:t xml:space="preserve"> ligipääsu, kui asutustel on õiguslik alus nendega tutvuda</w:t>
      </w:r>
      <w:r w:rsidR="0085444A" w:rsidRPr="003331EF">
        <w:t xml:space="preserve">. Kõnealused dokumendid on loetletud </w:t>
      </w:r>
      <w:proofErr w:type="spellStart"/>
      <w:r w:rsidR="0085444A" w:rsidRPr="003331EF">
        <w:t>RahaPTS</w:t>
      </w:r>
      <w:proofErr w:type="spellEnd"/>
      <w:r w:rsidR="0085444A" w:rsidRPr="003331EF">
        <w:t>-i §-des 20, 21, 22 ja 46. Peaasjalikult on tegemist hoolsusmeetmetega kogutud dokumentide ja andmetega, sh isikusamasust tõendavad dokumendid, tehingute andmed nagu näiteks tehingu aeg, sisu, summa, vääring, konto number ja summa ning andmed seoses ärisuhtest loobumisega, ärisuhte lõpetamisega ja tehingust keeldumisega. Kohustatud isikud peavad neid dokumente registreerima ja säilitama peaasjalikult selleks, et</w:t>
      </w:r>
      <w:r w:rsidR="003C46AC" w:rsidRPr="003331EF">
        <w:t xml:space="preserve"> </w:t>
      </w:r>
      <w:r w:rsidR="0085444A" w:rsidRPr="003331EF">
        <w:t xml:space="preserve">rahapesu ja terrorismi rahastamise tõkestamise, avastamise või uurimise eesmärgil saaksid kohustatud isikud </w:t>
      </w:r>
      <w:r w:rsidR="003C46AC" w:rsidRPr="003331EF">
        <w:t xml:space="preserve">tulemuslikult rakendada hoolsusmeetmeid, juhtida riske ning </w:t>
      </w:r>
      <w:r w:rsidR="0085444A" w:rsidRPr="003331EF">
        <w:t xml:space="preserve">pädevate asutustega teha täielikult koostööd ja kiiresti vastata pädevate asutuste esitatud teabenõuetele. Dokumentide hoidja tuleb määrata esimesel võimalusel pärast Finantsinspektsioonile tegevusloa taotluse esitamist, et jääks piisavalt aega dokumentide üleandmiseks ja säilitamise planeerimiseks. Samal eesmärgil on määratud viimaseks kuupäevaks 1. september, mis </w:t>
      </w:r>
      <w:r w:rsidR="003C46AC" w:rsidRPr="003331EF">
        <w:t>jätab</w:t>
      </w:r>
      <w:r w:rsidR="0085444A" w:rsidRPr="003331EF">
        <w:t xml:space="preserve"> </w:t>
      </w:r>
      <w:proofErr w:type="spellStart"/>
      <w:r w:rsidR="0085444A" w:rsidRPr="003331EF">
        <w:t>VASP-ile</w:t>
      </w:r>
      <w:proofErr w:type="spellEnd"/>
      <w:r w:rsidR="0085444A" w:rsidRPr="003331EF">
        <w:t xml:space="preserve"> </w:t>
      </w:r>
      <w:r w:rsidR="003C46AC" w:rsidRPr="003331EF">
        <w:t>neli</w:t>
      </w:r>
      <w:r w:rsidR="0085444A" w:rsidRPr="003331EF">
        <w:t xml:space="preserve"> kuud aega, et anda üle dokumendid. Siiski tuleks dokumendid anda üle nii kiiresti kui võimalik, kuna üleandmise protsessis võib ilmneda ootamatuid takistusi.</w:t>
      </w:r>
      <w:r w:rsidR="00633DE1" w:rsidRPr="003331EF">
        <w:t xml:space="preserve"> </w:t>
      </w:r>
      <w:r w:rsidR="00471BE5" w:rsidRPr="003331EF">
        <w:t>Dokumentide hoidjale antakse ka võimalus nimetada uus dokumentide hoidja</w:t>
      </w:r>
      <w:r w:rsidR="00772391" w:rsidRPr="003331EF">
        <w:t xml:space="preserve"> kandidaat</w:t>
      </w:r>
      <w:r w:rsidR="00471BE5" w:rsidRPr="003331EF">
        <w:t>, kas omal algatusel või seoses asjaoluga, et isik ei vasta enam dokumen</w:t>
      </w:r>
      <w:r w:rsidR="00772391" w:rsidRPr="003331EF">
        <w:t>tide</w:t>
      </w:r>
      <w:r w:rsidR="00471BE5" w:rsidRPr="003331EF">
        <w:t xml:space="preserve"> hoidja nõuetele.</w:t>
      </w:r>
      <w:r w:rsidR="00772391" w:rsidRPr="003331EF">
        <w:t xml:space="preserve"> Kui dokumentide hoidja teab, et tulevikus saabub sündmus, mille tulemusel ta ei vasta tulevikus dokumentide hoidjale sätestatud tingimustele, </w:t>
      </w:r>
      <w:commentRangeStart w:id="77"/>
      <w:r w:rsidR="00772391" w:rsidRPr="003331EF">
        <w:t xml:space="preserve">siis tal on võimalus ka etteulatuvalt dokumentide hoidja kandidaat. </w:t>
      </w:r>
      <w:commentRangeEnd w:id="77"/>
      <w:r w:rsidR="00A4579B">
        <w:rPr>
          <w:rStyle w:val="Kommentaariviide"/>
          <w:lang w:val="en-GB" w:eastAsia="en-US"/>
        </w:rPr>
        <w:commentReference w:id="77"/>
      </w:r>
    </w:p>
    <w:p w14:paraId="045B1ED0" w14:textId="77777777" w:rsidR="0085444A" w:rsidRPr="003331EF" w:rsidRDefault="0085444A" w:rsidP="003331EF">
      <w:pPr>
        <w:spacing w:before="0"/>
      </w:pPr>
    </w:p>
    <w:p w14:paraId="62319B97" w14:textId="350E17E8" w:rsidR="0085444A" w:rsidRPr="003331EF" w:rsidRDefault="00300BCF" w:rsidP="003331EF">
      <w:pPr>
        <w:spacing w:before="0"/>
      </w:pPr>
      <w:r w:rsidRPr="003331EF">
        <w:t xml:space="preserve">Kui dokumentide hoidja on juriidiline isik, siis tal peab olema </w:t>
      </w:r>
      <w:proofErr w:type="spellStart"/>
      <w:r w:rsidRPr="003331EF">
        <w:t>RAB-i</w:t>
      </w:r>
      <w:proofErr w:type="spellEnd"/>
      <w:r w:rsidRPr="003331EF">
        <w:t xml:space="preserve"> või FI tegevusluba. See tagab jätkuva sideme Eesti järelevalveasutustega, </w:t>
      </w:r>
      <w:r w:rsidR="00FC73FE" w:rsidRPr="003331EF">
        <w:t>Eestis kohaloleku nõude</w:t>
      </w:r>
      <w:r w:rsidRPr="003331EF">
        <w:t xml:space="preserve"> täitmise ja </w:t>
      </w:r>
      <w:r w:rsidRPr="003331EF">
        <w:lastRenderedPageBreak/>
        <w:t xml:space="preserve">dokumentide säilitamise nõuete tundmise, kuna dokumentide hoidja </w:t>
      </w:r>
      <w:r w:rsidR="00FC73FE" w:rsidRPr="003331EF">
        <w:t>oleks sellisel juhul</w:t>
      </w:r>
      <w:r w:rsidRPr="003331EF">
        <w:t xml:space="preserve"> kohustatud isik, kes peab oma tegevuses samu nõudeid täitma. FI ja RAB väljastavad tegevuslube krediidiasutustele, finantseerimisasutustele, usaldushalduse ja äriühingute teenuse osutajatele, pandimajateenuse osutajatele, virtuaalvääringu teenuse pakkujatele ning </w:t>
      </w:r>
      <w:proofErr w:type="spellStart"/>
      <w:r w:rsidRPr="003331EF">
        <w:t>väärismetalli</w:t>
      </w:r>
      <w:proofErr w:type="spellEnd"/>
      <w:r w:rsidRPr="003331EF">
        <w:t xml:space="preserve"> ja </w:t>
      </w:r>
      <w:proofErr w:type="spellStart"/>
      <w:r w:rsidRPr="003331EF">
        <w:t>väärismetalltoodete</w:t>
      </w:r>
      <w:proofErr w:type="spellEnd"/>
      <w:r w:rsidRPr="003331EF">
        <w:t xml:space="preserve"> müüjatele. Tõenäoliselt neist nimetatutest on peaasjalikult äriühingute teenuse osutajad huvitatud teenuse pakkumisest.</w:t>
      </w:r>
      <w:r w:rsidR="008210A9" w:rsidRPr="003331EF">
        <w:t xml:space="preserve"> Samuti võimaldab seadus </w:t>
      </w:r>
      <w:proofErr w:type="spellStart"/>
      <w:r w:rsidR="008210A9" w:rsidRPr="003331EF">
        <w:t>VASP-il</w:t>
      </w:r>
      <w:proofErr w:type="spellEnd"/>
      <w:r w:rsidR="008210A9" w:rsidRPr="003331EF">
        <w:t xml:space="preserve"> nimetada nö iseennast dokumentide hoidjaks. Iseenda nimetamine on jätkusuutlik </w:t>
      </w:r>
      <w:r w:rsidR="003D1951" w:rsidRPr="003331EF">
        <w:t xml:space="preserve">ja soovituslik </w:t>
      </w:r>
      <w:r w:rsidR="008210A9" w:rsidRPr="003331EF">
        <w:t>juhul, kui kavatsetakse jätkata FI tegevusloa alusel või kui juriidilisel isikul on mõni täienda</w:t>
      </w:r>
      <w:r w:rsidR="003D1951" w:rsidRPr="003331EF">
        <w:t>v</w:t>
      </w:r>
      <w:r w:rsidR="008210A9" w:rsidRPr="003331EF">
        <w:t xml:space="preserve"> FI või </w:t>
      </w:r>
      <w:proofErr w:type="spellStart"/>
      <w:r w:rsidR="008210A9" w:rsidRPr="003331EF">
        <w:t>RAB-i</w:t>
      </w:r>
      <w:proofErr w:type="spellEnd"/>
      <w:r w:rsidR="008210A9" w:rsidRPr="003331EF">
        <w:t xml:space="preserve"> tegevusluba.</w:t>
      </w:r>
      <w:r w:rsidR="003D1951" w:rsidRPr="003331EF">
        <w:t xml:space="preserve"> Kui VASP on esitanud </w:t>
      </w:r>
      <w:proofErr w:type="spellStart"/>
      <w:r w:rsidR="003D1951" w:rsidRPr="003331EF">
        <w:t>FI-le</w:t>
      </w:r>
      <w:proofErr w:type="spellEnd"/>
      <w:r w:rsidR="003D1951" w:rsidRPr="003331EF">
        <w:t xml:space="preserve"> tegevusloa taotluse ja FI ei rahulda seda, siis </w:t>
      </w:r>
      <w:r w:rsidR="00FC73FE" w:rsidRPr="003331EF">
        <w:t xml:space="preserve">tõenäoselt </w:t>
      </w:r>
      <w:r w:rsidR="003D1951" w:rsidRPr="003331EF">
        <w:t>tuleb</w:t>
      </w:r>
      <w:r w:rsidR="00FC73FE" w:rsidRPr="003331EF">
        <w:t xml:space="preserve"> selleks</w:t>
      </w:r>
      <w:r w:rsidR="003D1951" w:rsidRPr="003331EF">
        <w:t xml:space="preserve">, et VASP saaks jätkata tegevust viisil, mis tagaks </w:t>
      </w:r>
      <w:proofErr w:type="spellStart"/>
      <w:r w:rsidR="003D1951" w:rsidRPr="003331EF">
        <w:t>RahaPTS</w:t>
      </w:r>
      <w:proofErr w:type="spellEnd"/>
      <w:r w:rsidR="003D1951" w:rsidRPr="003331EF">
        <w:t xml:space="preserve">-i nõuete täitmist, dokumentide üleandmise protsessi osaliselt või täielikult tagasi pöörata </w:t>
      </w:r>
      <w:commentRangeStart w:id="78"/>
      <w:r w:rsidR="003D1951" w:rsidRPr="003331EF">
        <w:t>või</w:t>
      </w:r>
      <w:commentRangeEnd w:id="78"/>
      <w:r w:rsidR="00CD0231">
        <w:rPr>
          <w:rStyle w:val="Kommentaariviide"/>
          <w:lang w:val="en-GB" w:eastAsia="en-US"/>
        </w:rPr>
        <w:commentReference w:id="78"/>
      </w:r>
      <w:r w:rsidR="00FC73FE" w:rsidRPr="003331EF">
        <w:t>.</w:t>
      </w:r>
      <w:r w:rsidR="003D1951" w:rsidRPr="003331EF">
        <w:t xml:space="preserve"> </w:t>
      </w:r>
      <w:r w:rsidR="00FC73FE" w:rsidRPr="003331EF">
        <w:t>Iseenda nimetamise korral FI tegevusloa taotluse rahuldamata jätmisel täiendavaid toiminguid dokumentide hoidmises teha ei tuleks.</w:t>
      </w:r>
      <w:r w:rsidRPr="003331EF">
        <w:t xml:space="preserve"> Võimalik on nimetad</w:t>
      </w:r>
      <w:r w:rsidR="008210A9" w:rsidRPr="003331EF">
        <w:t>a dokumentide hoidjaks</w:t>
      </w:r>
      <w:r w:rsidRPr="003331EF">
        <w:t xml:space="preserve"> ka Eestis resideeruv füüsiline isik, kellel on dokumentide hoidja ülesannete täitmiseks vajalik haridus, kutsealane sobivus, vajalikud võimed, isikuomadused ja kogemused ning korrektne ärialane maine. Sisuliselt see tähendab, et isik on endale selgeks teinud </w:t>
      </w:r>
      <w:proofErr w:type="spellStart"/>
      <w:r w:rsidRPr="003331EF">
        <w:t>RahaPTS-is</w:t>
      </w:r>
      <w:proofErr w:type="spellEnd"/>
      <w:r w:rsidRPr="003331EF">
        <w:t xml:space="preserve"> sätestatud dokumentide registreerimise ja säilitamise alused ning andmekaitse reeglid ja tutvunud asjakohaste </w:t>
      </w:r>
      <w:proofErr w:type="spellStart"/>
      <w:r w:rsidRPr="003331EF">
        <w:t>RAB-i</w:t>
      </w:r>
      <w:proofErr w:type="spellEnd"/>
      <w:r w:rsidRPr="003331EF">
        <w:t xml:space="preserve"> juhenditega. </w:t>
      </w:r>
      <w:r w:rsidR="008210A9" w:rsidRPr="003331EF">
        <w:t xml:space="preserve">Tegemist on üldistatud nõuetega, mis võimaldavad </w:t>
      </w:r>
      <w:proofErr w:type="spellStart"/>
      <w:r w:rsidR="008210A9" w:rsidRPr="003331EF">
        <w:t>RAB-il</w:t>
      </w:r>
      <w:proofErr w:type="spellEnd"/>
      <w:r w:rsidR="008210A9" w:rsidRPr="003331EF">
        <w:t xml:space="preserve"> juhenditega täpsustada, missugust  haridust, isikuomadusi või kogemust on vaja sõltuvalt konkreetsest olukorrast. Näiteks väga keerukate süsteemide ja suurte andmemahtude puhul võib olla vajalik, et dokumentide hoidja oleks infotehnoloogia või statistika valdkonna haridusega või ta töökogemus toetaks infotehnoloogiliste lahenduste toel tehtavat tööd andmemassiividega. </w:t>
      </w:r>
      <w:r w:rsidRPr="003331EF">
        <w:t>Tõenäolised füüsilisest isikust dokumentide hoidja</w:t>
      </w:r>
      <w:r w:rsidR="008210A9" w:rsidRPr="003331EF">
        <w:t>d</w:t>
      </w:r>
      <w:r w:rsidRPr="003331EF">
        <w:t xml:space="preserve"> võivad olla advokaadid,</w:t>
      </w:r>
      <w:r w:rsidR="008210A9" w:rsidRPr="003331EF">
        <w:t xml:space="preserve"> notarid ja </w:t>
      </w:r>
      <w:proofErr w:type="spellStart"/>
      <w:r w:rsidR="008210A9" w:rsidRPr="003331EF">
        <w:t>VASP-i</w:t>
      </w:r>
      <w:proofErr w:type="spellEnd"/>
      <w:r w:rsidR="008210A9" w:rsidRPr="003331EF">
        <w:t xml:space="preserve"> juhatuse liikmed. Igal juhul tuleb dokumentide hoidja määramine kooskõlastada </w:t>
      </w:r>
      <w:proofErr w:type="spellStart"/>
      <w:r w:rsidR="008210A9" w:rsidRPr="003331EF">
        <w:t>RAB-iga</w:t>
      </w:r>
      <w:proofErr w:type="spellEnd"/>
      <w:r w:rsidR="008210A9" w:rsidRPr="003331EF">
        <w:t>.</w:t>
      </w:r>
    </w:p>
    <w:p w14:paraId="6AD14F94" w14:textId="77777777" w:rsidR="008210A9" w:rsidRPr="003331EF" w:rsidRDefault="008210A9" w:rsidP="003331EF">
      <w:pPr>
        <w:spacing w:before="0"/>
      </w:pPr>
    </w:p>
    <w:p w14:paraId="6EEBFD07" w14:textId="3A0E1F7F" w:rsidR="008210A9" w:rsidRPr="003331EF" w:rsidRDefault="008210A9" w:rsidP="003331EF">
      <w:pPr>
        <w:spacing w:before="0"/>
      </w:pPr>
      <w:r w:rsidRPr="003331EF">
        <w:t>Dokumentide hoidja kandidaadi nimi, elukoha või asukoha aadress</w:t>
      </w:r>
      <w:r w:rsidR="00FC73FE" w:rsidRPr="003331EF">
        <w:t>i</w:t>
      </w:r>
      <w:r w:rsidRPr="003331EF">
        <w:t xml:space="preserve"> ja elektronposti aadressi andmed tuleb esimesel võimalusel saata </w:t>
      </w:r>
      <w:proofErr w:type="spellStart"/>
      <w:r w:rsidRPr="003331EF">
        <w:t>RAB-i</w:t>
      </w:r>
      <w:proofErr w:type="spellEnd"/>
      <w:r w:rsidRPr="003331EF">
        <w:t xml:space="preserve">, et </w:t>
      </w:r>
      <w:proofErr w:type="spellStart"/>
      <w:r w:rsidRPr="003331EF">
        <w:t>RAB-il</w:t>
      </w:r>
      <w:proofErr w:type="spellEnd"/>
      <w:r w:rsidRPr="003331EF">
        <w:t xml:space="preserve"> oleks võimalik kooskõlastada dokumentide hoidja määramine. Lubatud on saata veel täiendavaid andmeid, kui </w:t>
      </w:r>
      <w:proofErr w:type="spellStart"/>
      <w:r w:rsidRPr="003331EF">
        <w:t>VASP-i</w:t>
      </w:r>
      <w:proofErr w:type="spellEnd"/>
      <w:r w:rsidRPr="003331EF">
        <w:t xml:space="preserve"> hinnangul võib see kiirendada protsessi. RAB võib vajadusel koostada selleks täpsustavad juhendid</w:t>
      </w:r>
      <w:r w:rsidR="00FC73FE" w:rsidRPr="003331EF">
        <w:t xml:space="preserve"> või juhised</w:t>
      </w:r>
      <w:r w:rsidRPr="003331EF">
        <w:t>, et tagada menetluse sujuv läbiviimine.</w:t>
      </w:r>
      <w:r w:rsidR="000E74C9" w:rsidRPr="003331EF">
        <w:t xml:space="preserve"> Lisaks tuleb esitada dokumentide üleandmise kava, mille osas samuti võib RAB anda täpsustavaid juhiseid. Dokumentide üleandmise kava võimaldab </w:t>
      </w:r>
      <w:proofErr w:type="spellStart"/>
      <w:r w:rsidR="000E74C9" w:rsidRPr="003331EF">
        <w:t>RAB-il</w:t>
      </w:r>
      <w:proofErr w:type="spellEnd"/>
      <w:r w:rsidR="000E74C9" w:rsidRPr="003331EF">
        <w:t xml:space="preserve"> nõustada </w:t>
      </w:r>
      <w:proofErr w:type="spellStart"/>
      <w:r w:rsidR="000E74C9" w:rsidRPr="003331EF">
        <w:t>VASP-i</w:t>
      </w:r>
      <w:proofErr w:type="spellEnd"/>
      <w:r w:rsidR="000E74C9" w:rsidRPr="003331EF">
        <w:t xml:space="preserve"> dokumentide üleandmise protsessi</w:t>
      </w:r>
      <w:r w:rsidR="003D1951" w:rsidRPr="003331EF">
        <w:t xml:space="preserve"> osas, sh mis ajahetkel on mõistlik </w:t>
      </w:r>
      <w:r w:rsidR="00FC73FE" w:rsidRPr="003331EF">
        <w:t>dokumentide üleandmist</w:t>
      </w:r>
      <w:r w:rsidR="003D1951" w:rsidRPr="003331EF">
        <w:t xml:space="preserve"> algatada.</w:t>
      </w:r>
    </w:p>
    <w:p w14:paraId="7337E153" w14:textId="77777777" w:rsidR="008210A9" w:rsidRPr="003331EF" w:rsidRDefault="008210A9" w:rsidP="003331EF">
      <w:pPr>
        <w:spacing w:before="0"/>
      </w:pPr>
    </w:p>
    <w:p w14:paraId="3A62EC41" w14:textId="4B93216B" w:rsidR="00633DE1" w:rsidRPr="003331EF" w:rsidRDefault="008210A9" w:rsidP="003331EF">
      <w:pPr>
        <w:spacing w:before="0"/>
      </w:pPr>
      <w:r w:rsidRPr="003331EF">
        <w:rPr>
          <w:b/>
          <w:bCs/>
        </w:rPr>
        <w:t>Lõige 5</w:t>
      </w:r>
      <w:r w:rsidRPr="003331EF">
        <w:t xml:space="preserve"> annab </w:t>
      </w:r>
      <w:proofErr w:type="spellStart"/>
      <w:r w:rsidRPr="003331EF">
        <w:t>RAB-ile</w:t>
      </w:r>
      <w:proofErr w:type="spellEnd"/>
      <w:r w:rsidRPr="003331EF">
        <w:t xml:space="preserve"> õiguse dokumentide hoidjat ja dokumentide hoidja kandidaati küsitleda suuliselt ja kirjalikult. Lisaks võib RAB küsida informatsioonid dokumentide hoidja tööandjalt ja teha päringuid riigi andmekogudesse. Tegevuse eesmärk on hinnata isiku sobivust dokumentide hoidja rolli. Tõenäoliselt need toimingud pole asjakohased FI või </w:t>
      </w:r>
      <w:proofErr w:type="spellStart"/>
      <w:r w:rsidRPr="003331EF">
        <w:t>RAB-i</w:t>
      </w:r>
      <w:proofErr w:type="spellEnd"/>
      <w:r w:rsidRPr="003331EF">
        <w:t xml:space="preserve"> tegevusluba omava juriidilise isiku suhtes, kuna nende juhtudel pole seaduses kehtestatud täiendavaid nõudeid. Juriidilise isiku nõuetele vastavust tagab tavapärane tegevusloa omamisega kaasnevad järelevalvetoimingud. Füüsilise isiku puhul on lõikes 3 sätestatud nõuded, sh kutsealane sobivus, vajalikud võimed ja isikuomadused. Nende testimiseks võib RAB juhenditega ette näha ka intervjuusid või teste.</w:t>
      </w:r>
      <w:r w:rsidR="00633DE1" w:rsidRPr="003331EF">
        <w:t xml:space="preserve"> Registritest võib kontrollida näiteks Eesti residentsust, haridusandmeid kui ka töötamise andmeid. Selliseks andmetöötluseks on tõenäoliselt vajalik dokumentide hoidjalt koguda enne protsessi algust nõusolek. Säte võimaldab kontrolle teostada ka juba tegutsevate dokumentide hoidjate suhtes.</w:t>
      </w:r>
    </w:p>
    <w:p w14:paraId="239D2E9D" w14:textId="77777777" w:rsidR="00633DE1" w:rsidRPr="003331EF" w:rsidRDefault="00633DE1" w:rsidP="003331EF">
      <w:pPr>
        <w:spacing w:before="0"/>
      </w:pPr>
    </w:p>
    <w:p w14:paraId="73B80EBF" w14:textId="2D7672A8" w:rsidR="00633DE1" w:rsidRPr="003331EF" w:rsidRDefault="00633DE1" w:rsidP="003331EF">
      <w:pPr>
        <w:spacing w:before="0"/>
      </w:pPr>
      <w:r w:rsidRPr="003331EF">
        <w:rPr>
          <w:b/>
          <w:bCs/>
        </w:rPr>
        <w:t>Lõige 6</w:t>
      </w:r>
      <w:r w:rsidRPr="003331EF">
        <w:t xml:space="preserve"> suunab </w:t>
      </w:r>
      <w:r w:rsidR="00481227" w:rsidRPr="003331EF">
        <w:t>dokumentide hoidja nimetajat</w:t>
      </w:r>
      <w:r w:rsidRPr="003331EF">
        <w:t xml:space="preserve"> esimesel võimalusel pärast dokumentide hoidja määramise kooskõlastamist alustama dokumentide üleandmisega</w:t>
      </w:r>
      <w:r w:rsidR="00481227" w:rsidRPr="003331EF">
        <w:t xml:space="preserve">. Üleandmise protsessiga esimesel võimalusel alustamise nõue on sätestatud, </w:t>
      </w:r>
      <w:r w:rsidRPr="003331EF">
        <w:t xml:space="preserve">arvestades, et protsess võib võtta aega ja võib esineda ootamatuid takistusi. </w:t>
      </w:r>
      <w:r w:rsidR="00481227" w:rsidRPr="003331EF">
        <w:t xml:space="preserve">Kui dokumentide üleandmisega </w:t>
      </w:r>
      <w:r w:rsidR="00FC73FE" w:rsidRPr="003331EF">
        <w:t xml:space="preserve">põhjendamatult </w:t>
      </w:r>
      <w:r w:rsidR="00481227" w:rsidRPr="003331EF">
        <w:t xml:space="preserve">viivitada, </w:t>
      </w:r>
      <w:r w:rsidR="00481227" w:rsidRPr="003331EF">
        <w:lastRenderedPageBreak/>
        <w:t xml:space="preserve">võib ettevõtjal, kellel pole enam </w:t>
      </w:r>
      <w:proofErr w:type="spellStart"/>
      <w:r w:rsidR="00481227" w:rsidRPr="003331EF">
        <w:t>VASP-i</w:t>
      </w:r>
      <w:proofErr w:type="spellEnd"/>
      <w:r w:rsidR="00481227" w:rsidRPr="003331EF">
        <w:t xml:space="preserve"> tegevusluba või eelmisel dokumentide hoidjal tekkida andmekaitse reeglitest tulenevaid takistusi dokumentide säilitamisega jätkamisel, mis omakorda seab ohtu dokumentide säilitamise. </w:t>
      </w:r>
      <w:r w:rsidRPr="003331EF">
        <w:t>Samuti võib dokumentide hoidjal tekkid protsessi käigus küsimusi ja probleeme, mida VASP</w:t>
      </w:r>
      <w:r w:rsidR="00481227" w:rsidRPr="003331EF">
        <w:t xml:space="preserve"> või eelmine dokumentide hoidja</w:t>
      </w:r>
      <w:r w:rsidRPr="003331EF">
        <w:t xml:space="preserve"> peaks sellisel juhul lahendama</w:t>
      </w:r>
      <w:r w:rsidR="00481227" w:rsidRPr="003331EF">
        <w:t>. D</w:t>
      </w:r>
      <w:r w:rsidRPr="003331EF">
        <w:t xml:space="preserve">okumentide üleandmine ei tohi olla pelgalt formaalne, vaid peab olema ka sisuline tegevus, mille tulemusel dokumentide hoidja saavutab samal tasemel valmiduse vastata pädevate asutuste päringutele ja säilitada dokumente nagu on </w:t>
      </w:r>
      <w:proofErr w:type="spellStart"/>
      <w:r w:rsidRPr="003331EF">
        <w:t>VASP-il</w:t>
      </w:r>
      <w:proofErr w:type="spellEnd"/>
      <w:r w:rsidRPr="003331EF">
        <w:t xml:space="preserve">. Andmete ülemineku säte ei kohaldu juhul, kui VASP määrab sama juriidilise isiku dokumentide hoidjaks, ehk teisisõnu sama juriidiline isik jätkab samade dokumentide säilitamist ka pärast </w:t>
      </w:r>
      <w:proofErr w:type="spellStart"/>
      <w:r w:rsidRPr="003331EF">
        <w:t>VASP-i</w:t>
      </w:r>
      <w:proofErr w:type="spellEnd"/>
      <w:r w:rsidRPr="003331EF">
        <w:t xml:space="preserve"> tegevusloa kehtetuks tunnistamist.</w:t>
      </w:r>
    </w:p>
    <w:p w14:paraId="3D8444C0" w14:textId="77777777" w:rsidR="00633DE1" w:rsidRPr="003331EF" w:rsidRDefault="00633DE1" w:rsidP="003331EF">
      <w:pPr>
        <w:spacing w:before="0"/>
      </w:pPr>
    </w:p>
    <w:p w14:paraId="02C0C0D3" w14:textId="786EE335" w:rsidR="00633DE1" w:rsidRPr="003331EF" w:rsidRDefault="00633DE1" w:rsidP="003331EF">
      <w:pPr>
        <w:spacing w:before="0"/>
      </w:pPr>
      <w:r w:rsidRPr="003331EF">
        <w:rPr>
          <w:b/>
          <w:bCs/>
        </w:rPr>
        <w:t>Lõi</w:t>
      </w:r>
      <w:r w:rsidR="00481227" w:rsidRPr="003331EF">
        <w:rPr>
          <w:b/>
          <w:bCs/>
        </w:rPr>
        <w:t>ge 7</w:t>
      </w:r>
      <w:r w:rsidR="00481227" w:rsidRPr="003331EF">
        <w:t xml:space="preserve"> annab </w:t>
      </w:r>
      <w:proofErr w:type="spellStart"/>
      <w:r w:rsidR="00481227" w:rsidRPr="003331EF">
        <w:t>RAB-ile</w:t>
      </w:r>
      <w:proofErr w:type="spellEnd"/>
      <w:r w:rsidR="00481227" w:rsidRPr="003331EF">
        <w:t xml:space="preserve"> võimaluse määrata uus dokumentide hoidja, kui eelmine dokumentide hoidja ei vasta enam nõuetele. Uue dokumentide hoidja </w:t>
      </w:r>
      <w:r w:rsidR="000E74C9" w:rsidRPr="003331EF">
        <w:t>määramist saab RAB nõuda ettekirjutusega</w:t>
      </w:r>
      <w:r w:rsidR="00481227" w:rsidRPr="003331EF">
        <w:t>. Ettekirjutuse täitmata jätmisel saab RAB määrata sunniraha</w:t>
      </w:r>
      <w:r w:rsidR="000E74C9" w:rsidRPr="003331EF">
        <w:t xml:space="preserve"> vastavalt § 65 lõikele 4</w:t>
      </w:r>
      <w:r w:rsidR="00481227" w:rsidRPr="003331EF">
        <w:t>. Nii kaua, kui dokumentide hoidja pole uut dokumentide hoidjat nimetanud</w:t>
      </w:r>
      <w:r w:rsidR="000E74C9" w:rsidRPr="003331EF">
        <w:t>,</w:t>
      </w:r>
      <w:r w:rsidR="00481227" w:rsidRPr="003331EF">
        <w:t xml:space="preserve"> on vanal dokumentide hoidjal </w:t>
      </w:r>
      <w:r w:rsidR="00A4579B">
        <w:t xml:space="preserve">nii </w:t>
      </w:r>
      <w:r w:rsidR="00481227" w:rsidRPr="003331EF">
        <w:t xml:space="preserve">kõik kohustused seoses </w:t>
      </w:r>
      <w:r w:rsidR="00FC73FE" w:rsidRPr="003331EF">
        <w:t>dokumentide</w:t>
      </w:r>
      <w:r w:rsidR="00481227" w:rsidRPr="003331EF">
        <w:t xml:space="preserve"> säilitamisega kui ka kohustus teha pädevate asutustega koostööd vastavalt </w:t>
      </w:r>
      <w:proofErr w:type="spellStart"/>
      <w:r w:rsidR="00481227" w:rsidRPr="003331EF">
        <w:t>RahaPTS-is</w:t>
      </w:r>
      <w:proofErr w:type="spellEnd"/>
      <w:r w:rsidR="00481227" w:rsidRPr="003331EF">
        <w:t xml:space="preserve"> sätestatud nõuetele. Dokumentide hoida vastavus § 118</w:t>
      </w:r>
      <w:r w:rsidR="00481227" w:rsidRPr="003331EF">
        <w:rPr>
          <w:vertAlign w:val="superscript"/>
        </w:rPr>
        <w:t>5</w:t>
      </w:r>
      <w:r w:rsidR="00481227" w:rsidRPr="003331EF">
        <w:t xml:space="preserve"> lõikes 3 sätestatud nõuetele ei mõjuta õiguslikke aluseid ega põhjendusi dokumentide säilitamise jätkamiseks.</w:t>
      </w:r>
    </w:p>
    <w:p w14:paraId="75106775" w14:textId="77777777" w:rsidR="000E74C9" w:rsidRPr="003331EF" w:rsidRDefault="000E74C9" w:rsidP="003331EF">
      <w:pPr>
        <w:spacing w:before="0"/>
      </w:pPr>
    </w:p>
    <w:p w14:paraId="23E5E72E" w14:textId="19713547" w:rsidR="000E74C9" w:rsidRPr="003331EF" w:rsidRDefault="000E74C9" w:rsidP="003331EF">
      <w:pPr>
        <w:spacing w:before="0"/>
      </w:pPr>
      <w:r w:rsidRPr="003331EF">
        <w:rPr>
          <w:b/>
          <w:bCs/>
        </w:rPr>
        <w:t>Lõike 8</w:t>
      </w:r>
      <w:r w:rsidRPr="003331EF">
        <w:t xml:space="preserve"> kohaselt dokumentide hoidja</w:t>
      </w:r>
      <w:r w:rsidR="00FC73FE" w:rsidRPr="003331EF">
        <w:t xml:space="preserve"> peab tegema koostööd </w:t>
      </w:r>
      <w:proofErr w:type="spellStart"/>
      <w:r w:rsidR="00FC73FE" w:rsidRPr="003331EF">
        <w:t>RAB-iga</w:t>
      </w:r>
      <w:proofErr w:type="spellEnd"/>
      <w:r w:rsidR="00FC73FE" w:rsidRPr="003331EF">
        <w:t xml:space="preserve"> </w:t>
      </w:r>
      <w:proofErr w:type="spellStart"/>
      <w:r w:rsidR="00FC73FE" w:rsidRPr="003331EF">
        <w:t>RAB-i</w:t>
      </w:r>
      <w:proofErr w:type="spellEnd"/>
      <w:r w:rsidR="00FC73FE" w:rsidRPr="003331EF">
        <w:t xml:space="preserve"> päringutele vastamisel. Dokumentide hoidja</w:t>
      </w:r>
      <w:r w:rsidRPr="003331EF">
        <w:t xml:space="preserve"> määramine ei mõjuta dokumentide säilitustähtaegu. Dokumentide hoidja peab dokumente säilitama täpselt sama kaua, kui oleks pidanud VASP juhul, kui </w:t>
      </w:r>
      <w:proofErr w:type="spellStart"/>
      <w:r w:rsidRPr="003331EF">
        <w:t>VASP-i</w:t>
      </w:r>
      <w:proofErr w:type="spellEnd"/>
      <w:r w:rsidRPr="003331EF">
        <w:t xml:space="preserve"> tegevusluba oleks jäänud kehtima.</w:t>
      </w:r>
      <w:r w:rsidR="003D1951" w:rsidRPr="003331EF">
        <w:t xml:space="preserve"> Dokumentide hoidja peab säilitama andmeid viisil, mis võimalda</w:t>
      </w:r>
      <w:r w:rsidR="00FC73FE" w:rsidRPr="003331EF">
        <w:t>vad</w:t>
      </w:r>
      <w:r w:rsidR="003D1951" w:rsidRPr="003331EF">
        <w:t xml:space="preserve"> ammendavalt ja viivitamata vastata Rahapesu Andmebüroo või vastavalt õigusaktidele teiste järelevalveasutuste, uurimisasutuste või kohtu päringutele, muu hulgas selle kohta, kas </w:t>
      </w:r>
      <w:proofErr w:type="spellStart"/>
      <w:r w:rsidR="003D1951" w:rsidRPr="003331EF">
        <w:t>VASP-il</w:t>
      </w:r>
      <w:proofErr w:type="spellEnd"/>
      <w:r w:rsidR="003D1951" w:rsidRPr="003331EF">
        <w:t xml:space="preserve"> on eelmise viie aasta jooksul olnud ärisuhe päringus nimetatud isikuga ning milline on või oli selle suhte olemus. Samuti tuleb kohaldada samu andmekaitse nõudeid, mida peavad kohaldama kohustatud isikud.</w:t>
      </w:r>
    </w:p>
    <w:p w14:paraId="0F3C9718" w14:textId="77777777" w:rsidR="003D1951" w:rsidRPr="003331EF" w:rsidRDefault="003D1951" w:rsidP="003331EF">
      <w:pPr>
        <w:spacing w:before="0"/>
      </w:pPr>
    </w:p>
    <w:p w14:paraId="396D69C5" w14:textId="2C0D195B" w:rsidR="003D1951" w:rsidRPr="003331EF" w:rsidRDefault="003D1951" w:rsidP="003331EF">
      <w:pPr>
        <w:spacing w:before="0"/>
      </w:pPr>
      <w:r w:rsidRPr="003331EF">
        <w:t xml:space="preserve">Lõike 9 kohaselt dokumentide hoidja kustutab andmed reeglina viis aastat pärast tehingu või ärisuhte </w:t>
      </w:r>
      <w:proofErr w:type="spellStart"/>
      <w:r w:rsidRPr="003331EF">
        <w:t>lõetamist</w:t>
      </w:r>
      <w:proofErr w:type="spellEnd"/>
      <w:r w:rsidRPr="003331EF">
        <w:t>, kui asjaomast valdkonda reguleerivatest õigusaktidest ei tulene teistsugust korda. Rahapesu Andmebüroo ettekirjutuse alusel võib rahapesu või terrorismi rahastamise tõkestamise, avastamise või uurimise seisukohast olulisi andmeid säilitada kauem, kuid mitte rohkem kui viis aastat pärast esmase tähtaja möödumist. Seega dokumentide hoidja peab jälgima säilitustähtaegu ja vastavalt tähtaegadele andmed kustutama.</w:t>
      </w:r>
      <w:r w:rsidR="00FC73FE" w:rsidRPr="003331EF">
        <w:t xml:space="preserve"> Dokumentide hoidja teavitab RAB oma tegevuse lõpetamisest, kui see toimub seoses kõigi hoitavate dokumentide säilitustähtaegade saabumisega.</w:t>
      </w:r>
    </w:p>
    <w:p w14:paraId="160C89FA" w14:textId="77777777" w:rsidR="000C41FC" w:rsidRPr="003331EF" w:rsidRDefault="000C41FC" w:rsidP="003331EF">
      <w:pPr>
        <w:spacing w:before="0"/>
      </w:pPr>
    </w:p>
    <w:p w14:paraId="0A5E81CA" w14:textId="4B76E296" w:rsidR="000C41FC" w:rsidRPr="003331EF" w:rsidRDefault="000C41FC" w:rsidP="003331EF">
      <w:pPr>
        <w:spacing w:before="0"/>
      </w:pPr>
      <w:r w:rsidRPr="003331EF">
        <w:rPr>
          <w:b/>
          <w:bCs/>
        </w:rPr>
        <w:t xml:space="preserve">Puntiga </w:t>
      </w:r>
      <w:r w:rsidR="006C704E" w:rsidRPr="003331EF">
        <w:rPr>
          <w:b/>
          <w:bCs/>
        </w:rPr>
        <w:t>3</w:t>
      </w:r>
      <w:r w:rsidR="00C96C2D" w:rsidRPr="003331EF">
        <w:rPr>
          <w:b/>
          <w:bCs/>
        </w:rPr>
        <w:t>3</w:t>
      </w:r>
      <w:r w:rsidRPr="003331EF">
        <w:t xml:space="preserve"> </w:t>
      </w:r>
      <w:r w:rsidR="00083FE9" w:rsidRPr="003331EF">
        <w:t>täiendatakse</w:t>
      </w:r>
      <w:r w:rsidRPr="003331EF">
        <w:t xml:space="preserve"> </w:t>
      </w:r>
      <w:r w:rsidR="00083FE9" w:rsidRPr="003331EF">
        <w:t xml:space="preserve">seaduse </w:t>
      </w:r>
      <w:r w:rsidRPr="003331EF">
        <w:t>normitehnili</w:t>
      </w:r>
      <w:r w:rsidR="00083FE9" w:rsidRPr="003331EF">
        <w:t xml:space="preserve">st </w:t>
      </w:r>
      <w:r w:rsidRPr="003331EF">
        <w:t>märkus</w:t>
      </w:r>
      <w:r w:rsidR="00083FE9" w:rsidRPr="003331EF">
        <w:t>t</w:t>
      </w:r>
      <w:r w:rsidRPr="003331EF">
        <w:t xml:space="preserve"> </w:t>
      </w:r>
      <w:r w:rsidR="00D23449" w:rsidRPr="003331EF">
        <w:t xml:space="preserve">viitega </w:t>
      </w:r>
      <w:r w:rsidR="004C286C" w:rsidRPr="003331EF">
        <w:t xml:space="preserve">TFR määrusele ehk </w:t>
      </w:r>
      <w:r w:rsidR="00D23449" w:rsidRPr="003331EF">
        <w:t>määrusele (EL) 2023/3111, kuna määrusega muudetakse direktiivi (EL) 2015/849.</w:t>
      </w:r>
    </w:p>
    <w:p w14:paraId="4093D333" w14:textId="77777777" w:rsidR="001A4507" w:rsidRPr="003331EF" w:rsidRDefault="001A4507" w:rsidP="003331EF">
      <w:pPr>
        <w:spacing w:before="0"/>
      </w:pPr>
    </w:p>
    <w:p w14:paraId="27CB3486" w14:textId="54DA37F1" w:rsidR="00A97910" w:rsidRPr="00A4579B" w:rsidRDefault="00A97910" w:rsidP="003331EF">
      <w:pPr>
        <w:pStyle w:val="Pealkiri30"/>
        <w:shd w:val="clear" w:color="auto" w:fill="FFFFFF"/>
        <w:spacing w:before="0"/>
        <w:jc w:val="both"/>
        <w:rPr>
          <w:color w:val="auto"/>
          <w:lang w:val="et-EE"/>
        </w:rPr>
      </w:pPr>
      <w:r w:rsidRPr="003331EF">
        <w:rPr>
          <w:color w:val="auto"/>
          <w:lang w:val="et-EE"/>
        </w:rPr>
        <w:t>Paragrahv 5</w:t>
      </w:r>
      <w:r w:rsidR="00C20CE7" w:rsidRPr="003331EF">
        <w:rPr>
          <w:color w:val="auto"/>
          <w:lang w:val="et-EE"/>
        </w:rPr>
        <w:t>6</w:t>
      </w:r>
      <w:r w:rsidRPr="003331EF">
        <w:rPr>
          <w:color w:val="auto"/>
          <w:lang w:val="et-EE"/>
        </w:rPr>
        <w:t xml:space="preserve">. </w:t>
      </w:r>
      <w:r w:rsidRPr="00A4579B">
        <w:rPr>
          <w:color w:val="auto"/>
          <w:lang w:val="et-EE"/>
        </w:rPr>
        <w:t>Rahvusvahelise sanktsiooni seaduse muutmine</w:t>
      </w:r>
    </w:p>
    <w:p w14:paraId="480F4158" w14:textId="77777777" w:rsidR="00A97910" w:rsidRPr="003331EF" w:rsidRDefault="00A97910" w:rsidP="003331EF">
      <w:pPr>
        <w:spacing w:before="0"/>
        <w:rPr>
          <w:b/>
        </w:rPr>
      </w:pPr>
    </w:p>
    <w:p w14:paraId="7E8802CD" w14:textId="24007DE3" w:rsidR="001A4507" w:rsidRPr="003331EF" w:rsidRDefault="001A4507" w:rsidP="003331EF">
      <w:pPr>
        <w:spacing w:before="0"/>
      </w:pPr>
      <w:r w:rsidRPr="003331EF">
        <w:rPr>
          <w:b/>
        </w:rPr>
        <w:t>Paragrahviga 5</w:t>
      </w:r>
      <w:r w:rsidR="00C20CE7" w:rsidRPr="003331EF">
        <w:rPr>
          <w:b/>
        </w:rPr>
        <w:t>6</w:t>
      </w:r>
      <w:r w:rsidRPr="003331EF">
        <w:rPr>
          <w:b/>
        </w:rPr>
        <w:t xml:space="preserve"> </w:t>
      </w:r>
      <w:r w:rsidR="00F31FB2" w:rsidRPr="003331EF">
        <w:rPr>
          <w:iCs/>
          <w:spacing w:val="-5"/>
          <w:lang w:eastAsia="en-US"/>
        </w:rPr>
        <w:t xml:space="preserve">tunnistatakse kehtetuks </w:t>
      </w:r>
      <w:proofErr w:type="spellStart"/>
      <w:r w:rsidR="00F31FB2" w:rsidRPr="003331EF">
        <w:rPr>
          <w:iCs/>
          <w:spacing w:val="-5"/>
          <w:lang w:eastAsia="en-US"/>
        </w:rPr>
        <w:t>RSanS</w:t>
      </w:r>
      <w:proofErr w:type="spellEnd"/>
      <w:r w:rsidR="00F31FB2" w:rsidRPr="003331EF">
        <w:rPr>
          <w:iCs/>
          <w:spacing w:val="-5"/>
          <w:lang w:eastAsia="en-US"/>
        </w:rPr>
        <w:t>-i säte, mille kohaselt virtuaalvääringu teenuse pakkuja on erikohustusega isik</w:t>
      </w:r>
      <w:r w:rsidRPr="003331EF">
        <w:rPr>
          <w:iCs/>
          <w:spacing w:val="-5"/>
          <w:lang w:eastAsia="en-US"/>
        </w:rPr>
        <w:t xml:space="preserve">. Kuna 1. </w:t>
      </w:r>
      <w:r w:rsidR="00C402F7" w:rsidRPr="003331EF">
        <w:rPr>
          <w:iCs/>
          <w:spacing w:val="-5"/>
          <w:lang w:eastAsia="en-US"/>
        </w:rPr>
        <w:t xml:space="preserve">jaanuaril </w:t>
      </w:r>
      <w:r w:rsidRPr="003331EF">
        <w:rPr>
          <w:iCs/>
          <w:spacing w:val="-5"/>
          <w:lang w:eastAsia="en-US"/>
        </w:rPr>
        <w:t>202</w:t>
      </w:r>
      <w:r w:rsidR="00C402F7" w:rsidRPr="003331EF">
        <w:rPr>
          <w:iCs/>
          <w:spacing w:val="-5"/>
          <w:lang w:eastAsia="en-US"/>
        </w:rPr>
        <w:t>6</w:t>
      </w:r>
      <w:r w:rsidR="004C286C" w:rsidRPr="003331EF">
        <w:rPr>
          <w:iCs/>
          <w:spacing w:val="-5"/>
          <w:lang w:eastAsia="en-US"/>
        </w:rPr>
        <w:t xml:space="preserve">. a </w:t>
      </w:r>
      <w:r w:rsidRPr="003331EF">
        <w:rPr>
          <w:iCs/>
          <w:spacing w:val="-5"/>
          <w:lang w:eastAsia="en-US"/>
        </w:rPr>
        <w:t xml:space="preserve"> jõustub </w:t>
      </w:r>
      <w:proofErr w:type="spellStart"/>
      <w:r w:rsidRPr="003331EF">
        <w:rPr>
          <w:iCs/>
          <w:spacing w:val="-5"/>
          <w:lang w:eastAsia="en-US"/>
        </w:rPr>
        <w:t>RahaPTS</w:t>
      </w:r>
      <w:r w:rsidR="000A0985" w:rsidRPr="003331EF">
        <w:rPr>
          <w:iCs/>
          <w:spacing w:val="-5"/>
          <w:lang w:eastAsia="en-US"/>
        </w:rPr>
        <w:t>-</w:t>
      </w:r>
      <w:r w:rsidRPr="003331EF">
        <w:rPr>
          <w:iCs/>
          <w:spacing w:val="-5"/>
          <w:lang w:eastAsia="en-US"/>
        </w:rPr>
        <w:t>is</w:t>
      </w:r>
      <w:proofErr w:type="spellEnd"/>
      <w:r w:rsidRPr="003331EF">
        <w:rPr>
          <w:iCs/>
          <w:spacing w:val="-5"/>
          <w:lang w:eastAsia="en-US"/>
        </w:rPr>
        <w:t xml:space="preserve"> muudatus, mille kohaselt </w:t>
      </w:r>
      <w:r w:rsidR="00D23449" w:rsidRPr="003331EF">
        <w:rPr>
          <w:iCs/>
          <w:spacing w:val="-5"/>
          <w:lang w:eastAsia="en-US"/>
        </w:rPr>
        <w:t xml:space="preserve">virtuaalvääringu teenuse mõiste ja tegevusluba kaovad seaduse tekstist ning alles jääb üksnes </w:t>
      </w:r>
      <w:proofErr w:type="spellStart"/>
      <w:r w:rsidR="00D23449" w:rsidRPr="003331EF">
        <w:rPr>
          <w:iCs/>
          <w:spacing w:val="-5"/>
          <w:lang w:eastAsia="en-US"/>
        </w:rPr>
        <w:t>krüptovarateenus</w:t>
      </w:r>
      <w:proofErr w:type="spellEnd"/>
      <w:r w:rsidR="00D23449" w:rsidRPr="003331EF">
        <w:rPr>
          <w:iCs/>
          <w:spacing w:val="-5"/>
          <w:lang w:eastAsia="en-US"/>
        </w:rPr>
        <w:t xml:space="preserve"> ja </w:t>
      </w:r>
      <w:proofErr w:type="spellStart"/>
      <w:r w:rsidR="00D23449" w:rsidRPr="003331EF">
        <w:rPr>
          <w:iCs/>
          <w:spacing w:val="-5"/>
          <w:lang w:eastAsia="en-US"/>
        </w:rPr>
        <w:t>krüptovarateenuse</w:t>
      </w:r>
      <w:proofErr w:type="spellEnd"/>
      <w:r w:rsidR="00D23449" w:rsidRPr="003331EF">
        <w:rPr>
          <w:iCs/>
          <w:spacing w:val="-5"/>
          <w:lang w:eastAsia="en-US"/>
        </w:rPr>
        <w:t xml:space="preserve"> osutaja, siis on vaja ka kehtetuks tunnistada </w:t>
      </w:r>
      <w:proofErr w:type="spellStart"/>
      <w:r w:rsidR="00D23449" w:rsidRPr="003331EF">
        <w:rPr>
          <w:iCs/>
          <w:spacing w:val="-5"/>
          <w:lang w:eastAsia="en-US"/>
        </w:rPr>
        <w:t>RSanS</w:t>
      </w:r>
      <w:proofErr w:type="spellEnd"/>
      <w:r w:rsidR="00D23449" w:rsidRPr="003331EF">
        <w:rPr>
          <w:iCs/>
          <w:spacing w:val="-5"/>
          <w:lang w:eastAsia="en-US"/>
        </w:rPr>
        <w:t xml:space="preserve">-i säte, mille kohaselt </w:t>
      </w:r>
      <w:r w:rsidR="005E7406" w:rsidRPr="003331EF">
        <w:rPr>
          <w:iCs/>
          <w:spacing w:val="-5"/>
          <w:lang w:eastAsia="en-US"/>
        </w:rPr>
        <w:t>VASP</w:t>
      </w:r>
      <w:r w:rsidR="00D23449" w:rsidRPr="003331EF">
        <w:rPr>
          <w:iCs/>
          <w:spacing w:val="-5"/>
          <w:lang w:eastAsia="en-US"/>
        </w:rPr>
        <w:t xml:space="preserve"> on erikohustusega isik. </w:t>
      </w:r>
      <w:proofErr w:type="spellStart"/>
      <w:r w:rsidR="00D23449" w:rsidRPr="003331EF">
        <w:rPr>
          <w:iCs/>
          <w:spacing w:val="-5"/>
          <w:lang w:eastAsia="en-US"/>
        </w:rPr>
        <w:t>Krüptovarateenuse</w:t>
      </w:r>
      <w:proofErr w:type="spellEnd"/>
      <w:r w:rsidR="00D23449" w:rsidRPr="003331EF">
        <w:rPr>
          <w:iCs/>
          <w:spacing w:val="-5"/>
          <w:lang w:eastAsia="en-US"/>
        </w:rPr>
        <w:t xml:space="preserve"> osutaja </w:t>
      </w:r>
      <w:proofErr w:type="spellStart"/>
      <w:r w:rsidR="00D23449" w:rsidRPr="003331EF">
        <w:rPr>
          <w:iCs/>
          <w:spacing w:val="-5"/>
          <w:lang w:eastAsia="en-US"/>
        </w:rPr>
        <w:t>RahaPTS</w:t>
      </w:r>
      <w:proofErr w:type="spellEnd"/>
      <w:r w:rsidR="00D23449" w:rsidRPr="003331EF">
        <w:rPr>
          <w:iCs/>
          <w:spacing w:val="-5"/>
          <w:lang w:eastAsia="en-US"/>
        </w:rPr>
        <w:t xml:space="preserve"> tähenduses on edaspidi erikohustusega isik, kuna </w:t>
      </w:r>
      <w:proofErr w:type="spellStart"/>
      <w:r w:rsidR="00D23449" w:rsidRPr="003331EF">
        <w:rPr>
          <w:iCs/>
          <w:spacing w:val="-5"/>
          <w:lang w:eastAsia="en-US"/>
        </w:rPr>
        <w:t>krüptovarateenuse</w:t>
      </w:r>
      <w:proofErr w:type="spellEnd"/>
      <w:r w:rsidR="00D23449" w:rsidRPr="003331EF">
        <w:rPr>
          <w:iCs/>
          <w:spacing w:val="-5"/>
          <w:lang w:eastAsia="en-US"/>
        </w:rPr>
        <w:t xml:space="preserve"> osutajad on </w:t>
      </w:r>
      <w:proofErr w:type="spellStart"/>
      <w:r w:rsidR="00D23449" w:rsidRPr="003331EF">
        <w:rPr>
          <w:iCs/>
          <w:spacing w:val="-5"/>
          <w:lang w:eastAsia="en-US"/>
        </w:rPr>
        <w:t>RahaPTS</w:t>
      </w:r>
      <w:proofErr w:type="spellEnd"/>
      <w:r w:rsidR="00D23449" w:rsidRPr="003331EF">
        <w:rPr>
          <w:iCs/>
          <w:spacing w:val="-5"/>
          <w:lang w:eastAsia="en-US"/>
        </w:rPr>
        <w:t xml:space="preserve"> kohaselt finantseerimisasutused ja </w:t>
      </w:r>
      <w:proofErr w:type="spellStart"/>
      <w:r w:rsidR="00D23449" w:rsidRPr="003331EF">
        <w:rPr>
          <w:iCs/>
          <w:spacing w:val="-5"/>
          <w:lang w:eastAsia="en-US"/>
        </w:rPr>
        <w:t>RSanS</w:t>
      </w:r>
      <w:proofErr w:type="spellEnd"/>
      <w:r w:rsidR="00D23449" w:rsidRPr="003331EF">
        <w:rPr>
          <w:iCs/>
          <w:spacing w:val="-5"/>
          <w:lang w:eastAsia="en-US"/>
        </w:rPr>
        <w:t xml:space="preserve"> kohaselt kõik finantseerimisasutused on erikohustusega isikud.</w:t>
      </w:r>
      <w:r w:rsidRPr="003331EF">
        <w:t xml:space="preserve"> </w:t>
      </w:r>
    </w:p>
    <w:p w14:paraId="347D6781" w14:textId="77777777" w:rsidR="001A4507" w:rsidRPr="003331EF" w:rsidRDefault="001A4507" w:rsidP="003331EF">
      <w:pPr>
        <w:spacing w:before="0"/>
      </w:pPr>
    </w:p>
    <w:p w14:paraId="7D8FE03A" w14:textId="1B576E4C" w:rsidR="00A97910" w:rsidRPr="00A4579B" w:rsidRDefault="00A97910" w:rsidP="003331EF">
      <w:pPr>
        <w:spacing w:before="0"/>
        <w:rPr>
          <w:lang w:eastAsia="en-US"/>
        </w:rPr>
      </w:pPr>
      <w:r w:rsidRPr="00A4579B">
        <w:rPr>
          <w:b/>
          <w:bCs/>
          <w:lang w:eastAsia="en-US"/>
        </w:rPr>
        <w:lastRenderedPageBreak/>
        <w:t>Paragrahv 5</w:t>
      </w:r>
      <w:r w:rsidR="00C20CE7" w:rsidRPr="00A4579B">
        <w:rPr>
          <w:b/>
          <w:bCs/>
          <w:lang w:eastAsia="en-US"/>
        </w:rPr>
        <w:t>7</w:t>
      </w:r>
      <w:r w:rsidRPr="00A4579B">
        <w:rPr>
          <w:b/>
          <w:bCs/>
          <w:lang w:eastAsia="en-US"/>
        </w:rPr>
        <w:t>.</w:t>
      </w:r>
      <w:r w:rsidRPr="00A4579B">
        <w:rPr>
          <w:lang w:eastAsia="en-US"/>
        </w:rPr>
        <w:t xml:space="preserve"> </w:t>
      </w:r>
      <w:r w:rsidRPr="003331EF">
        <w:rPr>
          <w:b/>
          <w:bCs/>
        </w:rPr>
        <w:t>Riigilõivuseaduse muutmine</w:t>
      </w:r>
    </w:p>
    <w:p w14:paraId="08BD4FDC" w14:textId="77777777" w:rsidR="00A97910" w:rsidRPr="00A4579B" w:rsidRDefault="00A97910" w:rsidP="003331EF">
      <w:pPr>
        <w:spacing w:before="0"/>
        <w:rPr>
          <w:lang w:eastAsia="en-US"/>
        </w:rPr>
      </w:pPr>
    </w:p>
    <w:p w14:paraId="49F88FA9" w14:textId="47D9194B" w:rsidR="001A4507" w:rsidRPr="003331EF" w:rsidRDefault="001A4507" w:rsidP="003331EF">
      <w:pPr>
        <w:pStyle w:val="Pealkiri30"/>
        <w:shd w:val="clear" w:color="auto" w:fill="FFFFFF"/>
        <w:spacing w:before="0"/>
        <w:jc w:val="both"/>
        <w:rPr>
          <w:b w:val="0"/>
          <w:bCs w:val="0"/>
          <w:color w:val="auto"/>
          <w:lang w:val="et-EE"/>
        </w:rPr>
      </w:pPr>
      <w:r w:rsidRPr="003331EF">
        <w:rPr>
          <w:color w:val="auto"/>
          <w:lang w:val="et-EE"/>
        </w:rPr>
        <w:t>Paragrahviga 5</w:t>
      </w:r>
      <w:r w:rsidR="00C20CE7" w:rsidRPr="003331EF">
        <w:rPr>
          <w:color w:val="auto"/>
          <w:lang w:val="et-EE"/>
        </w:rPr>
        <w:t>7</w:t>
      </w:r>
      <w:r w:rsidRPr="003331EF">
        <w:rPr>
          <w:b w:val="0"/>
          <w:bCs w:val="0"/>
          <w:color w:val="auto"/>
          <w:lang w:val="et-EE"/>
        </w:rPr>
        <w:t xml:space="preserve"> </w:t>
      </w:r>
      <w:r w:rsidRPr="003331EF">
        <w:rPr>
          <w:rFonts w:eastAsia="Times New Roman"/>
          <w:b w:val="0"/>
          <w:bCs w:val="0"/>
          <w:iCs/>
          <w:color w:val="auto"/>
          <w:spacing w:val="-5"/>
          <w:lang w:val="et-EE"/>
        </w:rPr>
        <w:t>tunnistatakse RLS kehtetuks sätted, mis reguleerivad virtuaalvääringu teenuse pakkumise tegevusloa taotlemise korral riigilõivu tasumist (esmane läbivaatamine 10 000 eurot ja muutmine 4000 eurot) ning muutmise taotluse läbivaatamise korral riigilõivu tasumisest vabastamist.</w:t>
      </w:r>
      <w:r w:rsidRPr="003331EF">
        <w:rPr>
          <w:b w:val="0"/>
          <w:bCs w:val="0"/>
          <w:color w:val="auto"/>
          <w:lang w:val="et-EE"/>
        </w:rPr>
        <w:t xml:space="preserve"> </w:t>
      </w:r>
    </w:p>
    <w:p w14:paraId="5FAC3164" w14:textId="77777777" w:rsidR="001A4507" w:rsidRPr="003331EF" w:rsidRDefault="001A4507" w:rsidP="003331EF">
      <w:pPr>
        <w:spacing w:before="0"/>
        <w:rPr>
          <w:i/>
          <w:iCs/>
        </w:rPr>
      </w:pPr>
    </w:p>
    <w:p w14:paraId="7BB60158" w14:textId="1E019528" w:rsidR="00A97910" w:rsidRPr="003331EF" w:rsidRDefault="00A97910" w:rsidP="003331EF">
      <w:pPr>
        <w:spacing w:before="0"/>
        <w:rPr>
          <w:b/>
          <w:shd w:val="clear" w:color="auto" w:fill="FFFFFF"/>
        </w:rPr>
      </w:pPr>
      <w:r w:rsidRPr="003331EF">
        <w:rPr>
          <w:b/>
          <w:shd w:val="clear" w:color="auto" w:fill="FFFFFF"/>
        </w:rPr>
        <w:t>Paragrahv 5</w:t>
      </w:r>
      <w:r w:rsidR="00C20CE7" w:rsidRPr="003331EF">
        <w:rPr>
          <w:b/>
          <w:shd w:val="clear" w:color="auto" w:fill="FFFFFF"/>
        </w:rPr>
        <w:t>8</w:t>
      </w:r>
      <w:r w:rsidRPr="003331EF">
        <w:rPr>
          <w:b/>
          <w:shd w:val="clear" w:color="auto" w:fill="FFFFFF"/>
        </w:rPr>
        <w:t xml:space="preserve">. </w:t>
      </w:r>
      <w:r w:rsidRPr="003331EF">
        <w:rPr>
          <w:b/>
        </w:rPr>
        <w:t>Väärtpaberite registri pidamise seaduse muutmine</w:t>
      </w:r>
    </w:p>
    <w:p w14:paraId="7186A00D" w14:textId="77777777" w:rsidR="0058502F" w:rsidRPr="003331EF" w:rsidRDefault="0058502F" w:rsidP="003331EF">
      <w:pPr>
        <w:spacing w:before="0"/>
        <w:rPr>
          <w:b/>
          <w:shd w:val="clear" w:color="auto" w:fill="FFFFFF"/>
        </w:rPr>
      </w:pPr>
    </w:p>
    <w:p w14:paraId="6BEFB1DA" w14:textId="1266E312" w:rsidR="001A4507" w:rsidRPr="003331EF" w:rsidRDefault="001A4507" w:rsidP="003331EF">
      <w:pPr>
        <w:spacing w:before="0"/>
        <w:rPr>
          <w:bCs/>
        </w:rPr>
      </w:pPr>
      <w:r w:rsidRPr="003331EF">
        <w:rPr>
          <w:b/>
          <w:shd w:val="clear" w:color="auto" w:fill="FFFFFF"/>
        </w:rPr>
        <w:t>Paragrahviga 5</w:t>
      </w:r>
      <w:r w:rsidR="00C20CE7" w:rsidRPr="003331EF">
        <w:rPr>
          <w:b/>
          <w:shd w:val="clear" w:color="auto" w:fill="FFFFFF"/>
        </w:rPr>
        <w:t>8</w:t>
      </w:r>
      <w:r w:rsidRPr="003331EF">
        <w:rPr>
          <w:shd w:val="clear" w:color="auto" w:fill="FFFFFF"/>
        </w:rPr>
        <w:t xml:space="preserve"> </w:t>
      </w:r>
      <w:r w:rsidRPr="003331EF">
        <w:rPr>
          <w:iCs/>
          <w:spacing w:val="-5"/>
          <w:lang w:eastAsia="en-US"/>
        </w:rPr>
        <w:t>sätestatakse EVKS muudatused.</w:t>
      </w:r>
    </w:p>
    <w:p w14:paraId="6586E0F1" w14:textId="77777777" w:rsidR="001A4507" w:rsidRPr="003331EF" w:rsidRDefault="001A4507" w:rsidP="003331EF">
      <w:pPr>
        <w:spacing w:before="0"/>
        <w:rPr>
          <w:b/>
          <w:bCs/>
          <w:i/>
          <w:iCs/>
        </w:rPr>
      </w:pPr>
    </w:p>
    <w:p w14:paraId="02707B5C" w14:textId="771359B8" w:rsidR="001A4507" w:rsidRPr="003331EF" w:rsidRDefault="001A4507" w:rsidP="003331EF">
      <w:pPr>
        <w:pStyle w:val="Text1"/>
        <w:spacing w:before="0" w:after="0"/>
        <w:ind w:left="0"/>
        <w:rPr>
          <w:rFonts w:cs="Times New Roman"/>
          <w:bCs/>
          <w:sz w:val="24"/>
          <w:shd w:val="clear" w:color="auto" w:fill="FFFFFF"/>
          <w:lang w:eastAsia="et-EE"/>
        </w:rPr>
      </w:pPr>
      <w:r w:rsidRPr="003331EF">
        <w:rPr>
          <w:rFonts w:cs="Times New Roman"/>
          <w:b/>
          <w:sz w:val="24"/>
          <w:shd w:val="clear" w:color="auto" w:fill="FFFFFF"/>
          <w:lang w:eastAsia="et-EE"/>
        </w:rPr>
        <w:t>Punktiga 1</w:t>
      </w:r>
      <w:r w:rsidRPr="003331EF">
        <w:rPr>
          <w:rFonts w:cs="Times New Roman"/>
          <w:bCs/>
          <w:sz w:val="24"/>
          <w:shd w:val="clear" w:color="auto" w:fill="FFFFFF"/>
          <w:lang w:eastAsia="et-EE"/>
        </w:rPr>
        <w:t xml:space="preserve"> </w:t>
      </w:r>
      <w:r w:rsidRPr="003331EF">
        <w:rPr>
          <w:rFonts w:cs="Times New Roman"/>
          <w:b/>
          <w:bCs/>
          <w:iCs/>
          <w:spacing w:val="-5"/>
          <w:sz w:val="24"/>
          <w:lang w:eastAsia="en-US"/>
        </w:rPr>
        <w:t xml:space="preserve">muudetakse </w:t>
      </w:r>
      <w:r w:rsidR="009C7436" w:rsidRPr="003331EF">
        <w:rPr>
          <w:rFonts w:cs="Times New Roman"/>
          <w:b/>
          <w:bCs/>
          <w:iCs/>
          <w:spacing w:val="-5"/>
          <w:sz w:val="24"/>
          <w:lang w:eastAsia="en-US"/>
        </w:rPr>
        <w:t>EVKS</w:t>
      </w:r>
      <w:r w:rsidRPr="003331EF">
        <w:rPr>
          <w:rFonts w:cs="Times New Roman"/>
          <w:b/>
          <w:bCs/>
          <w:iCs/>
          <w:spacing w:val="-5"/>
          <w:sz w:val="24"/>
          <w:lang w:eastAsia="en-US"/>
        </w:rPr>
        <w:t xml:space="preserve"> § 2 lõiget 2</w:t>
      </w:r>
      <w:r w:rsidRPr="003331EF">
        <w:rPr>
          <w:rFonts w:cs="Times New Roman"/>
          <w:iCs/>
          <w:spacing w:val="-5"/>
          <w:sz w:val="24"/>
          <w:lang w:eastAsia="en-US"/>
        </w:rPr>
        <w:t xml:space="preserve">, millega luuakse võimalus kanda </w:t>
      </w:r>
      <w:proofErr w:type="spellStart"/>
      <w:r w:rsidRPr="003331EF">
        <w:rPr>
          <w:rFonts w:cs="Times New Roman"/>
          <w:iCs/>
          <w:spacing w:val="-5"/>
          <w:sz w:val="24"/>
          <w:lang w:eastAsia="en-US"/>
        </w:rPr>
        <w:t>krüptovara</w:t>
      </w:r>
      <w:proofErr w:type="spellEnd"/>
      <w:r w:rsidRPr="003331EF">
        <w:rPr>
          <w:rFonts w:cs="Times New Roman"/>
          <w:iCs/>
          <w:spacing w:val="-5"/>
          <w:sz w:val="24"/>
          <w:lang w:eastAsia="en-US"/>
        </w:rPr>
        <w:t xml:space="preserve"> Eesti väärtpaberite registrisse. </w:t>
      </w:r>
      <w:proofErr w:type="spellStart"/>
      <w:r w:rsidRPr="003331EF">
        <w:rPr>
          <w:rFonts w:cs="Times New Roman"/>
          <w:iCs/>
          <w:spacing w:val="-5"/>
          <w:sz w:val="24"/>
          <w:lang w:eastAsia="en-US"/>
        </w:rPr>
        <w:t>M</w:t>
      </w:r>
      <w:r w:rsidR="0019289B">
        <w:rPr>
          <w:rFonts w:cs="Times New Roman"/>
          <w:iCs/>
          <w:spacing w:val="-5"/>
          <w:sz w:val="24"/>
          <w:lang w:eastAsia="en-US"/>
        </w:rPr>
        <w:t>i</w:t>
      </w:r>
      <w:r w:rsidRPr="003331EF">
        <w:rPr>
          <w:rFonts w:cs="Times New Roman"/>
          <w:iCs/>
          <w:spacing w:val="-5"/>
          <w:sz w:val="24"/>
          <w:lang w:eastAsia="en-US"/>
        </w:rPr>
        <w:t>CA</w:t>
      </w:r>
      <w:proofErr w:type="spellEnd"/>
      <w:r w:rsidRPr="003331EF">
        <w:rPr>
          <w:rFonts w:cs="Times New Roman"/>
          <w:iCs/>
          <w:spacing w:val="-5"/>
          <w:sz w:val="24"/>
          <w:lang w:eastAsia="en-US"/>
        </w:rPr>
        <w:t xml:space="preserve"> määruse artikli 60 lõike 2 kohaselt võib väärtpaberite </w:t>
      </w:r>
      <w:proofErr w:type="spellStart"/>
      <w:r w:rsidRPr="003331EF">
        <w:rPr>
          <w:rFonts w:cs="Times New Roman"/>
          <w:iCs/>
          <w:spacing w:val="-5"/>
          <w:sz w:val="24"/>
          <w:lang w:eastAsia="en-US"/>
        </w:rPr>
        <w:t>keskdepositoorium</w:t>
      </w:r>
      <w:proofErr w:type="spellEnd"/>
      <w:r w:rsidRPr="003331EF">
        <w:rPr>
          <w:rFonts w:cs="Times New Roman"/>
          <w:iCs/>
          <w:spacing w:val="-5"/>
          <w:sz w:val="24"/>
          <w:lang w:eastAsia="en-US"/>
        </w:rPr>
        <w:t xml:space="preserve"> </w:t>
      </w:r>
      <w:proofErr w:type="spellStart"/>
      <w:r w:rsidRPr="003331EF">
        <w:rPr>
          <w:rFonts w:cs="Times New Roman"/>
          <w:iCs/>
          <w:spacing w:val="-5"/>
          <w:sz w:val="24"/>
          <w:lang w:eastAsia="en-US"/>
        </w:rPr>
        <w:t>krüptovara</w:t>
      </w:r>
      <w:proofErr w:type="spellEnd"/>
      <w:r w:rsidRPr="003331EF">
        <w:rPr>
          <w:rFonts w:cs="Times New Roman"/>
          <w:iCs/>
          <w:spacing w:val="-5"/>
          <w:sz w:val="24"/>
          <w:lang w:eastAsia="en-US"/>
        </w:rPr>
        <w:t xml:space="preserve"> hoida ja hallata kliendi nimel üksnes juhul, kui ta esitab oma päritoluliikmesriigi pädevale asutusele vähemalt 40 tööpäeva enne seda, kui ta selliseid teenuseid esimest korda osutab, viidatud artikli lõikes 7 osutatud teabe. </w:t>
      </w:r>
      <w:proofErr w:type="spellStart"/>
      <w:r w:rsidRPr="003331EF">
        <w:rPr>
          <w:rFonts w:cs="Times New Roman"/>
          <w:iCs/>
          <w:spacing w:val="-5"/>
          <w:sz w:val="24"/>
          <w:lang w:eastAsia="en-US"/>
        </w:rPr>
        <w:t>Krüptovara</w:t>
      </w:r>
      <w:proofErr w:type="spellEnd"/>
      <w:r w:rsidRPr="003331EF">
        <w:rPr>
          <w:rFonts w:cs="Times New Roman"/>
          <w:iCs/>
          <w:spacing w:val="-5"/>
          <w:sz w:val="24"/>
          <w:lang w:eastAsia="en-US"/>
        </w:rPr>
        <w:t xml:space="preserve"> hoidmist ja haldamist kliendi nimel käsitletakse seoses määruse (EL) nr 909/2014 lisa B jao punktis 3 osutatud arveldusteenusega samaväärsena väärtpaberikontode pakkumise, hoidmise ja haldamisega. </w:t>
      </w:r>
    </w:p>
    <w:p w14:paraId="30392AED" w14:textId="77777777" w:rsidR="001A4507" w:rsidRPr="003331EF" w:rsidRDefault="001A4507" w:rsidP="003331EF">
      <w:pPr>
        <w:spacing w:before="0"/>
        <w:rPr>
          <w:bCs/>
          <w:i/>
          <w:iCs/>
        </w:rPr>
      </w:pPr>
    </w:p>
    <w:p w14:paraId="1C3089EA" w14:textId="6B2C340B" w:rsidR="001A4507" w:rsidRPr="003331EF" w:rsidRDefault="001A4507" w:rsidP="003331EF">
      <w:pPr>
        <w:spacing w:before="0"/>
        <w:rPr>
          <w:b/>
          <w:bCs/>
        </w:rPr>
      </w:pPr>
      <w:r w:rsidRPr="003331EF">
        <w:rPr>
          <w:b/>
          <w:bCs/>
        </w:rPr>
        <w:t xml:space="preserve">Punktiga 2 </w:t>
      </w:r>
      <w:r w:rsidRPr="003331EF">
        <w:rPr>
          <w:b/>
          <w:bCs/>
          <w:iCs/>
          <w:spacing w:val="-5"/>
          <w:lang w:eastAsia="en-US"/>
        </w:rPr>
        <w:t>täiendatakse seaduse §-i 2 lõigetega</w:t>
      </w:r>
      <w:r w:rsidRPr="003331EF">
        <w:rPr>
          <w:b/>
          <w:bCs/>
        </w:rPr>
        <w:t xml:space="preserve"> 4</w:t>
      </w:r>
      <w:r w:rsidRPr="003331EF">
        <w:rPr>
          <w:b/>
          <w:bCs/>
          <w:vertAlign w:val="superscript"/>
        </w:rPr>
        <w:t>1</w:t>
      </w:r>
      <w:r w:rsidRPr="003331EF">
        <w:rPr>
          <w:b/>
          <w:bCs/>
        </w:rPr>
        <w:t xml:space="preserve"> ja 4</w:t>
      </w:r>
      <w:r w:rsidRPr="003331EF">
        <w:rPr>
          <w:b/>
          <w:bCs/>
          <w:vertAlign w:val="superscript"/>
        </w:rPr>
        <w:t>2</w:t>
      </w:r>
      <w:r w:rsidRPr="003331EF">
        <w:rPr>
          <w:bCs/>
        </w:rPr>
        <w:t xml:space="preserve">. </w:t>
      </w:r>
      <w:r w:rsidRPr="003331EF">
        <w:rPr>
          <w:iCs/>
          <w:spacing w:val="-5"/>
          <w:lang w:eastAsia="en-US"/>
        </w:rPr>
        <w:t xml:space="preserve">Nimetatud täienduste järgi ei kohaldata eelnõus väärtpaberikonto ja kontohaldurite kohta sätestatut, kui </w:t>
      </w:r>
      <w:proofErr w:type="spellStart"/>
      <w:r w:rsidRPr="003331EF">
        <w:rPr>
          <w:iCs/>
          <w:spacing w:val="-5"/>
          <w:lang w:eastAsia="en-US"/>
        </w:rPr>
        <w:t>krüptovaraturu</w:t>
      </w:r>
      <w:proofErr w:type="spellEnd"/>
      <w:r w:rsidRPr="003331EF">
        <w:rPr>
          <w:iCs/>
          <w:spacing w:val="-5"/>
          <w:lang w:eastAsia="en-US"/>
        </w:rPr>
        <w:t xml:space="preserve"> seaduses sätestatud vara on registreeritud </w:t>
      </w:r>
      <w:proofErr w:type="spellStart"/>
      <w:r w:rsidRPr="003331EF">
        <w:rPr>
          <w:iCs/>
          <w:spacing w:val="-5"/>
          <w:lang w:eastAsia="en-US"/>
        </w:rPr>
        <w:t>keskdepositooriumis</w:t>
      </w:r>
      <w:proofErr w:type="spellEnd"/>
      <w:r w:rsidRPr="003331EF">
        <w:rPr>
          <w:iCs/>
          <w:spacing w:val="-5"/>
          <w:lang w:eastAsia="en-US"/>
        </w:rPr>
        <w:t>. Sama paragrahvi lõike 4</w:t>
      </w:r>
      <w:r w:rsidRPr="003331EF">
        <w:rPr>
          <w:iCs/>
          <w:spacing w:val="-5"/>
          <w:vertAlign w:val="superscript"/>
          <w:lang w:eastAsia="en-US"/>
        </w:rPr>
        <w:t>2</w:t>
      </w:r>
      <w:r w:rsidRPr="003331EF">
        <w:rPr>
          <w:iCs/>
          <w:spacing w:val="-5"/>
          <w:lang w:eastAsia="en-US"/>
        </w:rPr>
        <w:t xml:space="preserve"> alusel võib valdkonna eest vastutav minister kehtestada täpsemad nõuded </w:t>
      </w:r>
      <w:proofErr w:type="spellStart"/>
      <w:r w:rsidRPr="003331EF">
        <w:rPr>
          <w:iCs/>
          <w:spacing w:val="-5"/>
          <w:lang w:eastAsia="en-US"/>
        </w:rPr>
        <w:t>keskdepositooriumis</w:t>
      </w:r>
      <w:proofErr w:type="spellEnd"/>
      <w:r w:rsidRPr="003331EF">
        <w:rPr>
          <w:iCs/>
          <w:spacing w:val="-5"/>
          <w:lang w:eastAsia="en-US"/>
        </w:rPr>
        <w:t xml:space="preserve"> viidatud vara registreerimisele ja tehingute tegemisele.</w:t>
      </w:r>
      <w:r w:rsidRPr="003331EF">
        <w:rPr>
          <w:bCs/>
        </w:rPr>
        <w:t xml:space="preserve"> </w:t>
      </w:r>
    </w:p>
    <w:p w14:paraId="02591C57" w14:textId="77777777" w:rsidR="00FF1CF7" w:rsidRPr="003331EF" w:rsidRDefault="00FF1CF7" w:rsidP="003331EF">
      <w:pPr>
        <w:spacing w:before="0"/>
        <w:rPr>
          <w:b/>
          <w:bCs/>
          <w:i/>
          <w:iCs/>
        </w:rPr>
      </w:pPr>
    </w:p>
    <w:p w14:paraId="2EE877BA" w14:textId="1780C186" w:rsidR="00A97910" w:rsidRPr="003331EF" w:rsidRDefault="00A97910" w:rsidP="003331EF">
      <w:pPr>
        <w:spacing w:before="0"/>
        <w:rPr>
          <w:rFonts w:eastAsiaTheme="majorEastAsia"/>
          <w:b/>
          <w:lang w:eastAsia="en-US"/>
        </w:rPr>
      </w:pPr>
      <w:r w:rsidRPr="003331EF">
        <w:rPr>
          <w:rFonts w:eastAsiaTheme="majorEastAsia"/>
          <w:b/>
          <w:lang w:eastAsia="en-US"/>
        </w:rPr>
        <w:t xml:space="preserve">Paragrahv </w:t>
      </w:r>
      <w:r w:rsidR="00C20CE7" w:rsidRPr="003331EF">
        <w:rPr>
          <w:rFonts w:eastAsiaTheme="majorEastAsia"/>
          <w:b/>
          <w:lang w:eastAsia="en-US"/>
        </w:rPr>
        <w:t>59</w:t>
      </w:r>
      <w:r w:rsidRPr="003331EF">
        <w:rPr>
          <w:rFonts w:eastAsiaTheme="majorEastAsia"/>
          <w:b/>
          <w:lang w:eastAsia="en-US"/>
        </w:rPr>
        <w:t xml:space="preserve">. </w:t>
      </w:r>
      <w:r w:rsidRPr="003331EF">
        <w:rPr>
          <w:b/>
          <w:bCs/>
        </w:rPr>
        <w:t>Väärtpaberituru seaduse muutmine</w:t>
      </w:r>
    </w:p>
    <w:p w14:paraId="41CFE0B6" w14:textId="77777777" w:rsidR="008C074F" w:rsidRPr="003331EF" w:rsidRDefault="008C074F" w:rsidP="003331EF">
      <w:pPr>
        <w:spacing w:before="0"/>
        <w:rPr>
          <w:rFonts w:eastAsiaTheme="majorEastAsia"/>
          <w:b/>
          <w:lang w:eastAsia="en-US"/>
        </w:rPr>
      </w:pPr>
    </w:p>
    <w:p w14:paraId="40BB2CC1" w14:textId="418CDF03" w:rsidR="001A4507" w:rsidRPr="003331EF" w:rsidRDefault="001A4507" w:rsidP="003331EF">
      <w:pPr>
        <w:spacing w:before="0"/>
        <w:rPr>
          <w:rFonts w:eastAsiaTheme="majorEastAsia"/>
          <w:lang w:eastAsia="en-US"/>
        </w:rPr>
      </w:pPr>
      <w:r w:rsidRPr="003331EF">
        <w:rPr>
          <w:rFonts w:eastAsiaTheme="majorEastAsia"/>
          <w:b/>
          <w:lang w:eastAsia="en-US"/>
        </w:rPr>
        <w:t xml:space="preserve">Paragrahviga </w:t>
      </w:r>
      <w:r w:rsidR="00C20CE7" w:rsidRPr="003331EF">
        <w:rPr>
          <w:rFonts w:eastAsiaTheme="majorEastAsia"/>
          <w:b/>
          <w:lang w:eastAsia="en-US"/>
        </w:rPr>
        <w:t>59</w:t>
      </w:r>
      <w:r w:rsidRPr="003331EF">
        <w:rPr>
          <w:rFonts w:eastAsiaTheme="majorEastAsia"/>
          <w:b/>
          <w:lang w:eastAsia="en-US"/>
        </w:rPr>
        <w:t xml:space="preserve"> </w:t>
      </w:r>
      <w:r w:rsidRPr="003331EF">
        <w:rPr>
          <w:iCs/>
          <w:spacing w:val="-5"/>
          <w:lang w:eastAsia="en-US"/>
        </w:rPr>
        <w:t xml:space="preserve">sätestatakse </w:t>
      </w:r>
      <w:proofErr w:type="spellStart"/>
      <w:r w:rsidRPr="003331EF">
        <w:rPr>
          <w:iCs/>
          <w:spacing w:val="-5"/>
          <w:lang w:eastAsia="en-US"/>
        </w:rPr>
        <w:t>VpTS</w:t>
      </w:r>
      <w:proofErr w:type="spellEnd"/>
      <w:r w:rsidRPr="003331EF">
        <w:rPr>
          <w:iCs/>
          <w:spacing w:val="-5"/>
          <w:lang w:eastAsia="en-US"/>
        </w:rPr>
        <w:t xml:space="preserve"> muudatused.</w:t>
      </w:r>
    </w:p>
    <w:p w14:paraId="67B0BC1B" w14:textId="77777777" w:rsidR="001A4507" w:rsidRPr="003331EF" w:rsidRDefault="001A4507" w:rsidP="003331EF">
      <w:pPr>
        <w:spacing w:before="0"/>
        <w:rPr>
          <w:rFonts w:eastAsiaTheme="majorEastAsia"/>
          <w:i/>
          <w:iCs/>
          <w:lang w:eastAsia="en-US"/>
        </w:rPr>
      </w:pPr>
    </w:p>
    <w:p w14:paraId="332DC49F" w14:textId="5193C18E" w:rsidR="004819F2" w:rsidRPr="003331EF" w:rsidRDefault="001A4507" w:rsidP="003331EF">
      <w:pPr>
        <w:spacing w:before="0"/>
        <w:rPr>
          <w:iCs/>
          <w:spacing w:val="-5"/>
          <w:lang w:eastAsia="en-US"/>
        </w:rPr>
      </w:pPr>
      <w:r w:rsidRPr="003331EF">
        <w:rPr>
          <w:rFonts w:eastAsiaTheme="majorEastAsia"/>
          <w:b/>
          <w:lang w:eastAsia="en-US"/>
        </w:rPr>
        <w:t>Punkti</w:t>
      </w:r>
      <w:r w:rsidR="004819F2" w:rsidRPr="003331EF">
        <w:rPr>
          <w:rFonts w:eastAsiaTheme="majorEastAsia"/>
          <w:b/>
          <w:lang w:eastAsia="en-US"/>
        </w:rPr>
        <w:t>de</w:t>
      </w:r>
      <w:r w:rsidRPr="003331EF">
        <w:rPr>
          <w:rFonts w:eastAsiaTheme="majorEastAsia"/>
          <w:b/>
          <w:lang w:eastAsia="en-US"/>
        </w:rPr>
        <w:t>ga 1</w:t>
      </w:r>
      <w:r w:rsidR="004819F2" w:rsidRPr="003331EF">
        <w:rPr>
          <w:rFonts w:eastAsiaTheme="majorEastAsia"/>
          <w:b/>
          <w:lang w:eastAsia="en-US"/>
        </w:rPr>
        <w:t xml:space="preserve"> ja 2 </w:t>
      </w:r>
      <w:r w:rsidR="004819F2" w:rsidRPr="003331EF">
        <w:rPr>
          <w:b/>
          <w:bCs/>
          <w:iCs/>
          <w:spacing w:val="-5"/>
          <w:lang w:eastAsia="en-US"/>
        </w:rPr>
        <w:t xml:space="preserve">tehakse muudatused </w:t>
      </w:r>
      <w:proofErr w:type="spellStart"/>
      <w:r w:rsidR="004819F2" w:rsidRPr="003331EF">
        <w:rPr>
          <w:b/>
          <w:bCs/>
          <w:iCs/>
          <w:spacing w:val="-5"/>
          <w:lang w:eastAsia="en-US"/>
        </w:rPr>
        <w:t>VpTS</w:t>
      </w:r>
      <w:proofErr w:type="spellEnd"/>
      <w:r w:rsidR="004819F2" w:rsidRPr="003331EF">
        <w:rPr>
          <w:b/>
          <w:bCs/>
          <w:iCs/>
          <w:spacing w:val="-5"/>
          <w:lang w:eastAsia="en-US"/>
        </w:rPr>
        <w:t xml:space="preserve"> § 15</w:t>
      </w:r>
      <w:r w:rsidR="0017461A" w:rsidRPr="003331EF">
        <w:rPr>
          <w:b/>
          <w:bCs/>
          <w:iCs/>
          <w:spacing w:val="-5"/>
          <w:lang w:eastAsia="en-US"/>
        </w:rPr>
        <w:t xml:space="preserve"> </w:t>
      </w:r>
      <w:r w:rsidR="00C05783" w:rsidRPr="003331EF">
        <w:rPr>
          <w:b/>
          <w:bCs/>
          <w:iCs/>
          <w:spacing w:val="-5"/>
          <w:lang w:eastAsia="en-US"/>
        </w:rPr>
        <w:t xml:space="preserve"> </w:t>
      </w:r>
      <w:r w:rsidR="0017461A" w:rsidRPr="003331EF">
        <w:rPr>
          <w:b/>
          <w:bCs/>
          <w:iCs/>
          <w:spacing w:val="-5"/>
          <w:lang w:eastAsia="en-US"/>
        </w:rPr>
        <w:t>lõigetes 1 ja 6</w:t>
      </w:r>
      <w:r w:rsidR="0017461A" w:rsidRPr="003331EF">
        <w:rPr>
          <w:iCs/>
          <w:spacing w:val="-5"/>
          <w:lang w:eastAsia="en-US"/>
        </w:rPr>
        <w:t>. Muudatuste</w:t>
      </w:r>
      <w:r w:rsidR="004819F2" w:rsidRPr="003331EF">
        <w:rPr>
          <w:iCs/>
          <w:spacing w:val="-5"/>
          <w:lang w:eastAsia="en-US"/>
        </w:rPr>
        <w:t xml:space="preserve"> kohaselt tõstetakse väärtpaberite prospekti nn minimaalse koostamise künnis 5 mln euro pealt 8 mln euro peale. </w:t>
      </w:r>
      <w:r w:rsidR="00D81148" w:rsidRPr="003331EF">
        <w:rPr>
          <w:iCs/>
          <w:spacing w:val="-5"/>
          <w:lang w:eastAsia="en-US"/>
        </w:rPr>
        <w:t xml:space="preserve">Lihtsustatult – kehtiv </w:t>
      </w:r>
      <w:proofErr w:type="spellStart"/>
      <w:r w:rsidR="00D81148" w:rsidRPr="003331EF">
        <w:rPr>
          <w:iCs/>
          <w:spacing w:val="-5"/>
          <w:lang w:eastAsia="en-US"/>
        </w:rPr>
        <w:t>V</w:t>
      </w:r>
      <w:r w:rsidR="009C7436" w:rsidRPr="003331EF">
        <w:rPr>
          <w:iCs/>
          <w:spacing w:val="-5"/>
          <w:lang w:eastAsia="en-US"/>
        </w:rPr>
        <w:t>p</w:t>
      </w:r>
      <w:r w:rsidR="00D81148" w:rsidRPr="003331EF">
        <w:rPr>
          <w:iCs/>
          <w:spacing w:val="-5"/>
          <w:lang w:eastAsia="en-US"/>
        </w:rPr>
        <w:t>TS</w:t>
      </w:r>
      <w:proofErr w:type="spellEnd"/>
      <w:r w:rsidR="00D81148" w:rsidRPr="003331EF">
        <w:rPr>
          <w:iCs/>
          <w:spacing w:val="-5"/>
          <w:lang w:eastAsia="en-US"/>
        </w:rPr>
        <w:t xml:space="preserve"> § 15 lg 1 näeb ette, et EL prospektimääruse 2017/1129 kohane prospekt (ehk nn täisprospekt) tuleb koostada ja avalikustada juhul kui väärtpaberite pakkumi</w:t>
      </w:r>
      <w:r w:rsidR="00ED2155" w:rsidRPr="003331EF">
        <w:rPr>
          <w:iCs/>
          <w:spacing w:val="-5"/>
          <w:lang w:eastAsia="en-US"/>
        </w:rPr>
        <w:t>s</w:t>
      </w:r>
      <w:r w:rsidR="00D81148" w:rsidRPr="003331EF">
        <w:rPr>
          <w:iCs/>
          <w:spacing w:val="-5"/>
          <w:lang w:eastAsia="en-US"/>
        </w:rPr>
        <w:t>e (</w:t>
      </w:r>
      <w:proofErr w:type="spellStart"/>
      <w:r w:rsidR="00D81148" w:rsidRPr="003331EF">
        <w:rPr>
          <w:iCs/>
          <w:spacing w:val="-5"/>
          <w:lang w:eastAsia="en-US"/>
        </w:rPr>
        <w:t>jaeinvestoritele</w:t>
      </w:r>
      <w:proofErr w:type="spellEnd"/>
      <w:r w:rsidR="00D81148" w:rsidRPr="003331EF">
        <w:rPr>
          <w:iCs/>
          <w:spacing w:val="-5"/>
          <w:lang w:eastAsia="en-US"/>
        </w:rPr>
        <w:t xml:space="preserve">) </w:t>
      </w:r>
      <w:r w:rsidR="00ED2155" w:rsidRPr="003331EF">
        <w:rPr>
          <w:iCs/>
          <w:spacing w:val="-5"/>
          <w:lang w:eastAsia="en-US"/>
        </w:rPr>
        <w:t xml:space="preserve">koguväärtus </w:t>
      </w:r>
      <w:r w:rsidR="00D81148" w:rsidRPr="003331EF">
        <w:rPr>
          <w:iCs/>
          <w:spacing w:val="-5"/>
          <w:lang w:eastAsia="en-US"/>
        </w:rPr>
        <w:t xml:space="preserve">on suurem kui 5 mln eurot. Kui väärtpaberite pakkumine on vahemikus 1–5 mln eurot, siis võib emitent koostada aga nö lihtsama teabedokumendi. Alla 1 mln </w:t>
      </w:r>
      <w:proofErr w:type="spellStart"/>
      <w:r w:rsidR="00D81148" w:rsidRPr="003331EF">
        <w:rPr>
          <w:iCs/>
          <w:spacing w:val="-5"/>
          <w:lang w:eastAsia="en-US"/>
        </w:rPr>
        <w:t>euroste</w:t>
      </w:r>
      <w:proofErr w:type="spellEnd"/>
      <w:r w:rsidR="00D81148" w:rsidRPr="003331EF">
        <w:rPr>
          <w:iCs/>
          <w:spacing w:val="-5"/>
          <w:lang w:eastAsia="en-US"/>
        </w:rPr>
        <w:t xml:space="preserve"> pakkumiste puhul ei ole vaja aga üldse prospekti ega teabedokumenti koostada. EL prospektimääruse art</w:t>
      </w:r>
      <w:r w:rsidR="009C7436" w:rsidRPr="003331EF">
        <w:rPr>
          <w:iCs/>
          <w:spacing w:val="-5"/>
          <w:lang w:eastAsia="en-US"/>
        </w:rPr>
        <w:t>ikli</w:t>
      </w:r>
      <w:r w:rsidR="00D81148" w:rsidRPr="003331EF">
        <w:rPr>
          <w:iCs/>
          <w:spacing w:val="-5"/>
          <w:lang w:eastAsia="en-US"/>
        </w:rPr>
        <w:t xml:space="preserve"> 3(2) kohaselt võib liikmesriik tõsta aga eelnimetatud künnise 8 mln euro peale ehk emitent ei pea prospektimääruse kohast prospekti</w:t>
      </w:r>
      <w:r w:rsidR="00D81148" w:rsidRPr="003331EF">
        <w:rPr>
          <w:rFonts w:eastAsiaTheme="majorEastAsia"/>
          <w:bCs/>
          <w:lang w:eastAsia="en-US"/>
        </w:rPr>
        <w:t xml:space="preserve"> koostama kui pakkumine (</w:t>
      </w:r>
      <w:proofErr w:type="spellStart"/>
      <w:r w:rsidR="00D81148" w:rsidRPr="003331EF">
        <w:rPr>
          <w:rFonts w:eastAsiaTheme="majorEastAsia"/>
          <w:bCs/>
          <w:lang w:eastAsia="en-US"/>
        </w:rPr>
        <w:t>jaeinvestoritele</w:t>
      </w:r>
      <w:proofErr w:type="spellEnd"/>
      <w:r w:rsidR="00D81148" w:rsidRPr="003331EF">
        <w:rPr>
          <w:rFonts w:eastAsiaTheme="majorEastAsia"/>
          <w:bCs/>
          <w:lang w:eastAsia="en-US"/>
        </w:rPr>
        <w:t xml:space="preserve">) </w:t>
      </w:r>
      <w:r w:rsidR="00D81148" w:rsidRPr="003331EF">
        <w:rPr>
          <w:iCs/>
          <w:spacing w:val="-5"/>
          <w:lang w:eastAsia="en-US"/>
        </w:rPr>
        <w:t xml:space="preserve">jääb alla 8 mln euro. Mitmed liikmesriigid on vastava künnise ka </w:t>
      </w:r>
      <w:r w:rsidR="00ED2155" w:rsidRPr="003331EF">
        <w:rPr>
          <w:iCs/>
          <w:spacing w:val="-5"/>
          <w:lang w:eastAsia="en-US"/>
        </w:rPr>
        <w:t>8 mln eurole seadnud</w:t>
      </w:r>
      <w:r w:rsidR="00D81148" w:rsidRPr="003331EF">
        <w:rPr>
          <w:iCs/>
          <w:spacing w:val="-5"/>
          <w:lang w:eastAsia="en-US"/>
        </w:rPr>
        <w:t xml:space="preserve"> ja seda on teinud ka meie lähimad naaberriigid. </w:t>
      </w:r>
      <w:r w:rsidR="00ED2155" w:rsidRPr="003331EF">
        <w:rPr>
          <w:iCs/>
          <w:spacing w:val="-5"/>
          <w:lang w:eastAsia="en-US"/>
        </w:rPr>
        <w:t xml:space="preserve">Lisaks, käesoleva eelnõuga paralleelselt on käimas töögrupp, milles osalevad Eesti, Läti ja Leedu esindajad ministeeriumitest ja </w:t>
      </w:r>
      <w:proofErr w:type="spellStart"/>
      <w:r w:rsidR="00ED2155" w:rsidRPr="003331EF">
        <w:rPr>
          <w:iCs/>
          <w:spacing w:val="-5"/>
          <w:lang w:eastAsia="en-US"/>
        </w:rPr>
        <w:t>järelvalveasutustest</w:t>
      </w:r>
      <w:proofErr w:type="spellEnd"/>
      <w:r w:rsidR="00ED2155" w:rsidRPr="003331EF">
        <w:rPr>
          <w:iCs/>
          <w:spacing w:val="-5"/>
          <w:lang w:eastAsia="en-US"/>
        </w:rPr>
        <w:t xml:space="preserve"> ning mille eesmärk on ühtlustada teabedokumentide koostamisele ja nende sisule kohalduvad nõuded. Töögrupi töö tulemusel (ning vastavate ettepanekute jõustumisel) oleks Balti riikide emitentidel lihtsam väärtpabereid pakkuda ka teistes Balti riikides, koostades selle jaoks ainult ühe teabedokumendi, mis on tunnust</w:t>
      </w:r>
      <w:r w:rsidR="005732E0" w:rsidRPr="003331EF">
        <w:rPr>
          <w:iCs/>
          <w:spacing w:val="-5"/>
          <w:lang w:eastAsia="en-US"/>
        </w:rPr>
        <w:t>at</w:t>
      </w:r>
      <w:r w:rsidR="00ED2155" w:rsidRPr="003331EF">
        <w:rPr>
          <w:iCs/>
          <w:spacing w:val="-5"/>
          <w:lang w:eastAsia="en-US"/>
        </w:rPr>
        <w:t xml:space="preserve">ud kõikides Balti riikides. Kuna kehtiva </w:t>
      </w:r>
      <w:proofErr w:type="spellStart"/>
      <w:r w:rsidR="0017461A" w:rsidRPr="003331EF">
        <w:rPr>
          <w:iCs/>
          <w:spacing w:val="-5"/>
          <w:lang w:eastAsia="en-US"/>
        </w:rPr>
        <w:t>VpTS</w:t>
      </w:r>
      <w:proofErr w:type="spellEnd"/>
      <w:r w:rsidR="0017461A" w:rsidRPr="003331EF">
        <w:rPr>
          <w:iCs/>
          <w:spacing w:val="-5"/>
          <w:lang w:eastAsia="en-US"/>
        </w:rPr>
        <w:t xml:space="preserve"> § 15 lõigete 1 ja 6 kohaselt on Eestis prospekti koostamise künnis alates 5 mln euro suurusest pakkumisest (Lätis ja Leedus 8 mln eurot), siis </w:t>
      </w:r>
      <w:r w:rsidR="00D81148" w:rsidRPr="003331EF">
        <w:rPr>
          <w:iCs/>
          <w:spacing w:val="-5"/>
          <w:lang w:eastAsia="en-US"/>
        </w:rPr>
        <w:t xml:space="preserve">oleks mõistlik ka Eestil näha ette </w:t>
      </w:r>
      <w:r w:rsidR="0017461A" w:rsidRPr="003331EF">
        <w:rPr>
          <w:iCs/>
          <w:spacing w:val="-5"/>
          <w:lang w:eastAsia="en-US"/>
        </w:rPr>
        <w:t>kõrgem rahaline künnis</w:t>
      </w:r>
      <w:r w:rsidR="00D81148" w:rsidRPr="003331EF">
        <w:rPr>
          <w:iCs/>
          <w:spacing w:val="-5"/>
          <w:lang w:eastAsia="en-US"/>
        </w:rPr>
        <w:t>, et emitentide halduskoormust vähendada</w:t>
      </w:r>
      <w:r w:rsidR="0017461A" w:rsidRPr="003331EF">
        <w:rPr>
          <w:iCs/>
          <w:spacing w:val="-5"/>
          <w:lang w:eastAsia="en-US"/>
        </w:rPr>
        <w:t xml:space="preserve"> ning võimaldada neile paremat ligipääsu teiste Balti riikide investoritele</w:t>
      </w:r>
      <w:r w:rsidR="00D81148" w:rsidRPr="003331EF">
        <w:rPr>
          <w:iCs/>
          <w:spacing w:val="-5"/>
          <w:lang w:eastAsia="en-US"/>
        </w:rPr>
        <w:t xml:space="preserve">. Käesolevaga tehaksegi vastav muudatus </w:t>
      </w:r>
      <w:proofErr w:type="spellStart"/>
      <w:r w:rsidR="00D81148" w:rsidRPr="003331EF">
        <w:rPr>
          <w:iCs/>
          <w:spacing w:val="-5"/>
          <w:lang w:eastAsia="en-US"/>
        </w:rPr>
        <w:t>V</w:t>
      </w:r>
      <w:r w:rsidR="009C7436" w:rsidRPr="003331EF">
        <w:rPr>
          <w:iCs/>
          <w:spacing w:val="-5"/>
          <w:lang w:eastAsia="en-US"/>
        </w:rPr>
        <w:t>p</w:t>
      </w:r>
      <w:r w:rsidR="00D81148" w:rsidRPr="003331EF">
        <w:rPr>
          <w:iCs/>
          <w:spacing w:val="-5"/>
          <w:lang w:eastAsia="en-US"/>
        </w:rPr>
        <w:t>TS</w:t>
      </w:r>
      <w:proofErr w:type="spellEnd"/>
      <w:r w:rsidR="00D81148" w:rsidRPr="003331EF">
        <w:rPr>
          <w:iCs/>
          <w:spacing w:val="-5"/>
          <w:lang w:eastAsia="en-US"/>
        </w:rPr>
        <w:t xml:space="preserve"> § 15 lõigetes 1 ja 6, kus 5 mln euro suurune künnis asendatakse 8 mln euroga. </w:t>
      </w:r>
    </w:p>
    <w:p w14:paraId="1A66698C" w14:textId="77777777" w:rsidR="004819F2" w:rsidRPr="003331EF" w:rsidRDefault="004819F2" w:rsidP="003331EF">
      <w:pPr>
        <w:spacing w:before="0"/>
        <w:rPr>
          <w:iCs/>
          <w:spacing w:val="-5"/>
          <w:lang w:eastAsia="en-US"/>
        </w:rPr>
      </w:pPr>
    </w:p>
    <w:p w14:paraId="022D4967" w14:textId="2C3089EF" w:rsidR="001A4507" w:rsidRPr="003331EF" w:rsidRDefault="004819F2" w:rsidP="003331EF">
      <w:pPr>
        <w:spacing w:before="0"/>
        <w:rPr>
          <w:iCs/>
          <w:spacing w:val="-5"/>
          <w:lang w:eastAsia="en-US"/>
        </w:rPr>
      </w:pPr>
      <w:r w:rsidRPr="003331EF">
        <w:rPr>
          <w:rFonts w:eastAsiaTheme="majorEastAsia"/>
          <w:b/>
          <w:lang w:eastAsia="en-US"/>
        </w:rPr>
        <w:lastRenderedPageBreak/>
        <w:t>Punktiga 3</w:t>
      </w:r>
      <w:r w:rsidR="001A4507" w:rsidRPr="003331EF">
        <w:rPr>
          <w:rFonts w:eastAsiaTheme="majorEastAsia"/>
          <w:b/>
          <w:lang w:eastAsia="en-US"/>
        </w:rPr>
        <w:t xml:space="preserve"> </w:t>
      </w:r>
      <w:r w:rsidR="001A4507" w:rsidRPr="003331EF">
        <w:rPr>
          <w:iCs/>
          <w:spacing w:val="-5"/>
          <w:lang w:eastAsia="en-US"/>
        </w:rPr>
        <w:t xml:space="preserve">nähakse ette uus paragrahv, mis reguleerib investeerimisühingu poolt </w:t>
      </w:r>
      <w:proofErr w:type="spellStart"/>
      <w:r w:rsidR="001A4507" w:rsidRPr="003331EF">
        <w:rPr>
          <w:iCs/>
          <w:spacing w:val="-5"/>
          <w:lang w:eastAsia="en-US"/>
        </w:rPr>
        <w:t>krüptovarateenuse</w:t>
      </w:r>
      <w:proofErr w:type="spellEnd"/>
      <w:r w:rsidR="001A4507" w:rsidRPr="003331EF">
        <w:rPr>
          <w:iCs/>
          <w:spacing w:val="-5"/>
          <w:lang w:eastAsia="en-US"/>
        </w:rPr>
        <w:t xml:space="preserve"> osutamist. Kui investeerimisühingul on direktiivi 2014/65/EL alusel antud tegevusluba, peab ta </w:t>
      </w:r>
      <w:proofErr w:type="spellStart"/>
      <w:r w:rsidR="001A4507" w:rsidRPr="003331EF">
        <w:rPr>
          <w:iCs/>
          <w:spacing w:val="-5"/>
          <w:lang w:eastAsia="en-US"/>
        </w:rPr>
        <w:t>krüptovarateenuse</w:t>
      </w:r>
      <w:proofErr w:type="spellEnd"/>
      <w:r w:rsidR="001A4507" w:rsidRPr="003331EF">
        <w:rPr>
          <w:iCs/>
          <w:spacing w:val="-5"/>
          <w:lang w:eastAsia="en-US"/>
        </w:rPr>
        <w:t xml:space="preserve"> osutamiseks esitama Finantsinspektsioonile </w:t>
      </w:r>
      <w:proofErr w:type="spellStart"/>
      <w:r w:rsidR="001A4507" w:rsidRPr="003331EF">
        <w:rPr>
          <w:iCs/>
          <w:spacing w:val="-5"/>
          <w:lang w:eastAsia="en-US"/>
        </w:rPr>
        <w:t>M</w:t>
      </w:r>
      <w:r w:rsidR="0019289B">
        <w:rPr>
          <w:iCs/>
          <w:spacing w:val="-5"/>
          <w:lang w:eastAsia="en-US"/>
        </w:rPr>
        <w:t>i</w:t>
      </w:r>
      <w:r w:rsidR="001A4507" w:rsidRPr="003331EF">
        <w:rPr>
          <w:iCs/>
          <w:spacing w:val="-5"/>
          <w:lang w:eastAsia="en-US"/>
        </w:rPr>
        <w:t>CA</w:t>
      </w:r>
      <w:proofErr w:type="spellEnd"/>
      <w:r w:rsidR="001A4507" w:rsidRPr="003331EF">
        <w:rPr>
          <w:iCs/>
          <w:spacing w:val="-5"/>
          <w:lang w:eastAsia="en-US"/>
        </w:rPr>
        <w:t xml:space="preserve"> määruse artikli 60 lõikes 7 osutatud teabe (st eraldi tegevusluba tal ei ole enam vaja).</w:t>
      </w:r>
    </w:p>
    <w:p w14:paraId="1D7D0F92" w14:textId="77777777" w:rsidR="00912806" w:rsidRPr="003331EF" w:rsidRDefault="00912806" w:rsidP="003331EF">
      <w:pPr>
        <w:spacing w:before="0"/>
        <w:rPr>
          <w:iCs/>
          <w:spacing w:val="-5"/>
          <w:lang w:eastAsia="en-US"/>
        </w:rPr>
      </w:pPr>
    </w:p>
    <w:p w14:paraId="1E65B5FC" w14:textId="4A429EF7" w:rsidR="001A4507" w:rsidRPr="003331EF" w:rsidRDefault="00AF1BDE" w:rsidP="003331EF">
      <w:pPr>
        <w:spacing w:before="0"/>
      </w:pPr>
      <w:r w:rsidRPr="003331EF">
        <w:rPr>
          <w:b/>
          <w:bCs/>
        </w:rPr>
        <w:t>Lõike 2</w:t>
      </w:r>
      <w:r w:rsidRPr="003331EF">
        <w:t xml:space="preserve"> eesmärk</w:t>
      </w:r>
      <w:r w:rsidR="00C05783" w:rsidRPr="003331EF">
        <w:t xml:space="preserve"> on</w:t>
      </w:r>
      <w:r w:rsidRPr="003331EF">
        <w:t xml:space="preserve"> täpsustada, et kui </w:t>
      </w:r>
      <w:proofErr w:type="spellStart"/>
      <w:r w:rsidRPr="003331EF">
        <w:t>VpTSis</w:t>
      </w:r>
      <w:proofErr w:type="spellEnd"/>
      <w:r w:rsidRPr="003331EF">
        <w:t xml:space="preserve"> ja </w:t>
      </w:r>
      <w:proofErr w:type="spellStart"/>
      <w:r w:rsidRPr="003331EF">
        <w:t>KrÜTSis</w:t>
      </w:r>
      <w:proofErr w:type="spellEnd"/>
      <w:r w:rsidRPr="003331EF">
        <w:t xml:space="preserve"> (</w:t>
      </w:r>
      <w:proofErr w:type="spellStart"/>
      <w:r w:rsidRPr="003331EF">
        <w:t>KrÜTS</w:t>
      </w:r>
      <w:proofErr w:type="spellEnd"/>
      <w:r w:rsidRPr="003331EF">
        <w:t xml:space="preserve"> kaudu </w:t>
      </w:r>
      <w:proofErr w:type="spellStart"/>
      <w:r w:rsidRPr="003331EF">
        <w:t>MiCA</w:t>
      </w:r>
      <w:proofErr w:type="spellEnd"/>
      <w:r w:rsidRPr="003331EF">
        <w:t xml:space="preserve"> määrus</w:t>
      </w:r>
      <w:r w:rsidR="0002631E" w:rsidRPr="003331EF">
        <w:t>es</w:t>
      </w:r>
      <w:r w:rsidRPr="003331EF">
        <w:t>) on ette nähtud nõuded sama tegevuse suhtes, kohaldatakse investeerimisühingule nõudeid, mis on detailsemad või rangemad.</w:t>
      </w:r>
    </w:p>
    <w:p w14:paraId="11ADAF43" w14:textId="77777777" w:rsidR="00C05783" w:rsidRPr="003331EF" w:rsidRDefault="00C05783" w:rsidP="003331EF">
      <w:pPr>
        <w:spacing w:before="0"/>
        <w:rPr>
          <w:rFonts w:eastAsiaTheme="majorEastAsia"/>
          <w:bCs/>
          <w:lang w:eastAsia="en-US"/>
        </w:rPr>
      </w:pPr>
    </w:p>
    <w:p w14:paraId="3F03358D" w14:textId="7C817692" w:rsidR="001A4507" w:rsidRPr="003331EF" w:rsidRDefault="001A4507" w:rsidP="003331EF">
      <w:pPr>
        <w:spacing w:before="0"/>
        <w:rPr>
          <w:iCs/>
          <w:spacing w:val="-5"/>
          <w:lang w:eastAsia="en-US"/>
        </w:rPr>
      </w:pPr>
      <w:r w:rsidRPr="003331EF">
        <w:rPr>
          <w:rFonts w:eastAsiaTheme="majorEastAsia"/>
          <w:b/>
          <w:lang w:eastAsia="en-US"/>
        </w:rPr>
        <w:t xml:space="preserve">Punktiga </w:t>
      </w:r>
      <w:r w:rsidR="004819F2" w:rsidRPr="003331EF">
        <w:rPr>
          <w:rFonts w:eastAsiaTheme="majorEastAsia"/>
          <w:b/>
          <w:lang w:eastAsia="en-US"/>
        </w:rPr>
        <w:t>4</w:t>
      </w:r>
      <w:r w:rsidRPr="003331EF">
        <w:rPr>
          <w:rFonts w:eastAsiaTheme="majorEastAsia"/>
          <w:bCs/>
          <w:lang w:eastAsia="en-US"/>
        </w:rPr>
        <w:t xml:space="preserve"> </w:t>
      </w:r>
      <w:r w:rsidRPr="003331EF">
        <w:rPr>
          <w:rFonts w:eastAsiaTheme="majorEastAsia"/>
          <w:b/>
          <w:lang w:eastAsia="en-US"/>
        </w:rPr>
        <w:t xml:space="preserve">täiendatakse </w:t>
      </w:r>
      <w:proofErr w:type="spellStart"/>
      <w:r w:rsidRPr="003331EF">
        <w:rPr>
          <w:rFonts w:eastAsiaTheme="majorEastAsia"/>
          <w:b/>
          <w:lang w:eastAsia="en-US"/>
        </w:rPr>
        <w:t>VpTS</w:t>
      </w:r>
      <w:proofErr w:type="spellEnd"/>
      <w:r w:rsidRPr="003331EF">
        <w:rPr>
          <w:rFonts w:eastAsiaTheme="majorEastAsia"/>
          <w:b/>
          <w:lang w:eastAsia="en-US"/>
        </w:rPr>
        <w:t xml:space="preserve"> §-i 120 uu</w:t>
      </w:r>
      <w:r w:rsidR="00622227" w:rsidRPr="003331EF">
        <w:rPr>
          <w:rFonts w:eastAsiaTheme="majorEastAsia"/>
          <w:b/>
          <w:lang w:eastAsia="en-US"/>
        </w:rPr>
        <w:t>te</w:t>
      </w:r>
      <w:r w:rsidRPr="003331EF">
        <w:rPr>
          <w:rFonts w:eastAsiaTheme="majorEastAsia"/>
          <w:b/>
          <w:lang w:eastAsia="en-US"/>
        </w:rPr>
        <w:t xml:space="preserve"> lõi</w:t>
      </w:r>
      <w:r w:rsidR="00622227" w:rsidRPr="003331EF">
        <w:rPr>
          <w:rFonts w:eastAsiaTheme="majorEastAsia"/>
          <w:b/>
          <w:lang w:eastAsia="en-US"/>
        </w:rPr>
        <w:t>g</w:t>
      </w:r>
      <w:r w:rsidRPr="003331EF">
        <w:rPr>
          <w:rFonts w:eastAsiaTheme="majorEastAsia"/>
          <w:b/>
          <w:lang w:eastAsia="en-US"/>
        </w:rPr>
        <w:t>e</w:t>
      </w:r>
      <w:r w:rsidR="00622227" w:rsidRPr="003331EF">
        <w:rPr>
          <w:rFonts w:eastAsiaTheme="majorEastAsia"/>
          <w:b/>
          <w:lang w:eastAsia="en-US"/>
        </w:rPr>
        <w:t>te</w:t>
      </w:r>
      <w:r w:rsidRPr="003331EF">
        <w:rPr>
          <w:rFonts w:eastAsiaTheme="majorEastAsia"/>
          <w:b/>
          <w:lang w:eastAsia="en-US"/>
        </w:rPr>
        <w:t>ga</w:t>
      </w:r>
      <w:r w:rsidRPr="003331EF">
        <w:rPr>
          <w:rFonts w:eastAsiaTheme="majorEastAsia"/>
          <w:bCs/>
          <w:lang w:eastAsia="en-US"/>
        </w:rPr>
        <w:t xml:space="preserve">, </w:t>
      </w:r>
      <w:r w:rsidRPr="003331EF">
        <w:rPr>
          <w:iCs/>
          <w:spacing w:val="-5"/>
          <w:lang w:eastAsia="en-US"/>
        </w:rPr>
        <w:t xml:space="preserve">mille kohaselt võib korraldaja korraldada </w:t>
      </w:r>
      <w:proofErr w:type="spellStart"/>
      <w:r w:rsidRPr="003331EF">
        <w:rPr>
          <w:iCs/>
          <w:spacing w:val="-5"/>
          <w:lang w:eastAsia="en-US"/>
        </w:rPr>
        <w:t>krüptovaraga</w:t>
      </w:r>
      <w:proofErr w:type="spellEnd"/>
      <w:r w:rsidRPr="003331EF">
        <w:rPr>
          <w:iCs/>
          <w:spacing w:val="-5"/>
          <w:lang w:eastAsia="en-US"/>
        </w:rPr>
        <w:t xml:space="preserve"> kauplemise platvormi. Nimelt on </w:t>
      </w:r>
      <w:proofErr w:type="spellStart"/>
      <w:r w:rsidRPr="003331EF">
        <w:rPr>
          <w:iCs/>
          <w:spacing w:val="-5"/>
          <w:lang w:eastAsia="en-US"/>
        </w:rPr>
        <w:t>M</w:t>
      </w:r>
      <w:r w:rsidR="00C05783"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 artikli 60 lõikes 6 sätestatud, et direktiivi 2014/65/EL kohaselt tegevusloa saanud turukorraldaja võib korraldada </w:t>
      </w:r>
      <w:proofErr w:type="spellStart"/>
      <w:r w:rsidRPr="003331EF">
        <w:rPr>
          <w:iCs/>
          <w:spacing w:val="-5"/>
          <w:lang w:eastAsia="en-US"/>
        </w:rPr>
        <w:t>krüptovaraga</w:t>
      </w:r>
      <w:proofErr w:type="spellEnd"/>
      <w:r w:rsidRPr="003331EF">
        <w:rPr>
          <w:iCs/>
          <w:spacing w:val="-5"/>
          <w:lang w:eastAsia="en-US"/>
        </w:rPr>
        <w:t xml:space="preserve"> kauplemise platvormi, kui ta esitab oma päritoluliikmesriigi pädevale asutusele vähemalt 40 tööpäeva enne seda, kui ta sellist teenust esimest korda osutab, viidatud artikli lõikes 7 osutatud teabe.</w:t>
      </w:r>
    </w:p>
    <w:p w14:paraId="6426C88A" w14:textId="77777777" w:rsidR="00622227" w:rsidRPr="003331EF" w:rsidRDefault="00622227" w:rsidP="003331EF">
      <w:pPr>
        <w:spacing w:before="0"/>
        <w:rPr>
          <w:iCs/>
          <w:spacing w:val="-5"/>
          <w:lang w:eastAsia="en-US"/>
        </w:rPr>
      </w:pPr>
    </w:p>
    <w:p w14:paraId="25AA5BD0" w14:textId="65A80A6F" w:rsidR="00622227" w:rsidRPr="003331EF" w:rsidRDefault="00AF1BDE" w:rsidP="003331EF">
      <w:pPr>
        <w:spacing w:before="0"/>
        <w:rPr>
          <w:rFonts w:eastAsiaTheme="majorEastAsia"/>
          <w:bCs/>
          <w:lang w:eastAsia="en-US"/>
        </w:rPr>
      </w:pPr>
      <w:r w:rsidRPr="003331EF">
        <w:rPr>
          <w:b/>
          <w:bCs/>
        </w:rPr>
        <w:t>Lõike 7</w:t>
      </w:r>
      <w:r w:rsidRPr="003331EF">
        <w:t xml:space="preserve"> eesmärk on täpsustada, et kui </w:t>
      </w:r>
      <w:proofErr w:type="spellStart"/>
      <w:r w:rsidRPr="003331EF">
        <w:t>VpTSis</w:t>
      </w:r>
      <w:proofErr w:type="spellEnd"/>
      <w:r w:rsidRPr="003331EF">
        <w:t xml:space="preserve"> ja </w:t>
      </w:r>
      <w:proofErr w:type="spellStart"/>
      <w:r w:rsidRPr="003331EF">
        <w:t>KrÜTSis</w:t>
      </w:r>
      <w:proofErr w:type="spellEnd"/>
      <w:r w:rsidRPr="003331EF">
        <w:t xml:space="preserve"> (</w:t>
      </w:r>
      <w:proofErr w:type="spellStart"/>
      <w:r w:rsidRPr="003331EF">
        <w:t>KrÜTS</w:t>
      </w:r>
      <w:proofErr w:type="spellEnd"/>
      <w:r w:rsidRPr="003331EF">
        <w:t xml:space="preserve"> kaudu </w:t>
      </w:r>
      <w:proofErr w:type="spellStart"/>
      <w:r w:rsidRPr="003331EF">
        <w:t>MiCA</w:t>
      </w:r>
      <w:proofErr w:type="spellEnd"/>
      <w:r w:rsidRPr="003331EF">
        <w:t xml:space="preserve"> määrus</w:t>
      </w:r>
      <w:r w:rsidR="0002631E" w:rsidRPr="003331EF">
        <w:t>es</w:t>
      </w:r>
      <w:r w:rsidRPr="003331EF">
        <w:t>) on sätestatud nõuded sama tegevuse suhtes, kohaldatakse korraldajale nõudeid, mis on detailsemad või rangemad</w:t>
      </w:r>
      <w:r w:rsidR="00622227" w:rsidRPr="003331EF">
        <w:t>.</w:t>
      </w:r>
    </w:p>
    <w:p w14:paraId="2B37DD73" w14:textId="77777777" w:rsidR="00D87350" w:rsidRPr="003331EF" w:rsidRDefault="00D87350" w:rsidP="003331EF">
      <w:pPr>
        <w:spacing w:before="0"/>
        <w:rPr>
          <w:rFonts w:eastAsiaTheme="majorEastAsia"/>
          <w:bCs/>
          <w:lang w:eastAsia="en-US"/>
        </w:rPr>
      </w:pPr>
    </w:p>
    <w:p w14:paraId="77A095F6" w14:textId="3BF0B291" w:rsidR="00D87350" w:rsidRPr="003331EF" w:rsidRDefault="00D87350" w:rsidP="003331EF">
      <w:pPr>
        <w:spacing w:before="0"/>
        <w:rPr>
          <w:iCs/>
          <w:spacing w:val="-5"/>
          <w:lang w:eastAsia="en-US"/>
        </w:rPr>
      </w:pPr>
      <w:r w:rsidRPr="003331EF">
        <w:rPr>
          <w:b/>
          <w:bCs/>
          <w:iCs/>
          <w:spacing w:val="-5"/>
          <w:lang w:eastAsia="en-US"/>
        </w:rPr>
        <w:t>Punktiga 5</w:t>
      </w:r>
      <w:r w:rsidRPr="003331EF">
        <w:rPr>
          <w:iCs/>
          <w:spacing w:val="-5"/>
          <w:lang w:eastAsia="en-US"/>
        </w:rPr>
        <w:t xml:space="preserve"> lisatakse </w:t>
      </w:r>
      <w:proofErr w:type="spellStart"/>
      <w:r w:rsidRPr="003331EF">
        <w:rPr>
          <w:iCs/>
          <w:spacing w:val="-5"/>
          <w:lang w:eastAsia="en-US"/>
        </w:rPr>
        <w:t>VpTS</w:t>
      </w:r>
      <w:proofErr w:type="spellEnd"/>
      <w:r w:rsidRPr="003331EF">
        <w:rPr>
          <w:iCs/>
          <w:spacing w:val="-5"/>
          <w:lang w:eastAsia="en-US"/>
        </w:rPr>
        <w:t xml:space="preserve"> § 230 viide </w:t>
      </w:r>
      <w:proofErr w:type="spellStart"/>
      <w:r w:rsidRPr="003331EF">
        <w:rPr>
          <w:iCs/>
          <w:spacing w:val="-5"/>
          <w:lang w:eastAsia="en-US"/>
        </w:rPr>
        <w:t>M</w:t>
      </w:r>
      <w:r w:rsidR="0019289B">
        <w:rPr>
          <w:iCs/>
          <w:spacing w:val="-5"/>
          <w:lang w:eastAsia="en-US"/>
        </w:rPr>
        <w:t>i</w:t>
      </w:r>
      <w:r w:rsidRPr="003331EF">
        <w:rPr>
          <w:iCs/>
          <w:spacing w:val="-5"/>
          <w:lang w:eastAsia="en-US"/>
        </w:rPr>
        <w:t>CA</w:t>
      </w:r>
      <w:proofErr w:type="spellEnd"/>
      <w:r w:rsidRPr="003331EF">
        <w:rPr>
          <w:iCs/>
          <w:spacing w:val="-5"/>
          <w:lang w:eastAsia="en-US"/>
        </w:rPr>
        <w:t xml:space="preserve"> määrusele. Viidatud paragrahvi lõike 1 kohaselt on Finantsinspektsioonil </w:t>
      </w:r>
      <w:proofErr w:type="spellStart"/>
      <w:r w:rsidRPr="003331EF">
        <w:rPr>
          <w:iCs/>
          <w:spacing w:val="-5"/>
          <w:lang w:eastAsia="en-US"/>
        </w:rPr>
        <w:t>VpTS-is</w:t>
      </w:r>
      <w:proofErr w:type="spellEnd"/>
      <w:r w:rsidRPr="003331EF">
        <w:rPr>
          <w:iCs/>
          <w:spacing w:val="-5"/>
          <w:lang w:eastAsia="en-US"/>
        </w:rPr>
        <w:t xml:space="preserve"> ja selle alusel kehtestatud õigusaktides sätestatu kohase täitmise üle järelevalve teostamisel kõik </w:t>
      </w:r>
      <w:proofErr w:type="spellStart"/>
      <w:r w:rsidRPr="003331EF">
        <w:rPr>
          <w:iCs/>
          <w:spacing w:val="-5"/>
          <w:lang w:eastAsia="en-US"/>
        </w:rPr>
        <w:t>VpTS-is</w:t>
      </w:r>
      <w:proofErr w:type="spellEnd"/>
      <w:r w:rsidRPr="003331EF">
        <w:rPr>
          <w:iCs/>
          <w:spacing w:val="-5"/>
          <w:lang w:eastAsia="en-US"/>
        </w:rPr>
        <w:t xml:space="preserve"> ja Finantsinspektsiooni seaduses sätestatud õigused.  Samad õigused on Finantsinspektsioonil </w:t>
      </w:r>
      <w:r w:rsidR="005E2B5D" w:rsidRPr="003331EF">
        <w:rPr>
          <w:iCs/>
          <w:spacing w:val="-5"/>
          <w:lang w:eastAsia="en-US"/>
        </w:rPr>
        <w:t>EL</w:t>
      </w:r>
      <w:r w:rsidRPr="003331EF">
        <w:rPr>
          <w:iCs/>
          <w:spacing w:val="-5"/>
          <w:lang w:eastAsia="en-US"/>
        </w:rPr>
        <w:t xml:space="preserve"> õigusaktides ja nende alusel kehtestatud õigusaktides sätestatu kohase täitmise üle. </w:t>
      </w:r>
      <w:r w:rsidR="005E2B5D" w:rsidRPr="003331EF">
        <w:rPr>
          <w:iCs/>
          <w:spacing w:val="-5"/>
          <w:lang w:eastAsia="en-US"/>
        </w:rPr>
        <w:t>EL</w:t>
      </w:r>
      <w:r w:rsidRPr="003331EF">
        <w:rPr>
          <w:iCs/>
          <w:spacing w:val="-5"/>
          <w:lang w:eastAsia="en-US"/>
        </w:rPr>
        <w:t xml:space="preserve"> õigusaktide loetellu ongi lisatud viide </w:t>
      </w:r>
      <w:proofErr w:type="spellStart"/>
      <w:r w:rsidRPr="003331EF">
        <w:rPr>
          <w:iCs/>
          <w:spacing w:val="-5"/>
          <w:lang w:eastAsia="en-US"/>
        </w:rPr>
        <w:t>M</w:t>
      </w:r>
      <w:r w:rsidR="0019289B">
        <w:rPr>
          <w:iCs/>
          <w:spacing w:val="-5"/>
          <w:lang w:eastAsia="en-US"/>
        </w:rPr>
        <w:t>i</w:t>
      </w:r>
      <w:r w:rsidRPr="003331EF">
        <w:rPr>
          <w:iCs/>
          <w:spacing w:val="-5"/>
          <w:lang w:eastAsia="en-US"/>
        </w:rPr>
        <w:t>CA</w:t>
      </w:r>
      <w:proofErr w:type="spellEnd"/>
      <w:r w:rsidRPr="003331EF">
        <w:rPr>
          <w:iCs/>
          <w:spacing w:val="-5"/>
          <w:lang w:eastAsia="en-US"/>
        </w:rPr>
        <w:t xml:space="preserve"> määrusele. </w:t>
      </w:r>
    </w:p>
    <w:p w14:paraId="792A4B1E" w14:textId="77777777" w:rsidR="001A4507" w:rsidRPr="003331EF" w:rsidRDefault="001A4507" w:rsidP="003331EF">
      <w:pPr>
        <w:spacing w:before="0"/>
        <w:rPr>
          <w:rFonts w:eastAsiaTheme="majorEastAsia"/>
          <w:i/>
          <w:iCs/>
          <w:lang w:eastAsia="en-US"/>
        </w:rPr>
      </w:pPr>
    </w:p>
    <w:p w14:paraId="6690C97D" w14:textId="58BC4038" w:rsidR="001A4507" w:rsidRPr="003331EF" w:rsidRDefault="001A4507" w:rsidP="003331EF">
      <w:pPr>
        <w:spacing w:before="0"/>
        <w:rPr>
          <w:rFonts w:eastAsiaTheme="minorHAnsi"/>
          <w:bCs/>
          <w:lang w:eastAsia="en-US"/>
        </w:rPr>
      </w:pPr>
      <w:r w:rsidRPr="003331EF">
        <w:rPr>
          <w:rFonts w:eastAsiaTheme="minorHAnsi"/>
          <w:b/>
          <w:bCs/>
          <w:lang w:eastAsia="en-US"/>
        </w:rPr>
        <w:t xml:space="preserve">Paragrahvis </w:t>
      </w:r>
      <w:r w:rsidR="008C074F" w:rsidRPr="003331EF">
        <w:rPr>
          <w:rFonts w:eastAsiaTheme="minorHAnsi"/>
          <w:b/>
          <w:bCs/>
          <w:lang w:eastAsia="en-US"/>
        </w:rPr>
        <w:t>6</w:t>
      </w:r>
      <w:r w:rsidR="00C20CE7" w:rsidRPr="003331EF">
        <w:rPr>
          <w:rFonts w:eastAsiaTheme="minorHAnsi"/>
          <w:b/>
          <w:bCs/>
          <w:lang w:eastAsia="en-US"/>
        </w:rPr>
        <w:t>0</w:t>
      </w:r>
      <w:r w:rsidR="008C074F" w:rsidRPr="003331EF">
        <w:rPr>
          <w:rFonts w:eastAsiaTheme="minorHAnsi"/>
          <w:b/>
          <w:bCs/>
          <w:lang w:eastAsia="en-US"/>
        </w:rPr>
        <w:t xml:space="preserve"> </w:t>
      </w:r>
      <w:r w:rsidRPr="003331EF">
        <w:rPr>
          <w:iCs/>
          <w:spacing w:val="-5"/>
          <w:lang w:eastAsia="en-US"/>
        </w:rPr>
        <w:t xml:space="preserve">on seaduse jõustutumise sätted. </w:t>
      </w:r>
      <w:r w:rsidR="0069418B" w:rsidRPr="003331EF">
        <w:rPr>
          <w:iCs/>
          <w:spacing w:val="-5"/>
          <w:lang w:eastAsia="en-US"/>
        </w:rPr>
        <w:t>Vt käesoleva seletuskirja punkti 9.</w:t>
      </w:r>
      <w:r w:rsidR="0069418B" w:rsidRPr="003331EF">
        <w:rPr>
          <w:rFonts w:eastAsiaTheme="minorHAnsi"/>
          <w:bCs/>
          <w:lang w:eastAsia="en-US"/>
        </w:rPr>
        <w:t xml:space="preserve"> </w:t>
      </w:r>
    </w:p>
    <w:p w14:paraId="47E8711E" w14:textId="77777777" w:rsidR="00D87350" w:rsidRPr="003331EF" w:rsidRDefault="00D87350" w:rsidP="003331EF">
      <w:pPr>
        <w:spacing w:before="0"/>
        <w:rPr>
          <w:rFonts w:eastAsiaTheme="minorHAnsi"/>
          <w:bCs/>
          <w:lang w:eastAsia="en-US"/>
        </w:rPr>
      </w:pPr>
    </w:p>
    <w:p w14:paraId="6ECE2A98" w14:textId="7C033618" w:rsidR="008C3E70" w:rsidRPr="003331EF" w:rsidRDefault="00B9578A" w:rsidP="003331EF">
      <w:pPr>
        <w:pStyle w:val="Pealkiri1"/>
        <w:numPr>
          <w:ilvl w:val="0"/>
          <w:numId w:val="9"/>
        </w:numPr>
        <w:rPr>
          <w:caps/>
          <w:color w:val="auto"/>
          <w:sz w:val="24"/>
          <w:lang w:val="et-EE"/>
        </w:rPr>
      </w:pPr>
      <w:bookmarkStart w:id="79" w:name="_Toc44492949"/>
      <w:bookmarkStart w:id="80" w:name="_Toc44492950"/>
      <w:bookmarkStart w:id="81" w:name="_Toc44492952"/>
      <w:bookmarkStart w:id="82" w:name="_Toc44492953"/>
      <w:bookmarkStart w:id="83" w:name="_Toc44492957"/>
      <w:bookmarkStart w:id="84" w:name="_Toc44492959"/>
      <w:bookmarkStart w:id="85" w:name="_Toc44492964"/>
      <w:bookmarkStart w:id="86" w:name="_Toc44492965"/>
      <w:bookmarkStart w:id="87" w:name="_Toc44492967"/>
      <w:bookmarkStart w:id="88" w:name="_Toc44493012"/>
      <w:bookmarkStart w:id="89" w:name="_Toc44493013"/>
      <w:bookmarkStart w:id="90" w:name="_Toc44493014"/>
      <w:bookmarkStart w:id="91" w:name="_Toc44493026"/>
      <w:bookmarkStart w:id="92" w:name="_Toc44493027"/>
      <w:bookmarkStart w:id="93" w:name="_Toc44493028"/>
      <w:bookmarkStart w:id="94" w:name="_Toc44493029"/>
      <w:bookmarkStart w:id="95" w:name="_Toc44493030"/>
      <w:bookmarkStart w:id="96" w:name="_Toc44493031"/>
      <w:bookmarkStart w:id="97" w:name="_Toc44493032"/>
      <w:bookmarkStart w:id="98" w:name="_Toc44493039"/>
      <w:bookmarkStart w:id="99" w:name="_Toc44493040"/>
      <w:bookmarkStart w:id="100" w:name="_Toc44493041"/>
      <w:bookmarkStart w:id="101" w:name="_Toc44493043"/>
      <w:bookmarkStart w:id="102" w:name="_Toc44493044"/>
      <w:bookmarkStart w:id="103" w:name="_Toc44493045"/>
      <w:bookmarkStart w:id="104" w:name="_Toc44493048"/>
      <w:bookmarkStart w:id="105" w:name="_Toc44493049"/>
      <w:bookmarkStart w:id="106" w:name="_Toc44493050"/>
      <w:bookmarkStart w:id="107" w:name="_Toc44493051"/>
      <w:bookmarkStart w:id="108" w:name="_Toc44493052"/>
      <w:bookmarkStart w:id="109" w:name="_Toc55577749"/>
      <w:bookmarkEnd w:id="58"/>
      <w:bookmarkEnd w:id="59"/>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3331EF">
        <w:rPr>
          <w:caps/>
          <w:color w:val="auto"/>
          <w:sz w:val="24"/>
          <w:lang w:val="et-EE"/>
        </w:rPr>
        <w:t>Eelnõu terminoloogia</w:t>
      </w:r>
      <w:bookmarkEnd w:id="109"/>
    </w:p>
    <w:p w14:paraId="764508AB" w14:textId="77777777" w:rsidR="008C3E70" w:rsidRPr="003331EF" w:rsidRDefault="008C3E70" w:rsidP="003331EF">
      <w:pPr>
        <w:pStyle w:val="Pealkiri1"/>
        <w:numPr>
          <w:ilvl w:val="0"/>
          <w:numId w:val="0"/>
        </w:numPr>
        <w:ind w:left="420"/>
        <w:rPr>
          <w:color w:val="auto"/>
          <w:sz w:val="24"/>
          <w:lang w:val="et-EE"/>
        </w:rPr>
      </w:pPr>
    </w:p>
    <w:p w14:paraId="0C5463E4" w14:textId="534896E8" w:rsidR="002F2604" w:rsidRPr="003331EF" w:rsidRDefault="002F2604" w:rsidP="003331EF">
      <w:pPr>
        <w:pStyle w:val="Pealkiri1"/>
        <w:numPr>
          <w:ilvl w:val="0"/>
          <w:numId w:val="0"/>
        </w:numPr>
        <w:ind w:left="420" w:hanging="420"/>
        <w:rPr>
          <w:color w:val="auto"/>
          <w:sz w:val="24"/>
          <w:lang w:val="et-EE"/>
        </w:rPr>
      </w:pPr>
      <w:r w:rsidRPr="003331EF">
        <w:rPr>
          <w:color w:val="auto"/>
          <w:sz w:val="24"/>
          <w:lang w:val="et-EE"/>
        </w:rPr>
        <w:t>Eelnõus kasutavad uued terminid</w:t>
      </w:r>
      <w:r w:rsidR="00C7459E" w:rsidRPr="003331EF">
        <w:rPr>
          <w:color w:val="auto"/>
          <w:sz w:val="24"/>
          <w:lang w:val="et-EE"/>
        </w:rPr>
        <w:t>:</w:t>
      </w:r>
    </w:p>
    <w:p w14:paraId="21905E0B" w14:textId="77777777" w:rsidR="002F2604" w:rsidRPr="003331EF" w:rsidRDefault="002F2604" w:rsidP="003331EF">
      <w:pPr>
        <w:spacing w:before="0"/>
        <w:rPr>
          <w:rFonts w:eastAsiaTheme="majorEastAsia"/>
          <w:bCs/>
          <w:lang w:eastAsia="en-US"/>
        </w:rPr>
      </w:pPr>
    </w:p>
    <w:p w14:paraId="3B49A246" w14:textId="284AD3EE" w:rsidR="009C7436" w:rsidRPr="003331EF" w:rsidRDefault="009C7436" w:rsidP="003331EF">
      <w:pPr>
        <w:pStyle w:val="Normaallaadveeb"/>
        <w:numPr>
          <w:ilvl w:val="0"/>
          <w:numId w:val="33"/>
        </w:numPr>
        <w:spacing w:before="0" w:beforeAutospacing="0" w:after="0" w:afterAutospacing="0"/>
        <w:jc w:val="both"/>
        <w:rPr>
          <w:rFonts w:eastAsia="Times New Roman"/>
          <w:iCs/>
          <w:spacing w:val="-5"/>
          <w:lang w:val="et-EE" w:eastAsia="en-US"/>
        </w:rPr>
      </w:pPr>
      <w:proofErr w:type="spellStart"/>
      <w:r w:rsidRPr="003331EF">
        <w:rPr>
          <w:rFonts w:eastAsia="Times New Roman"/>
          <w:iCs/>
          <w:spacing w:val="-5"/>
          <w:lang w:val="et-EE" w:eastAsia="en-US"/>
        </w:rPr>
        <w:t>krüptovara</w:t>
      </w:r>
      <w:proofErr w:type="spellEnd"/>
      <w:r w:rsidRPr="003331EF">
        <w:rPr>
          <w:rFonts w:eastAsia="Times New Roman"/>
          <w:iCs/>
          <w:spacing w:val="-5"/>
          <w:lang w:val="et-EE" w:eastAsia="en-US"/>
        </w:rPr>
        <w:t xml:space="preserve"> on </w:t>
      </w:r>
      <w:proofErr w:type="spellStart"/>
      <w:r w:rsidRPr="003331EF">
        <w:rPr>
          <w:rFonts w:eastAsia="Times New Roman"/>
          <w:iCs/>
          <w:spacing w:val="-5"/>
          <w:lang w:val="et-EE" w:eastAsia="en-US"/>
        </w:rPr>
        <w:t>M</w:t>
      </w:r>
      <w:r w:rsidR="0019289B">
        <w:rPr>
          <w:rFonts w:eastAsia="Times New Roman"/>
          <w:iCs/>
          <w:spacing w:val="-5"/>
          <w:lang w:val="et-EE" w:eastAsia="en-US"/>
        </w:rPr>
        <w:t>i</w:t>
      </w:r>
      <w:r w:rsidRPr="003331EF">
        <w:rPr>
          <w:rFonts w:eastAsia="Times New Roman"/>
          <w:iCs/>
          <w:spacing w:val="-5"/>
          <w:lang w:val="et-EE" w:eastAsia="en-US"/>
        </w:rPr>
        <w:t>CA</w:t>
      </w:r>
      <w:proofErr w:type="spellEnd"/>
      <w:r w:rsidRPr="003331EF">
        <w:rPr>
          <w:rFonts w:eastAsia="Times New Roman"/>
          <w:iCs/>
          <w:spacing w:val="-5"/>
          <w:lang w:val="et-EE" w:eastAsia="en-US"/>
        </w:rPr>
        <w:t xml:space="preserve"> määruse artikli 3 lõike 1 punktis 5 määratletud </w:t>
      </w:r>
      <w:proofErr w:type="spellStart"/>
      <w:r w:rsidRPr="003331EF">
        <w:rPr>
          <w:rFonts w:eastAsia="Times New Roman"/>
          <w:iCs/>
          <w:spacing w:val="-5"/>
          <w:lang w:val="et-EE" w:eastAsia="en-US"/>
        </w:rPr>
        <w:t>krüptovara</w:t>
      </w:r>
      <w:proofErr w:type="spellEnd"/>
      <w:r w:rsidRPr="003331EF">
        <w:rPr>
          <w:rFonts w:eastAsia="Times New Roman"/>
          <w:iCs/>
          <w:spacing w:val="-5"/>
          <w:lang w:val="et-EE" w:eastAsia="en-US"/>
        </w:rPr>
        <w:t>, välja arvatud juhul, kui see kuulub eelnimetatud määruse artikli 2 lõigetes 2, 3 ja 4 loetletud kategooriatesse või kvalifitseerub muul viisil rahaks;</w:t>
      </w:r>
    </w:p>
    <w:p w14:paraId="142357C6" w14:textId="3365D01F" w:rsidR="00AC5314" w:rsidRPr="003331EF" w:rsidRDefault="00C7459E" w:rsidP="003331EF">
      <w:pPr>
        <w:pStyle w:val="Loendilik"/>
        <w:numPr>
          <w:ilvl w:val="0"/>
          <w:numId w:val="33"/>
        </w:numPr>
        <w:jc w:val="both"/>
        <w:rPr>
          <w:iCs/>
          <w:spacing w:val="-5"/>
        </w:rPr>
      </w:pPr>
      <w:proofErr w:type="spellStart"/>
      <w:r w:rsidRPr="003331EF">
        <w:rPr>
          <w:iCs/>
          <w:spacing w:val="-5"/>
        </w:rPr>
        <w:t>k</w:t>
      </w:r>
      <w:r w:rsidR="00AC5314" w:rsidRPr="003331EF">
        <w:rPr>
          <w:iCs/>
          <w:spacing w:val="-5"/>
        </w:rPr>
        <w:t>rüptovarat</w:t>
      </w:r>
      <w:r w:rsidRPr="003331EF">
        <w:rPr>
          <w:iCs/>
          <w:spacing w:val="-5"/>
        </w:rPr>
        <w:t>uru</w:t>
      </w:r>
      <w:proofErr w:type="spellEnd"/>
      <w:r w:rsidR="00AC5314" w:rsidRPr="003331EF">
        <w:rPr>
          <w:iCs/>
          <w:spacing w:val="-5"/>
        </w:rPr>
        <w:t xml:space="preserve"> osaline – defineeritud seaduse §-s </w:t>
      </w:r>
      <w:r w:rsidR="005732E0" w:rsidRPr="003331EF">
        <w:rPr>
          <w:iCs/>
          <w:spacing w:val="-5"/>
        </w:rPr>
        <w:t>3</w:t>
      </w:r>
      <w:r w:rsidR="00AC5314" w:rsidRPr="003331EF">
        <w:rPr>
          <w:iCs/>
          <w:spacing w:val="-5"/>
        </w:rPr>
        <w:t xml:space="preserve">. Tegemist on nii </w:t>
      </w:r>
      <w:proofErr w:type="spellStart"/>
      <w:r w:rsidR="00AC5314" w:rsidRPr="003331EF">
        <w:rPr>
          <w:iCs/>
          <w:spacing w:val="-5"/>
        </w:rPr>
        <w:t>krüptovarateenuse</w:t>
      </w:r>
      <w:proofErr w:type="spellEnd"/>
      <w:r w:rsidR="00AC5314" w:rsidRPr="003331EF">
        <w:rPr>
          <w:iCs/>
          <w:spacing w:val="-5"/>
        </w:rPr>
        <w:t xml:space="preserve"> osutajaga kui ka </w:t>
      </w:r>
      <w:proofErr w:type="spellStart"/>
      <w:r w:rsidR="00AC5314" w:rsidRPr="003331EF">
        <w:rPr>
          <w:iCs/>
          <w:spacing w:val="-5"/>
        </w:rPr>
        <w:t>krüptovara</w:t>
      </w:r>
      <w:proofErr w:type="spellEnd"/>
      <w:r w:rsidR="00AC5314" w:rsidRPr="003331EF">
        <w:rPr>
          <w:iCs/>
          <w:spacing w:val="-5"/>
        </w:rPr>
        <w:t xml:space="preserve"> emitendiga</w:t>
      </w:r>
      <w:r w:rsidR="006A7FCE" w:rsidRPr="003331EF">
        <w:rPr>
          <w:iCs/>
          <w:spacing w:val="-5"/>
        </w:rPr>
        <w:t>;</w:t>
      </w:r>
    </w:p>
    <w:p w14:paraId="41E4A75F" w14:textId="5592BD0C" w:rsidR="00AC5314" w:rsidRPr="003331EF" w:rsidRDefault="00C7459E" w:rsidP="003331EF">
      <w:pPr>
        <w:pStyle w:val="Loendilik"/>
        <w:numPr>
          <w:ilvl w:val="0"/>
          <w:numId w:val="33"/>
        </w:numPr>
        <w:jc w:val="both"/>
        <w:rPr>
          <w:iCs/>
          <w:spacing w:val="-5"/>
        </w:rPr>
      </w:pPr>
      <w:proofErr w:type="spellStart"/>
      <w:r w:rsidRPr="003331EF">
        <w:rPr>
          <w:iCs/>
          <w:spacing w:val="-5"/>
        </w:rPr>
        <w:t>k</w:t>
      </w:r>
      <w:r w:rsidR="00AC5314" w:rsidRPr="003331EF">
        <w:rPr>
          <w:iCs/>
          <w:spacing w:val="-5"/>
        </w:rPr>
        <w:t>rüptovarateenuse</w:t>
      </w:r>
      <w:proofErr w:type="spellEnd"/>
      <w:r w:rsidR="00AC5314" w:rsidRPr="003331EF">
        <w:rPr>
          <w:iCs/>
          <w:spacing w:val="-5"/>
        </w:rPr>
        <w:t xml:space="preserve"> osutaja – </w:t>
      </w:r>
      <w:proofErr w:type="spellStart"/>
      <w:r w:rsidR="00AC5314" w:rsidRPr="003331EF">
        <w:rPr>
          <w:iCs/>
          <w:spacing w:val="-5"/>
        </w:rPr>
        <w:t>M</w:t>
      </w:r>
      <w:r w:rsidR="0019289B">
        <w:rPr>
          <w:iCs/>
          <w:spacing w:val="-5"/>
        </w:rPr>
        <w:t>i</w:t>
      </w:r>
      <w:r w:rsidR="00AC5314" w:rsidRPr="003331EF">
        <w:rPr>
          <w:iCs/>
          <w:spacing w:val="-5"/>
        </w:rPr>
        <w:t>CA</w:t>
      </w:r>
      <w:proofErr w:type="spellEnd"/>
      <w:r w:rsidR="00AC5314" w:rsidRPr="003331EF">
        <w:rPr>
          <w:iCs/>
          <w:spacing w:val="-5"/>
        </w:rPr>
        <w:t xml:space="preserve"> määruse artikli 3 lõike 1 punkti 15 kohaselt on </w:t>
      </w:r>
      <w:proofErr w:type="spellStart"/>
      <w:r w:rsidR="00AC5314" w:rsidRPr="003331EF">
        <w:rPr>
          <w:iCs/>
          <w:spacing w:val="-5"/>
        </w:rPr>
        <w:t>krüptovarateenuse</w:t>
      </w:r>
      <w:proofErr w:type="spellEnd"/>
      <w:r w:rsidR="00AC5314" w:rsidRPr="003331EF">
        <w:rPr>
          <w:iCs/>
          <w:spacing w:val="-5"/>
        </w:rPr>
        <w:t xml:space="preserve"> osutaja juriidiline isik või muu ettevõtja, kelle kutse- või äritegevus seisneb ühe või mitme </w:t>
      </w:r>
      <w:proofErr w:type="spellStart"/>
      <w:r w:rsidR="00AC5314" w:rsidRPr="003331EF">
        <w:rPr>
          <w:iCs/>
          <w:spacing w:val="-5"/>
        </w:rPr>
        <w:t>krüptovarateenuse</w:t>
      </w:r>
      <w:proofErr w:type="spellEnd"/>
      <w:r w:rsidR="00AC5314" w:rsidRPr="003331EF">
        <w:rPr>
          <w:iCs/>
          <w:spacing w:val="-5"/>
        </w:rPr>
        <w:t xml:space="preserve"> professionaalses osutamises kliendile ja kellel on lubatud osutada </w:t>
      </w:r>
      <w:proofErr w:type="spellStart"/>
      <w:r w:rsidR="00AC5314" w:rsidRPr="003331EF">
        <w:rPr>
          <w:iCs/>
          <w:spacing w:val="-5"/>
        </w:rPr>
        <w:t>krüptovarateenuseid</w:t>
      </w:r>
      <w:proofErr w:type="spellEnd"/>
      <w:r w:rsidR="00AC5314" w:rsidRPr="003331EF">
        <w:rPr>
          <w:iCs/>
          <w:spacing w:val="-5"/>
        </w:rPr>
        <w:t xml:space="preserve"> kooskõlas </w:t>
      </w:r>
      <w:proofErr w:type="spellStart"/>
      <w:r w:rsidR="00AC5314" w:rsidRPr="003331EF">
        <w:rPr>
          <w:iCs/>
          <w:spacing w:val="-5"/>
        </w:rPr>
        <w:t>M</w:t>
      </w:r>
      <w:r w:rsidR="0019289B">
        <w:rPr>
          <w:iCs/>
          <w:spacing w:val="-5"/>
        </w:rPr>
        <w:t>i</w:t>
      </w:r>
      <w:r w:rsidR="00AC5314" w:rsidRPr="003331EF">
        <w:rPr>
          <w:iCs/>
          <w:spacing w:val="-5"/>
        </w:rPr>
        <w:t>CA</w:t>
      </w:r>
      <w:proofErr w:type="spellEnd"/>
      <w:r w:rsidR="00AC5314" w:rsidRPr="003331EF">
        <w:rPr>
          <w:iCs/>
          <w:spacing w:val="-5"/>
        </w:rPr>
        <w:t xml:space="preserve"> määruse artikliga 59</w:t>
      </w:r>
      <w:r w:rsidR="006A7FCE" w:rsidRPr="003331EF">
        <w:rPr>
          <w:iCs/>
          <w:spacing w:val="-5"/>
        </w:rPr>
        <w:t>;</w:t>
      </w:r>
    </w:p>
    <w:p w14:paraId="200D6A96" w14:textId="241AD117" w:rsidR="00AC5314" w:rsidRPr="003331EF" w:rsidRDefault="00C7459E" w:rsidP="003331EF">
      <w:pPr>
        <w:pStyle w:val="Loendilik"/>
        <w:numPr>
          <w:ilvl w:val="0"/>
          <w:numId w:val="33"/>
        </w:numPr>
        <w:jc w:val="both"/>
        <w:rPr>
          <w:iCs/>
          <w:spacing w:val="-5"/>
        </w:rPr>
      </w:pPr>
      <w:proofErr w:type="spellStart"/>
      <w:r w:rsidRPr="003331EF">
        <w:rPr>
          <w:iCs/>
          <w:spacing w:val="-5"/>
        </w:rPr>
        <w:t>k</w:t>
      </w:r>
      <w:r w:rsidR="00AC5314" w:rsidRPr="003331EF">
        <w:rPr>
          <w:iCs/>
          <w:spacing w:val="-5"/>
        </w:rPr>
        <w:t>rüptovara</w:t>
      </w:r>
      <w:proofErr w:type="spellEnd"/>
      <w:r w:rsidR="00AC5314" w:rsidRPr="003331EF">
        <w:rPr>
          <w:iCs/>
          <w:spacing w:val="-5"/>
        </w:rPr>
        <w:t xml:space="preserve"> emitent – </w:t>
      </w:r>
      <w:proofErr w:type="spellStart"/>
      <w:r w:rsidR="00AC5314" w:rsidRPr="003331EF">
        <w:rPr>
          <w:iCs/>
          <w:spacing w:val="-5"/>
        </w:rPr>
        <w:t>M</w:t>
      </w:r>
      <w:r w:rsidR="0019289B">
        <w:rPr>
          <w:iCs/>
          <w:spacing w:val="-5"/>
        </w:rPr>
        <w:t>i</w:t>
      </w:r>
      <w:r w:rsidR="00AC5314" w:rsidRPr="003331EF">
        <w:rPr>
          <w:iCs/>
          <w:spacing w:val="-5"/>
        </w:rPr>
        <w:t>CA</w:t>
      </w:r>
      <w:proofErr w:type="spellEnd"/>
      <w:r w:rsidR="00AC5314" w:rsidRPr="003331EF">
        <w:rPr>
          <w:iCs/>
          <w:spacing w:val="-5"/>
        </w:rPr>
        <w:t xml:space="preserve"> määruse artikli 3 lõike 1 punkti 10 kohaselt on emitent füüsiline või juriidiline isik või muu ettevõtja, kes emiteerib </w:t>
      </w:r>
      <w:proofErr w:type="spellStart"/>
      <w:r w:rsidR="00AC5314" w:rsidRPr="003331EF">
        <w:rPr>
          <w:iCs/>
          <w:spacing w:val="-5"/>
        </w:rPr>
        <w:t>krüptovara</w:t>
      </w:r>
      <w:proofErr w:type="spellEnd"/>
      <w:r w:rsidR="00AC5314" w:rsidRPr="003331EF">
        <w:rPr>
          <w:iCs/>
          <w:spacing w:val="-5"/>
        </w:rPr>
        <w:t>;</w:t>
      </w:r>
    </w:p>
    <w:p w14:paraId="767FA52B" w14:textId="6D026319" w:rsidR="00AC5314" w:rsidRPr="003331EF" w:rsidRDefault="00C7459E" w:rsidP="003331EF">
      <w:pPr>
        <w:pStyle w:val="Loendilik"/>
        <w:numPr>
          <w:ilvl w:val="0"/>
          <w:numId w:val="33"/>
        </w:numPr>
        <w:jc w:val="both"/>
        <w:rPr>
          <w:iCs/>
          <w:spacing w:val="-5"/>
        </w:rPr>
      </w:pPr>
      <w:r w:rsidRPr="003331EF">
        <w:rPr>
          <w:iCs/>
          <w:spacing w:val="-5"/>
        </w:rPr>
        <w:t>v</w:t>
      </w:r>
      <w:r w:rsidR="00AC5314" w:rsidRPr="003331EF">
        <w:rPr>
          <w:iCs/>
          <w:spacing w:val="-5"/>
        </w:rPr>
        <w:t xml:space="preserve">arapõhise </w:t>
      </w:r>
      <w:proofErr w:type="spellStart"/>
      <w:r w:rsidR="00AC5314" w:rsidRPr="003331EF">
        <w:rPr>
          <w:iCs/>
          <w:spacing w:val="-5"/>
        </w:rPr>
        <w:t>tokeni</w:t>
      </w:r>
      <w:proofErr w:type="spellEnd"/>
      <w:r w:rsidR="00AC5314" w:rsidRPr="003331EF">
        <w:rPr>
          <w:iCs/>
          <w:spacing w:val="-5"/>
        </w:rPr>
        <w:t xml:space="preserve"> emiten</w:t>
      </w:r>
      <w:r w:rsidR="00D9201E" w:rsidRPr="003331EF">
        <w:rPr>
          <w:iCs/>
          <w:spacing w:val="-5"/>
        </w:rPr>
        <w:t>t</w:t>
      </w:r>
      <w:r w:rsidR="00AC5314" w:rsidRPr="003331EF">
        <w:rPr>
          <w:iCs/>
          <w:spacing w:val="-5"/>
        </w:rPr>
        <w:t xml:space="preserve"> </w:t>
      </w:r>
      <w:r w:rsidR="005E6443" w:rsidRPr="003331EF">
        <w:rPr>
          <w:iCs/>
          <w:spacing w:val="-5"/>
        </w:rPr>
        <w:t>–</w:t>
      </w:r>
      <w:r w:rsidR="00AC5314" w:rsidRPr="003331EF">
        <w:rPr>
          <w:iCs/>
          <w:spacing w:val="-5"/>
        </w:rPr>
        <w:t xml:space="preserve"> tegemist on isikuga, kes emiteerib varapõhist </w:t>
      </w:r>
      <w:proofErr w:type="spellStart"/>
      <w:r w:rsidR="00AC5314" w:rsidRPr="003331EF">
        <w:rPr>
          <w:iCs/>
          <w:spacing w:val="-5"/>
        </w:rPr>
        <w:t>tokenit</w:t>
      </w:r>
      <w:proofErr w:type="spellEnd"/>
      <w:r w:rsidR="00AC5314" w:rsidRPr="003331EF">
        <w:rPr>
          <w:iCs/>
          <w:spacing w:val="-5"/>
        </w:rPr>
        <w:t xml:space="preserve">. </w:t>
      </w:r>
      <w:proofErr w:type="spellStart"/>
      <w:r w:rsidR="00AC5314" w:rsidRPr="003331EF">
        <w:rPr>
          <w:iCs/>
          <w:spacing w:val="-5"/>
        </w:rPr>
        <w:t>M</w:t>
      </w:r>
      <w:r w:rsidR="0019289B">
        <w:rPr>
          <w:iCs/>
          <w:spacing w:val="-5"/>
        </w:rPr>
        <w:t>i</w:t>
      </w:r>
      <w:r w:rsidR="00AC5314" w:rsidRPr="003331EF">
        <w:rPr>
          <w:iCs/>
          <w:spacing w:val="-5"/>
        </w:rPr>
        <w:t>CA</w:t>
      </w:r>
      <w:proofErr w:type="spellEnd"/>
      <w:r w:rsidR="00AC5314" w:rsidRPr="003331EF">
        <w:rPr>
          <w:iCs/>
          <w:spacing w:val="-5"/>
        </w:rPr>
        <w:t xml:space="preserve"> määruse artikli 3 lõike 1 punktis 6 on defineeritud, et varapõhise </w:t>
      </w:r>
      <w:proofErr w:type="spellStart"/>
      <w:r w:rsidR="00AC5314" w:rsidRPr="003331EF">
        <w:rPr>
          <w:iCs/>
          <w:spacing w:val="-5"/>
        </w:rPr>
        <w:t>tokeni</w:t>
      </w:r>
      <w:proofErr w:type="spellEnd"/>
      <w:r w:rsidR="00AC5314" w:rsidRPr="003331EF">
        <w:rPr>
          <w:iCs/>
          <w:spacing w:val="-5"/>
        </w:rPr>
        <w:t xml:space="preserve"> puhul on tegemist </w:t>
      </w:r>
      <w:proofErr w:type="spellStart"/>
      <w:r w:rsidR="00AC5314" w:rsidRPr="003331EF">
        <w:rPr>
          <w:iCs/>
          <w:spacing w:val="-5"/>
        </w:rPr>
        <w:t>krüptovara</w:t>
      </w:r>
      <w:proofErr w:type="spellEnd"/>
      <w:r w:rsidR="00AC5314" w:rsidRPr="003331EF">
        <w:rPr>
          <w:iCs/>
          <w:spacing w:val="-5"/>
        </w:rPr>
        <w:t xml:space="preserve"> liigiga, mis ei ole e-raha </w:t>
      </w:r>
      <w:proofErr w:type="spellStart"/>
      <w:r w:rsidR="00AC5314" w:rsidRPr="003331EF">
        <w:rPr>
          <w:iCs/>
          <w:spacing w:val="-5"/>
        </w:rPr>
        <w:t>token</w:t>
      </w:r>
      <w:proofErr w:type="spellEnd"/>
      <w:r w:rsidR="00AC5314" w:rsidRPr="003331EF">
        <w:rPr>
          <w:iCs/>
          <w:spacing w:val="-5"/>
        </w:rPr>
        <w:t xml:space="preserve"> ja mille eesmärk on säilitada stabiilne väärtus, järgides mõnda muud väärtust või õigust või nende kombinatsiooni, sealhulgas üht või mitut ametlikku vääringut. See hõlmab igasugust </w:t>
      </w:r>
      <w:proofErr w:type="spellStart"/>
      <w:r w:rsidR="00AC5314" w:rsidRPr="003331EF">
        <w:rPr>
          <w:iCs/>
          <w:spacing w:val="-5"/>
        </w:rPr>
        <w:t>krüptovara</w:t>
      </w:r>
      <w:proofErr w:type="spellEnd"/>
      <w:r w:rsidR="00AC5314" w:rsidRPr="003331EF">
        <w:rPr>
          <w:iCs/>
          <w:spacing w:val="-5"/>
        </w:rPr>
        <w:t xml:space="preserve">, välja arvatud e-raha </w:t>
      </w:r>
      <w:proofErr w:type="spellStart"/>
      <w:r w:rsidR="00AC5314" w:rsidRPr="003331EF">
        <w:rPr>
          <w:iCs/>
          <w:spacing w:val="-5"/>
        </w:rPr>
        <w:t>tokeneid</w:t>
      </w:r>
      <w:proofErr w:type="spellEnd"/>
      <w:r w:rsidR="00AC5314" w:rsidRPr="003331EF">
        <w:rPr>
          <w:iCs/>
          <w:spacing w:val="-5"/>
        </w:rPr>
        <w:t>, mille väärtus on tagatud varaga, et vältida kõrvalehoidmist ja muuta käesolev määrus tulevikukindlaks</w:t>
      </w:r>
      <w:r w:rsidR="006A7FCE" w:rsidRPr="003331EF">
        <w:rPr>
          <w:iCs/>
          <w:spacing w:val="-5"/>
        </w:rPr>
        <w:t>;</w:t>
      </w:r>
    </w:p>
    <w:p w14:paraId="094376D6" w14:textId="32476C10" w:rsidR="00C95F0D" w:rsidRPr="003331EF" w:rsidRDefault="00C7459E" w:rsidP="003331EF">
      <w:pPr>
        <w:pStyle w:val="Loendilik"/>
        <w:numPr>
          <w:ilvl w:val="0"/>
          <w:numId w:val="33"/>
        </w:numPr>
        <w:jc w:val="both"/>
        <w:rPr>
          <w:bCs/>
          <w:i/>
          <w:iCs/>
        </w:rPr>
      </w:pPr>
      <w:r w:rsidRPr="003331EF">
        <w:rPr>
          <w:iCs/>
          <w:spacing w:val="-5"/>
        </w:rPr>
        <w:t>e</w:t>
      </w:r>
      <w:r w:rsidR="00AC5314" w:rsidRPr="003331EF">
        <w:rPr>
          <w:iCs/>
          <w:spacing w:val="-5"/>
        </w:rPr>
        <w:t xml:space="preserve">-raha </w:t>
      </w:r>
      <w:proofErr w:type="spellStart"/>
      <w:r w:rsidR="00AC5314" w:rsidRPr="003331EF">
        <w:rPr>
          <w:iCs/>
          <w:spacing w:val="-5"/>
        </w:rPr>
        <w:t>tokeni</w:t>
      </w:r>
      <w:proofErr w:type="spellEnd"/>
      <w:r w:rsidR="00AC5314" w:rsidRPr="003331EF">
        <w:rPr>
          <w:iCs/>
          <w:spacing w:val="-5"/>
        </w:rPr>
        <w:t xml:space="preserve"> emitent </w:t>
      </w:r>
      <w:r w:rsidR="005E6443" w:rsidRPr="003331EF">
        <w:rPr>
          <w:iCs/>
          <w:spacing w:val="-5"/>
        </w:rPr>
        <w:t>–</w:t>
      </w:r>
      <w:r w:rsidR="00AC5314" w:rsidRPr="003331EF">
        <w:rPr>
          <w:iCs/>
          <w:spacing w:val="-5"/>
        </w:rPr>
        <w:t xml:space="preserve"> tegemist on isikuga, kes emiteerib e-raha </w:t>
      </w:r>
      <w:proofErr w:type="spellStart"/>
      <w:r w:rsidR="00AC5314" w:rsidRPr="003331EF">
        <w:rPr>
          <w:iCs/>
          <w:spacing w:val="-5"/>
        </w:rPr>
        <w:t>tokenit</w:t>
      </w:r>
      <w:proofErr w:type="spellEnd"/>
      <w:r w:rsidR="009C7436" w:rsidRPr="003331EF">
        <w:rPr>
          <w:iCs/>
          <w:spacing w:val="-5"/>
        </w:rPr>
        <w:t>;</w:t>
      </w:r>
    </w:p>
    <w:p w14:paraId="715E58D0" w14:textId="5C96362B" w:rsidR="009C7436" w:rsidRPr="003331EF" w:rsidRDefault="009C7436" w:rsidP="003331EF">
      <w:pPr>
        <w:pStyle w:val="Loendilik"/>
        <w:numPr>
          <w:ilvl w:val="0"/>
          <w:numId w:val="33"/>
        </w:numPr>
        <w:jc w:val="both"/>
        <w:rPr>
          <w:bCs/>
          <w:i/>
          <w:iCs/>
        </w:rPr>
      </w:pPr>
      <w:r w:rsidRPr="003331EF">
        <w:rPr>
          <w:iCs/>
          <w:spacing w:val="-5"/>
        </w:rPr>
        <w:t xml:space="preserve">isehallatav aadress on hajusraamatu aadress, mis ei ole seotud </w:t>
      </w:r>
      <w:proofErr w:type="spellStart"/>
      <w:r w:rsidRPr="003331EF">
        <w:rPr>
          <w:iCs/>
          <w:spacing w:val="-5"/>
        </w:rPr>
        <w:t>krüptovarateenuse</w:t>
      </w:r>
      <w:proofErr w:type="spellEnd"/>
      <w:r w:rsidRPr="003331EF">
        <w:rPr>
          <w:iCs/>
          <w:spacing w:val="-5"/>
        </w:rPr>
        <w:t xml:space="preserve"> osutajaga ega ka üksusega, mis ole asutatud liidus ja osutan </w:t>
      </w:r>
      <w:proofErr w:type="spellStart"/>
      <w:r w:rsidRPr="003331EF">
        <w:rPr>
          <w:iCs/>
          <w:spacing w:val="-5"/>
        </w:rPr>
        <w:t>krüptovarateenuse</w:t>
      </w:r>
      <w:proofErr w:type="spellEnd"/>
      <w:r w:rsidRPr="003331EF">
        <w:rPr>
          <w:iCs/>
          <w:spacing w:val="-5"/>
        </w:rPr>
        <w:t xml:space="preserve"> osutajaga sarnaseid teenuseid.</w:t>
      </w:r>
    </w:p>
    <w:p w14:paraId="1FD81E9A" w14:textId="77777777" w:rsidR="009C7436" w:rsidRPr="003331EF" w:rsidRDefault="009C7436" w:rsidP="003331EF">
      <w:pPr>
        <w:pStyle w:val="Loendilik"/>
        <w:ind w:left="360"/>
        <w:jc w:val="both"/>
        <w:rPr>
          <w:bCs/>
          <w:i/>
          <w:iCs/>
        </w:rPr>
      </w:pPr>
    </w:p>
    <w:p w14:paraId="46A1C631" w14:textId="25F2F1AF" w:rsidR="008C3E70" w:rsidRPr="003331EF" w:rsidRDefault="008C3E70" w:rsidP="003331EF">
      <w:pPr>
        <w:pStyle w:val="Pealkiri1"/>
        <w:numPr>
          <w:ilvl w:val="0"/>
          <w:numId w:val="9"/>
        </w:numPr>
        <w:rPr>
          <w:caps/>
          <w:color w:val="auto"/>
          <w:sz w:val="24"/>
          <w:lang w:val="et-EE"/>
        </w:rPr>
      </w:pPr>
      <w:bookmarkStart w:id="110" w:name="_Toc55577750"/>
      <w:r w:rsidRPr="003331EF">
        <w:rPr>
          <w:caps/>
          <w:color w:val="auto"/>
          <w:sz w:val="24"/>
          <w:lang w:val="et-EE"/>
        </w:rPr>
        <w:t>E</w:t>
      </w:r>
      <w:r w:rsidR="00B9578A" w:rsidRPr="003331EF">
        <w:rPr>
          <w:caps/>
          <w:color w:val="auto"/>
          <w:sz w:val="24"/>
          <w:lang w:val="et-EE"/>
        </w:rPr>
        <w:t>elnõu vastavus Euroopa Liidu õigusele</w:t>
      </w:r>
      <w:bookmarkEnd w:id="110"/>
    </w:p>
    <w:p w14:paraId="473D100E" w14:textId="77777777" w:rsidR="008C3E70" w:rsidRPr="003331EF" w:rsidRDefault="008C3E70" w:rsidP="003331EF">
      <w:pPr>
        <w:spacing w:before="0"/>
        <w:jc w:val="left"/>
        <w:rPr>
          <w:i/>
          <w:iCs/>
          <w:lang w:eastAsia="en-US"/>
        </w:rPr>
      </w:pPr>
    </w:p>
    <w:p w14:paraId="452117A4" w14:textId="79B52D99" w:rsidR="00ED6212" w:rsidRPr="003331EF" w:rsidRDefault="00ED6212" w:rsidP="003331EF">
      <w:pPr>
        <w:spacing w:before="0"/>
        <w:rPr>
          <w:lang w:eastAsia="en-US"/>
        </w:rPr>
      </w:pPr>
      <w:r w:rsidRPr="003331EF">
        <w:rPr>
          <w:lang w:eastAsia="en-US"/>
        </w:rPr>
        <w:t xml:space="preserve">Eelnõu on kooskõlas järgmiste </w:t>
      </w:r>
      <w:r w:rsidR="005E2B5D" w:rsidRPr="003331EF">
        <w:rPr>
          <w:lang w:eastAsia="en-US"/>
        </w:rPr>
        <w:t>EL</w:t>
      </w:r>
      <w:r w:rsidRPr="003331EF">
        <w:rPr>
          <w:lang w:eastAsia="en-US"/>
        </w:rPr>
        <w:t xml:space="preserve"> õigusaktidega:</w:t>
      </w:r>
    </w:p>
    <w:p w14:paraId="2F445281" w14:textId="1E761A35" w:rsidR="00AF3516" w:rsidRPr="003331EF" w:rsidRDefault="00072672" w:rsidP="003331EF">
      <w:pPr>
        <w:pStyle w:val="Loendilik"/>
        <w:numPr>
          <w:ilvl w:val="0"/>
          <w:numId w:val="60"/>
        </w:numPr>
        <w:jc w:val="both"/>
      </w:pPr>
      <w:proofErr w:type="spellStart"/>
      <w:r w:rsidRPr="003331EF">
        <w:t>M</w:t>
      </w:r>
      <w:r w:rsidR="0019289B">
        <w:t>i</w:t>
      </w:r>
      <w:r w:rsidRPr="003331EF">
        <w:t>CA</w:t>
      </w:r>
      <w:proofErr w:type="spellEnd"/>
      <w:r w:rsidRPr="003331EF">
        <w:t xml:space="preserve"> määruse ehk Euroopa Parlamendi ja nõukogu määrus (EL) 2023/</w:t>
      </w:r>
      <w:r w:rsidR="0017461A" w:rsidRPr="003331EF">
        <w:t>1114</w:t>
      </w:r>
      <w:r w:rsidRPr="003331EF">
        <w:t xml:space="preserve">, mis käsitleb </w:t>
      </w:r>
      <w:proofErr w:type="spellStart"/>
      <w:r w:rsidRPr="003331EF">
        <w:t>krüptovaraturge</w:t>
      </w:r>
      <w:proofErr w:type="spellEnd"/>
      <w:r w:rsidRPr="003331EF">
        <w:t xml:space="preserve"> ning millega muudetakse määrusi (EL) nr 1093/2010 ja (EL) nr 1095/2010 ning direktiive 2013/36/EL ja (EL) 2019/1937;</w:t>
      </w:r>
    </w:p>
    <w:p w14:paraId="55ED8486" w14:textId="77777777" w:rsidR="00AF3516" w:rsidRPr="003331EF" w:rsidRDefault="00072672" w:rsidP="003331EF">
      <w:pPr>
        <w:pStyle w:val="Loendilik"/>
        <w:numPr>
          <w:ilvl w:val="0"/>
          <w:numId w:val="60"/>
        </w:numPr>
        <w:jc w:val="both"/>
        <w:rPr>
          <w:iCs/>
          <w:spacing w:val="-5"/>
        </w:rPr>
      </w:pPr>
      <w:r w:rsidRPr="003331EF">
        <w:rPr>
          <w:iCs/>
          <w:spacing w:val="-5"/>
        </w:rPr>
        <w:t>DORA määrus ehk Euroopa Parlamendi ja nõukogu määrus (EL) 2022/2554, mis käsitleb finantssektori digitaalset tegevuskerksust ning millega muudetakse määrusi (EÜ) nr 1060/2009, (EL) nr 648/2012, (EL) nr 600/2014, (EL) nr 909/2014 ja (EL) 2016/1011</w:t>
      </w:r>
      <w:r w:rsidR="00665D0E" w:rsidRPr="003331EF">
        <w:rPr>
          <w:iCs/>
          <w:spacing w:val="-5"/>
        </w:rPr>
        <w:t>;</w:t>
      </w:r>
    </w:p>
    <w:p w14:paraId="309A90AF" w14:textId="2FF7F136" w:rsidR="00072672" w:rsidRPr="003331EF" w:rsidRDefault="00E47EB0" w:rsidP="003331EF">
      <w:pPr>
        <w:pStyle w:val="Loendilik"/>
        <w:numPr>
          <w:ilvl w:val="0"/>
          <w:numId w:val="60"/>
        </w:numPr>
        <w:jc w:val="both"/>
        <w:rPr>
          <w:iCs/>
          <w:spacing w:val="-5"/>
        </w:rPr>
      </w:pPr>
      <w:r w:rsidRPr="003331EF">
        <w:rPr>
          <w:iCs/>
          <w:spacing w:val="-5"/>
        </w:rPr>
        <w:t xml:space="preserve">TFR määrus ehk </w:t>
      </w:r>
      <w:bookmarkStart w:id="111" w:name="_Hlk139045033"/>
      <w:r w:rsidRPr="003331EF">
        <w:rPr>
          <w:iCs/>
          <w:spacing w:val="-5"/>
        </w:rPr>
        <w:t xml:space="preserve">Euroopa Parlamendi ja nõukogu määruse (EL) 2023/1113, mis käsitleb rahaülekannetes ja teatavates </w:t>
      </w:r>
      <w:proofErr w:type="spellStart"/>
      <w:r w:rsidRPr="003331EF">
        <w:rPr>
          <w:iCs/>
          <w:spacing w:val="-5"/>
        </w:rPr>
        <w:t>krüptovaraülekannetes</w:t>
      </w:r>
      <w:proofErr w:type="spellEnd"/>
      <w:r w:rsidRPr="003331EF">
        <w:rPr>
          <w:iCs/>
          <w:spacing w:val="-5"/>
        </w:rPr>
        <w:t xml:space="preserve"> edastatavat teavet ning millega muudetakse direktiivi (EL) 2015/849 (ELT L 150, 9.6.2023, lk 1–39)</w:t>
      </w:r>
      <w:bookmarkEnd w:id="111"/>
      <w:r w:rsidR="00072672" w:rsidRPr="003331EF">
        <w:rPr>
          <w:iCs/>
          <w:spacing w:val="-5"/>
        </w:rPr>
        <w:t>.</w:t>
      </w:r>
    </w:p>
    <w:p w14:paraId="5A21315F" w14:textId="77777777" w:rsidR="00072672" w:rsidRPr="003331EF" w:rsidRDefault="00072672" w:rsidP="003331EF">
      <w:pPr>
        <w:spacing w:before="0"/>
        <w:rPr>
          <w:lang w:eastAsia="en-US"/>
        </w:rPr>
      </w:pPr>
    </w:p>
    <w:p w14:paraId="5167F79E" w14:textId="77777777" w:rsidR="0069418B" w:rsidRPr="003331EF" w:rsidRDefault="0069418B" w:rsidP="003331EF">
      <w:pPr>
        <w:spacing w:before="0"/>
        <w:rPr>
          <w:iCs/>
          <w:spacing w:val="-5"/>
        </w:rPr>
      </w:pPr>
      <w:r w:rsidRPr="003331EF">
        <w:rPr>
          <w:iCs/>
          <w:spacing w:val="-5"/>
        </w:rPr>
        <w:t>Direktiivide riigisisene ülevõtmine:</w:t>
      </w:r>
    </w:p>
    <w:p w14:paraId="1C935619" w14:textId="059EE215" w:rsidR="0069418B" w:rsidRPr="003331EF" w:rsidRDefault="0069418B" w:rsidP="003331EF">
      <w:pPr>
        <w:pStyle w:val="Loendilik"/>
        <w:numPr>
          <w:ilvl w:val="0"/>
          <w:numId w:val="60"/>
        </w:numPr>
        <w:jc w:val="both"/>
        <w:rPr>
          <w:iCs/>
          <w:spacing w:val="-5"/>
        </w:rPr>
      </w:pPr>
      <w:proofErr w:type="spellStart"/>
      <w:r w:rsidRPr="003331EF">
        <w:rPr>
          <w:iCs/>
          <w:spacing w:val="-5"/>
        </w:rPr>
        <w:t>M</w:t>
      </w:r>
      <w:r w:rsidR="0019289B">
        <w:rPr>
          <w:iCs/>
          <w:spacing w:val="-5"/>
        </w:rPr>
        <w:t>i</w:t>
      </w:r>
      <w:r w:rsidRPr="003331EF">
        <w:rPr>
          <w:iCs/>
          <w:spacing w:val="-5"/>
        </w:rPr>
        <w:t>CA</w:t>
      </w:r>
      <w:proofErr w:type="spellEnd"/>
      <w:r w:rsidRPr="003331EF">
        <w:rPr>
          <w:iCs/>
          <w:spacing w:val="-5"/>
        </w:rPr>
        <w:t xml:space="preserve"> määrus näeb mh ette direktiivide 2013/36/EL ja (EL) 2019/1937 muudatused, mis tuleb riigisiseselt üle võtta 2024. aasta 30. detsembriks;</w:t>
      </w:r>
    </w:p>
    <w:p w14:paraId="5B5AAD8F" w14:textId="77777777" w:rsidR="0069418B" w:rsidRPr="003331EF" w:rsidRDefault="0069418B" w:rsidP="003331EF">
      <w:pPr>
        <w:pStyle w:val="Loendilik"/>
        <w:numPr>
          <w:ilvl w:val="0"/>
          <w:numId w:val="60"/>
        </w:numPr>
        <w:jc w:val="both"/>
        <w:rPr>
          <w:iCs/>
          <w:spacing w:val="-5"/>
        </w:rPr>
      </w:pPr>
      <w:r w:rsidRPr="003331EF">
        <w:rPr>
          <w:iCs/>
          <w:spacing w:val="-5"/>
        </w:rPr>
        <w:t xml:space="preserve">TFR määrus näeb ette direktiivi (EL) 2015/849 muudatused, tuleb riigisiseselt üle võtta 2024. aasta 30. detsembriks. </w:t>
      </w:r>
    </w:p>
    <w:p w14:paraId="40C134CB" w14:textId="77777777" w:rsidR="0069418B" w:rsidRPr="003331EF" w:rsidRDefault="0069418B" w:rsidP="003331EF">
      <w:pPr>
        <w:spacing w:before="0"/>
        <w:rPr>
          <w:lang w:eastAsia="en-US"/>
        </w:rPr>
      </w:pPr>
    </w:p>
    <w:p w14:paraId="4F133486" w14:textId="7E65A19D" w:rsidR="0069418B" w:rsidRPr="003331EF" w:rsidRDefault="0069418B" w:rsidP="003331EF">
      <w:pPr>
        <w:spacing w:before="0"/>
        <w:rPr>
          <w:lang w:eastAsia="en-US"/>
        </w:rPr>
      </w:pPr>
      <w:r w:rsidRPr="003331EF">
        <w:rPr>
          <w:lang w:eastAsia="en-US"/>
        </w:rPr>
        <w:t xml:space="preserve">Käesoleva seletuskirja lisas on EL ja riigisisese õiguse vastavustabel. </w:t>
      </w:r>
    </w:p>
    <w:p w14:paraId="5050290B" w14:textId="77777777" w:rsidR="00FF1CF7" w:rsidRPr="003331EF" w:rsidRDefault="00FF1CF7" w:rsidP="003331EF">
      <w:pPr>
        <w:spacing w:before="0"/>
        <w:rPr>
          <w:i/>
          <w:iCs/>
          <w:lang w:eastAsia="en-US"/>
        </w:rPr>
      </w:pPr>
      <w:bookmarkStart w:id="112" w:name="_Toc55577751"/>
    </w:p>
    <w:p w14:paraId="3AAD63AA" w14:textId="77777777" w:rsidR="005508E5" w:rsidRPr="003331EF" w:rsidRDefault="005508E5" w:rsidP="003331EF">
      <w:pPr>
        <w:pStyle w:val="Pealkiri1"/>
        <w:numPr>
          <w:ilvl w:val="0"/>
          <w:numId w:val="19"/>
        </w:numPr>
        <w:ind w:left="567" w:hanging="567"/>
        <w:rPr>
          <w:caps/>
          <w:color w:val="auto"/>
          <w:sz w:val="24"/>
          <w:lang w:val="et-EE"/>
        </w:rPr>
      </w:pPr>
      <w:r w:rsidRPr="003331EF">
        <w:rPr>
          <w:caps/>
          <w:color w:val="auto"/>
          <w:sz w:val="24"/>
          <w:lang w:val="et-EE"/>
        </w:rPr>
        <w:t>Seaduse mõjud</w:t>
      </w:r>
    </w:p>
    <w:p w14:paraId="1178BA1E" w14:textId="77777777" w:rsidR="00051B39" w:rsidRPr="003331EF" w:rsidRDefault="00051B39" w:rsidP="003331EF">
      <w:pPr>
        <w:spacing w:before="0"/>
        <w:rPr>
          <w:b/>
        </w:rPr>
      </w:pPr>
    </w:p>
    <w:p w14:paraId="5CB9A6BC" w14:textId="074587D5" w:rsidR="00CA68EB" w:rsidRPr="003331EF" w:rsidRDefault="005508E5" w:rsidP="003331EF">
      <w:pPr>
        <w:spacing w:before="0"/>
        <w:rPr>
          <w:b/>
        </w:rPr>
      </w:pPr>
      <w:r w:rsidRPr="003331EF">
        <w:rPr>
          <w:b/>
        </w:rPr>
        <w:t xml:space="preserve">6.1. Majanduslik mõju </w:t>
      </w:r>
    </w:p>
    <w:p w14:paraId="762A29F3" w14:textId="7FF6BFCB" w:rsidR="005508E5" w:rsidRPr="003331EF" w:rsidRDefault="00CA68EB" w:rsidP="003331EF">
      <w:pPr>
        <w:spacing w:before="0"/>
        <w:rPr>
          <w:b/>
        </w:rPr>
      </w:pPr>
      <w:r w:rsidRPr="003331EF">
        <w:rPr>
          <w:b/>
        </w:rPr>
        <w:t xml:space="preserve">6.1.1. </w:t>
      </w:r>
      <w:r w:rsidR="001D7D9D" w:rsidRPr="003331EF">
        <w:rPr>
          <w:b/>
        </w:rPr>
        <w:t>Majanduslik m</w:t>
      </w:r>
      <w:r w:rsidRPr="003331EF">
        <w:rPr>
          <w:b/>
        </w:rPr>
        <w:t xml:space="preserve">õju </w:t>
      </w:r>
      <w:proofErr w:type="spellStart"/>
      <w:r w:rsidR="005508E5" w:rsidRPr="003331EF">
        <w:rPr>
          <w:b/>
        </w:rPr>
        <w:t>krüptovara</w:t>
      </w:r>
      <w:r w:rsidR="001A4D75" w:rsidRPr="003331EF">
        <w:rPr>
          <w:b/>
        </w:rPr>
        <w:t>teenuse</w:t>
      </w:r>
      <w:proofErr w:type="spellEnd"/>
      <w:r w:rsidR="001A4D75" w:rsidRPr="003331EF">
        <w:rPr>
          <w:b/>
        </w:rPr>
        <w:t xml:space="preserve"> </w:t>
      </w:r>
      <w:r w:rsidR="005508E5" w:rsidRPr="003331EF">
        <w:rPr>
          <w:b/>
        </w:rPr>
        <w:t>osutajale</w:t>
      </w:r>
      <w:r w:rsidR="001D7D9D" w:rsidRPr="003331EF">
        <w:rPr>
          <w:b/>
        </w:rPr>
        <w:t xml:space="preserve"> ja </w:t>
      </w:r>
      <w:proofErr w:type="spellStart"/>
      <w:r w:rsidR="001D7D9D" w:rsidRPr="003331EF">
        <w:rPr>
          <w:b/>
        </w:rPr>
        <w:t>krüptovara</w:t>
      </w:r>
      <w:proofErr w:type="spellEnd"/>
      <w:r w:rsidR="001D7D9D" w:rsidRPr="003331EF">
        <w:rPr>
          <w:b/>
        </w:rPr>
        <w:t xml:space="preserve"> emitentidele</w:t>
      </w:r>
    </w:p>
    <w:p w14:paraId="4A9845E3" w14:textId="77777777" w:rsidR="005508E5" w:rsidRPr="003331EF" w:rsidRDefault="005508E5" w:rsidP="003331EF">
      <w:pPr>
        <w:spacing w:before="0"/>
        <w:rPr>
          <w:b/>
        </w:rPr>
      </w:pPr>
    </w:p>
    <w:p w14:paraId="0FE96510" w14:textId="1D4C13DF" w:rsidR="00AF3516" w:rsidRPr="003331EF" w:rsidRDefault="005508E5" w:rsidP="003331EF">
      <w:pPr>
        <w:spacing w:before="0"/>
        <w:rPr>
          <w:iCs/>
          <w:spacing w:val="-5"/>
          <w:lang w:eastAsia="en-US"/>
        </w:rPr>
      </w:pPr>
      <w:r w:rsidRPr="003331EF">
        <w:rPr>
          <w:b/>
          <w:u w:val="single"/>
        </w:rPr>
        <w:t>Sihtrühm</w:t>
      </w:r>
      <w:r w:rsidRPr="003331EF">
        <w:t>:</w:t>
      </w:r>
      <w:r w:rsidR="001D7D9D" w:rsidRPr="003331EF">
        <w:t xml:space="preserve"> </w:t>
      </w:r>
      <w:proofErr w:type="spellStart"/>
      <w:r w:rsidR="001D7D9D" w:rsidRPr="003331EF">
        <w:rPr>
          <w:iCs/>
          <w:spacing w:val="-5"/>
          <w:lang w:eastAsia="en-US"/>
        </w:rPr>
        <w:t>M</w:t>
      </w:r>
      <w:r w:rsidR="0019289B">
        <w:rPr>
          <w:iCs/>
          <w:spacing w:val="-5"/>
          <w:lang w:eastAsia="en-US"/>
        </w:rPr>
        <w:t>i</w:t>
      </w:r>
      <w:r w:rsidR="001D7D9D" w:rsidRPr="003331EF">
        <w:rPr>
          <w:iCs/>
          <w:spacing w:val="-5"/>
          <w:lang w:eastAsia="en-US"/>
        </w:rPr>
        <w:t>CA</w:t>
      </w:r>
      <w:proofErr w:type="spellEnd"/>
      <w:r w:rsidR="001D7D9D" w:rsidRPr="003331EF">
        <w:rPr>
          <w:iCs/>
          <w:spacing w:val="-5"/>
          <w:lang w:eastAsia="en-US"/>
        </w:rPr>
        <w:t xml:space="preserve"> määruse kohaldumisalasse jäävate </w:t>
      </w:r>
      <w:proofErr w:type="spellStart"/>
      <w:r w:rsidRPr="003331EF">
        <w:rPr>
          <w:iCs/>
          <w:spacing w:val="-5"/>
          <w:lang w:eastAsia="en-US"/>
        </w:rPr>
        <w:t>krüptovarateenuse</w:t>
      </w:r>
      <w:proofErr w:type="spellEnd"/>
      <w:r w:rsidRPr="003331EF">
        <w:rPr>
          <w:iCs/>
          <w:spacing w:val="-5"/>
          <w:lang w:eastAsia="en-US"/>
        </w:rPr>
        <w:t xml:space="preserve"> osutaja</w:t>
      </w:r>
      <w:r w:rsidR="001D7D9D" w:rsidRPr="003331EF">
        <w:rPr>
          <w:iCs/>
          <w:spacing w:val="-5"/>
          <w:lang w:eastAsia="en-US"/>
        </w:rPr>
        <w:t>te</w:t>
      </w:r>
      <w:r w:rsidR="00502161" w:rsidRPr="003331EF">
        <w:rPr>
          <w:iCs/>
          <w:spacing w:val="-5"/>
          <w:lang w:eastAsia="en-US"/>
        </w:rPr>
        <w:t>ks võivad eelkõige osutada isikud, kellel</w:t>
      </w:r>
      <w:r w:rsidR="001D7D9D" w:rsidRPr="003331EF">
        <w:rPr>
          <w:iCs/>
          <w:spacing w:val="-5"/>
          <w:lang w:eastAsia="en-US"/>
        </w:rPr>
        <w:t xml:space="preserve"> on hetkel </w:t>
      </w:r>
      <w:r w:rsidR="005F4E70" w:rsidRPr="003331EF">
        <w:rPr>
          <w:iCs/>
          <w:spacing w:val="-5"/>
          <w:lang w:eastAsia="en-US"/>
        </w:rPr>
        <w:t>Rahapesu Andmebüroo</w:t>
      </w:r>
      <w:r w:rsidR="00936925" w:rsidRPr="003331EF">
        <w:rPr>
          <w:iCs/>
          <w:spacing w:val="-5"/>
          <w:lang w:eastAsia="en-US"/>
        </w:rPr>
        <w:t xml:space="preserve"> </w:t>
      </w:r>
      <w:r w:rsidR="00502161" w:rsidRPr="003331EF">
        <w:rPr>
          <w:iCs/>
          <w:spacing w:val="-5"/>
          <w:lang w:eastAsia="en-US"/>
        </w:rPr>
        <w:t>poolt väljastatud</w:t>
      </w:r>
      <w:r w:rsidR="00936925" w:rsidRPr="003331EF">
        <w:rPr>
          <w:iCs/>
          <w:spacing w:val="-5"/>
          <w:lang w:eastAsia="en-US"/>
        </w:rPr>
        <w:t xml:space="preserve"> virtuaalvääringu teenuse </w:t>
      </w:r>
      <w:r w:rsidR="00502161" w:rsidRPr="003331EF">
        <w:rPr>
          <w:iCs/>
          <w:spacing w:val="-5"/>
          <w:lang w:eastAsia="en-US"/>
        </w:rPr>
        <w:t xml:space="preserve">osutamise </w:t>
      </w:r>
      <w:r w:rsidR="00936925" w:rsidRPr="003331EF">
        <w:rPr>
          <w:iCs/>
          <w:spacing w:val="-5"/>
          <w:lang w:eastAsia="en-US"/>
        </w:rPr>
        <w:t>tegevusl</w:t>
      </w:r>
      <w:r w:rsidR="00502161" w:rsidRPr="003331EF">
        <w:rPr>
          <w:iCs/>
          <w:spacing w:val="-5"/>
          <w:lang w:eastAsia="en-US"/>
        </w:rPr>
        <w:t xml:space="preserve">uba. </w:t>
      </w:r>
    </w:p>
    <w:p w14:paraId="59452E1E" w14:textId="77777777" w:rsidR="00AF3516" w:rsidRPr="003331EF" w:rsidRDefault="00AF3516" w:rsidP="003331EF">
      <w:pPr>
        <w:spacing w:before="0"/>
        <w:rPr>
          <w:iCs/>
          <w:spacing w:val="-5"/>
          <w:lang w:eastAsia="en-US"/>
        </w:rPr>
      </w:pPr>
    </w:p>
    <w:p w14:paraId="7FA44431" w14:textId="14E082E5" w:rsidR="00AF3516" w:rsidRPr="003331EF" w:rsidRDefault="00502161" w:rsidP="003331EF">
      <w:pPr>
        <w:spacing w:before="0"/>
        <w:rPr>
          <w:iCs/>
          <w:spacing w:val="-5"/>
          <w:lang w:eastAsia="en-US"/>
        </w:rPr>
      </w:pPr>
      <w:r w:rsidRPr="003331EF">
        <w:rPr>
          <w:iCs/>
          <w:spacing w:val="-5"/>
          <w:lang w:eastAsia="en-US"/>
        </w:rPr>
        <w:t xml:space="preserve">2023. </w:t>
      </w:r>
      <w:r w:rsidR="00EB54DE" w:rsidRPr="003331EF">
        <w:rPr>
          <w:iCs/>
          <w:spacing w:val="-5"/>
          <w:lang w:eastAsia="en-US"/>
        </w:rPr>
        <w:t xml:space="preserve">aasta </w:t>
      </w:r>
      <w:r w:rsidR="001732D0" w:rsidRPr="003331EF">
        <w:rPr>
          <w:iCs/>
          <w:spacing w:val="-5"/>
          <w:lang w:eastAsia="en-US"/>
        </w:rPr>
        <w:t xml:space="preserve">detsembri </w:t>
      </w:r>
      <w:r w:rsidR="008740B3" w:rsidRPr="003331EF">
        <w:rPr>
          <w:iCs/>
          <w:spacing w:val="-5"/>
          <w:lang w:eastAsia="en-US"/>
        </w:rPr>
        <w:t xml:space="preserve">seisuga </w:t>
      </w:r>
      <w:r w:rsidRPr="003331EF">
        <w:rPr>
          <w:iCs/>
          <w:spacing w:val="-5"/>
          <w:lang w:eastAsia="en-US"/>
        </w:rPr>
        <w:t>o</w:t>
      </w:r>
      <w:r w:rsidR="002658D6" w:rsidRPr="003331EF">
        <w:rPr>
          <w:iCs/>
          <w:spacing w:val="-5"/>
          <w:lang w:eastAsia="en-US"/>
        </w:rPr>
        <w:t>n</w:t>
      </w:r>
      <w:r w:rsidRPr="003331EF">
        <w:rPr>
          <w:iCs/>
          <w:spacing w:val="-5"/>
          <w:lang w:eastAsia="en-US"/>
        </w:rPr>
        <w:t xml:space="preserve"> selliseid teenusepakkujaid</w:t>
      </w:r>
      <w:r w:rsidR="008740B3" w:rsidRPr="003331EF">
        <w:rPr>
          <w:iCs/>
          <w:spacing w:val="-5"/>
          <w:lang w:eastAsia="en-US"/>
        </w:rPr>
        <w:t xml:space="preserve"> </w:t>
      </w:r>
      <w:r w:rsidR="001732D0" w:rsidRPr="003331EF">
        <w:rPr>
          <w:iCs/>
          <w:spacing w:val="-5"/>
          <w:lang w:eastAsia="en-US"/>
        </w:rPr>
        <w:t>majandustegevuse registri andmetel 54</w:t>
      </w:r>
      <w:r w:rsidR="001732D0" w:rsidRPr="003331EF">
        <w:rPr>
          <w:rStyle w:val="Allmrkuseviide"/>
          <w:iCs/>
          <w:spacing w:val="-5"/>
          <w:lang w:eastAsia="en-US"/>
        </w:rPr>
        <w:footnoteReference w:id="30"/>
      </w:r>
      <w:r w:rsidR="001D7D9D" w:rsidRPr="003331EF">
        <w:rPr>
          <w:iCs/>
          <w:spacing w:val="-5"/>
          <w:lang w:eastAsia="en-US"/>
        </w:rPr>
        <w:t xml:space="preserve">. </w:t>
      </w:r>
    </w:p>
    <w:p w14:paraId="2E2D50E0" w14:textId="77777777" w:rsidR="00AF3516" w:rsidRPr="003331EF" w:rsidRDefault="00AF3516" w:rsidP="003331EF">
      <w:pPr>
        <w:spacing w:before="0"/>
        <w:rPr>
          <w:iCs/>
          <w:spacing w:val="-5"/>
          <w:lang w:eastAsia="en-US"/>
        </w:rPr>
      </w:pPr>
    </w:p>
    <w:p w14:paraId="4EBE03FC" w14:textId="606CBF22" w:rsidR="005508E5" w:rsidRPr="003331EF" w:rsidRDefault="001D7D9D" w:rsidP="003331EF">
      <w:pPr>
        <w:spacing w:before="0"/>
        <w:rPr>
          <w:lang w:eastAsia="en-US"/>
        </w:rPr>
      </w:pPr>
      <w:r w:rsidRPr="003331EF">
        <w:rPr>
          <w:iCs/>
          <w:spacing w:val="-5"/>
          <w:lang w:eastAsia="en-US"/>
        </w:rPr>
        <w:t xml:space="preserve">Kui viidatud teenusepakkujad soovivad ka edaspidi </w:t>
      </w:r>
      <w:proofErr w:type="spellStart"/>
      <w:r w:rsidR="00C15B34" w:rsidRPr="003331EF">
        <w:rPr>
          <w:iCs/>
          <w:spacing w:val="-5"/>
          <w:lang w:eastAsia="en-US"/>
        </w:rPr>
        <w:t>krüptovaraga</w:t>
      </w:r>
      <w:proofErr w:type="spellEnd"/>
      <w:r w:rsidR="00C15B34" w:rsidRPr="003331EF">
        <w:rPr>
          <w:iCs/>
          <w:spacing w:val="-5"/>
          <w:lang w:eastAsia="en-US"/>
        </w:rPr>
        <w:t xml:space="preserve"> seotud </w:t>
      </w:r>
      <w:r w:rsidRPr="003331EF">
        <w:rPr>
          <w:iCs/>
          <w:spacing w:val="-5"/>
          <w:lang w:eastAsia="en-US"/>
        </w:rPr>
        <w:t xml:space="preserve">teenust osutada, siis </w:t>
      </w:r>
      <w:r w:rsidR="00936925" w:rsidRPr="003331EF">
        <w:rPr>
          <w:iCs/>
          <w:spacing w:val="-5"/>
          <w:lang w:eastAsia="en-US"/>
        </w:rPr>
        <w:t>peaksid</w:t>
      </w:r>
      <w:r w:rsidRPr="003331EF">
        <w:rPr>
          <w:iCs/>
          <w:spacing w:val="-5"/>
          <w:lang w:eastAsia="en-US"/>
        </w:rPr>
        <w:t xml:space="preserve"> nad</w:t>
      </w:r>
      <w:r w:rsidR="00936925" w:rsidRPr="003331EF">
        <w:rPr>
          <w:iCs/>
          <w:spacing w:val="-5"/>
          <w:lang w:eastAsia="en-US"/>
        </w:rPr>
        <w:t xml:space="preserve"> </w:t>
      </w:r>
      <w:r w:rsidR="00502161" w:rsidRPr="003331EF">
        <w:rPr>
          <w:iCs/>
          <w:spacing w:val="-5"/>
          <w:lang w:eastAsia="en-US"/>
        </w:rPr>
        <w:t>oma</w:t>
      </w:r>
      <w:r w:rsidR="00936925" w:rsidRPr="003331EF">
        <w:rPr>
          <w:iCs/>
          <w:spacing w:val="-5"/>
          <w:lang w:eastAsia="en-US"/>
        </w:rPr>
        <w:t xml:space="preserve"> tegevuse </w:t>
      </w:r>
      <w:proofErr w:type="spellStart"/>
      <w:r w:rsidR="00936925" w:rsidRPr="003331EF">
        <w:rPr>
          <w:iCs/>
          <w:spacing w:val="-5"/>
          <w:lang w:eastAsia="en-US"/>
        </w:rPr>
        <w:t>M</w:t>
      </w:r>
      <w:r w:rsidR="0019289B">
        <w:rPr>
          <w:iCs/>
          <w:spacing w:val="-5"/>
          <w:lang w:eastAsia="en-US"/>
        </w:rPr>
        <w:t>i</w:t>
      </w:r>
      <w:r w:rsidR="00936925" w:rsidRPr="003331EF">
        <w:rPr>
          <w:iCs/>
          <w:spacing w:val="-5"/>
          <w:lang w:eastAsia="en-US"/>
        </w:rPr>
        <w:t>CA</w:t>
      </w:r>
      <w:proofErr w:type="spellEnd"/>
      <w:r w:rsidR="00936925" w:rsidRPr="003331EF">
        <w:rPr>
          <w:iCs/>
          <w:spacing w:val="-5"/>
          <w:lang w:eastAsia="en-US"/>
        </w:rPr>
        <w:t xml:space="preserve"> määrusest tulenevate nõuetega kooskõlla viima hiljemalt 202</w:t>
      </w:r>
      <w:r w:rsidR="00EB54DE" w:rsidRPr="003331EF">
        <w:rPr>
          <w:iCs/>
          <w:spacing w:val="-5"/>
          <w:lang w:eastAsia="en-US"/>
        </w:rPr>
        <w:t>6</w:t>
      </w:r>
      <w:r w:rsidR="00936925" w:rsidRPr="003331EF">
        <w:rPr>
          <w:iCs/>
          <w:spacing w:val="-5"/>
          <w:lang w:eastAsia="en-US"/>
        </w:rPr>
        <w:t>. aasta 1. j</w:t>
      </w:r>
      <w:r w:rsidR="00EB54DE" w:rsidRPr="003331EF">
        <w:rPr>
          <w:iCs/>
          <w:spacing w:val="-5"/>
          <w:lang w:eastAsia="en-US"/>
        </w:rPr>
        <w:t>aanuariks</w:t>
      </w:r>
      <w:r w:rsidR="00936925" w:rsidRPr="003331EF">
        <w:rPr>
          <w:iCs/>
          <w:spacing w:val="-5"/>
          <w:lang w:eastAsia="en-US"/>
        </w:rPr>
        <w:t xml:space="preserve">. </w:t>
      </w:r>
      <w:r w:rsidR="00502161" w:rsidRPr="003331EF">
        <w:rPr>
          <w:iCs/>
          <w:spacing w:val="-5"/>
          <w:lang w:eastAsia="en-US"/>
        </w:rPr>
        <w:t>Tõenäoliselt</w:t>
      </w:r>
      <w:r w:rsidR="00721961" w:rsidRPr="003331EF">
        <w:rPr>
          <w:iCs/>
          <w:spacing w:val="-5"/>
          <w:lang w:eastAsia="en-US"/>
        </w:rPr>
        <w:t xml:space="preserve"> võib eeldada, et </w:t>
      </w:r>
      <w:r w:rsidR="00502161" w:rsidRPr="003331EF">
        <w:rPr>
          <w:iCs/>
          <w:spacing w:val="-5"/>
          <w:lang w:eastAsia="en-US"/>
        </w:rPr>
        <w:t xml:space="preserve">kõik </w:t>
      </w:r>
      <w:proofErr w:type="spellStart"/>
      <w:r w:rsidR="00502161" w:rsidRPr="003331EF">
        <w:rPr>
          <w:iCs/>
          <w:spacing w:val="-5"/>
          <w:lang w:eastAsia="en-US"/>
        </w:rPr>
        <w:t>RABi</w:t>
      </w:r>
      <w:proofErr w:type="spellEnd"/>
      <w:r w:rsidR="00502161" w:rsidRPr="003331EF">
        <w:rPr>
          <w:iCs/>
          <w:spacing w:val="-5"/>
          <w:lang w:eastAsia="en-US"/>
        </w:rPr>
        <w:t xml:space="preserve"> poolt väljastatud virtuaalvääringu teenuse osutamise tegevusloaga </w:t>
      </w:r>
      <w:proofErr w:type="spellStart"/>
      <w:r w:rsidR="005E7406" w:rsidRPr="003331EF">
        <w:rPr>
          <w:iCs/>
          <w:spacing w:val="-5"/>
          <w:lang w:eastAsia="en-US"/>
        </w:rPr>
        <w:t>VASP-id</w:t>
      </w:r>
      <w:proofErr w:type="spellEnd"/>
      <w:r w:rsidR="00502161" w:rsidRPr="003331EF">
        <w:rPr>
          <w:iCs/>
          <w:spacing w:val="-5"/>
          <w:lang w:eastAsia="en-US"/>
        </w:rPr>
        <w:t xml:space="preserve"> ei soovi</w:t>
      </w:r>
      <w:r w:rsidR="00721961" w:rsidRPr="003331EF">
        <w:rPr>
          <w:iCs/>
          <w:spacing w:val="-5"/>
          <w:lang w:eastAsia="en-US"/>
        </w:rPr>
        <w:t xml:space="preserve"> edaspidi </w:t>
      </w:r>
      <w:r w:rsidR="00502161" w:rsidRPr="003331EF">
        <w:rPr>
          <w:iCs/>
          <w:spacing w:val="-5"/>
          <w:lang w:eastAsia="en-US"/>
        </w:rPr>
        <w:t xml:space="preserve">enam </w:t>
      </w:r>
      <w:proofErr w:type="spellStart"/>
      <w:r w:rsidR="00721961" w:rsidRPr="003331EF">
        <w:rPr>
          <w:iCs/>
          <w:spacing w:val="-5"/>
          <w:lang w:eastAsia="en-US"/>
        </w:rPr>
        <w:t>M</w:t>
      </w:r>
      <w:r w:rsidR="0019289B">
        <w:rPr>
          <w:iCs/>
          <w:spacing w:val="-5"/>
          <w:lang w:eastAsia="en-US"/>
        </w:rPr>
        <w:t>i</w:t>
      </w:r>
      <w:r w:rsidR="00721961" w:rsidRPr="003331EF">
        <w:rPr>
          <w:iCs/>
          <w:spacing w:val="-5"/>
          <w:lang w:eastAsia="en-US"/>
        </w:rPr>
        <w:t>CA</w:t>
      </w:r>
      <w:proofErr w:type="spellEnd"/>
      <w:r w:rsidR="00721961" w:rsidRPr="003331EF">
        <w:rPr>
          <w:iCs/>
          <w:spacing w:val="-5"/>
          <w:lang w:eastAsia="en-US"/>
        </w:rPr>
        <w:t xml:space="preserve"> määruse alusel tegevust jätkata.</w:t>
      </w:r>
      <w:r w:rsidR="00502161" w:rsidRPr="003331EF">
        <w:rPr>
          <w:iCs/>
          <w:spacing w:val="-5"/>
          <w:lang w:eastAsia="en-US"/>
        </w:rPr>
        <w:t xml:space="preserve"> Täpset numbrit on aga keeruline prognoosida. Lisaks võib teiste EL liikmesriikide VASP-</w:t>
      </w:r>
      <w:proofErr w:type="spellStart"/>
      <w:r w:rsidR="00502161" w:rsidRPr="003331EF">
        <w:rPr>
          <w:iCs/>
          <w:spacing w:val="-5"/>
          <w:lang w:eastAsia="en-US"/>
        </w:rPr>
        <w:t>del</w:t>
      </w:r>
      <w:proofErr w:type="spellEnd"/>
      <w:r w:rsidR="00502161" w:rsidRPr="003331EF">
        <w:rPr>
          <w:iCs/>
          <w:spacing w:val="-5"/>
          <w:lang w:eastAsia="en-US"/>
        </w:rPr>
        <w:t xml:space="preserve"> tekkida huvi taotleda oma tegevusluba </w:t>
      </w:r>
      <w:proofErr w:type="spellStart"/>
      <w:r w:rsidR="00502161" w:rsidRPr="003331EF">
        <w:rPr>
          <w:iCs/>
          <w:spacing w:val="-5"/>
          <w:lang w:eastAsia="en-US"/>
        </w:rPr>
        <w:t>M</w:t>
      </w:r>
      <w:r w:rsidR="00EB54DE" w:rsidRPr="003331EF">
        <w:rPr>
          <w:iCs/>
          <w:spacing w:val="-5"/>
          <w:lang w:eastAsia="en-US"/>
        </w:rPr>
        <w:t>i</w:t>
      </w:r>
      <w:r w:rsidR="00502161" w:rsidRPr="003331EF">
        <w:rPr>
          <w:iCs/>
          <w:spacing w:val="-5"/>
          <w:lang w:eastAsia="en-US"/>
        </w:rPr>
        <w:t>CA</w:t>
      </w:r>
      <w:proofErr w:type="spellEnd"/>
      <w:r w:rsidR="00502161" w:rsidRPr="003331EF">
        <w:rPr>
          <w:iCs/>
          <w:spacing w:val="-5"/>
          <w:lang w:eastAsia="en-US"/>
        </w:rPr>
        <w:t xml:space="preserve"> määruse alusel Finantsinspektsioonilt.</w:t>
      </w:r>
      <w:r w:rsidR="00502161" w:rsidRPr="003331EF">
        <w:rPr>
          <w:lang w:eastAsia="en-US"/>
        </w:rPr>
        <w:t xml:space="preserve"> </w:t>
      </w:r>
    </w:p>
    <w:p w14:paraId="6AABB150" w14:textId="77777777" w:rsidR="005508E5" w:rsidRPr="003331EF" w:rsidRDefault="005508E5" w:rsidP="003331EF">
      <w:pPr>
        <w:spacing w:before="0"/>
        <w:rPr>
          <w:lang w:eastAsia="en-US"/>
        </w:rPr>
      </w:pPr>
    </w:p>
    <w:p w14:paraId="0E605166" w14:textId="16A84D8A" w:rsidR="005508E5" w:rsidRPr="003331EF" w:rsidRDefault="000A0985" w:rsidP="003331EF">
      <w:pPr>
        <w:spacing w:before="0"/>
        <w:rPr>
          <w:iCs/>
          <w:spacing w:val="-5"/>
          <w:lang w:eastAsia="en-US"/>
        </w:rPr>
      </w:pPr>
      <w:r w:rsidRPr="003331EF">
        <w:rPr>
          <w:iCs/>
          <w:spacing w:val="-5"/>
          <w:lang w:eastAsia="en-US"/>
        </w:rPr>
        <w:t>V</w:t>
      </w:r>
      <w:r w:rsidR="005508E5" w:rsidRPr="003331EF">
        <w:rPr>
          <w:iCs/>
          <w:spacing w:val="-5"/>
          <w:lang w:eastAsia="en-US"/>
        </w:rPr>
        <w:t xml:space="preserve">arasemalt suurenes </w:t>
      </w:r>
      <w:r w:rsidR="00D17EE5" w:rsidRPr="003331EF">
        <w:rPr>
          <w:iCs/>
          <w:spacing w:val="-5"/>
          <w:lang w:eastAsia="en-US"/>
        </w:rPr>
        <w:t>VASP-de</w:t>
      </w:r>
      <w:r w:rsidR="005508E5" w:rsidRPr="003331EF">
        <w:rPr>
          <w:iCs/>
          <w:spacing w:val="-5"/>
          <w:lang w:eastAsia="en-US"/>
        </w:rPr>
        <w:t xml:space="preserve"> arv väga kiiresti (2017–2019 väljastati virtuaalvääringu teenuste tegevuslubasid enam kui 1300 ettevõttele), sest Eesti oli üks esimesi Euroopa riike, kus virtuaalvääringu teenuste osutamisele kehtestati tegevusloakohustus.</w:t>
      </w:r>
      <w:r w:rsidRPr="003331EF">
        <w:rPr>
          <w:iCs/>
          <w:spacing w:val="-5"/>
          <w:lang w:eastAsia="en-US"/>
        </w:rPr>
        <w:t xml:space="preserve"> Käesolevaks hetkeks on see arv oluliselt vähenenud, kuna nõudeid virtuaalvääringu teenuse pakkumiseks karmistati oluliselt</w:t>
      </w:r>
      <w:r w:rsidR="00D0275E" w:rsidRPr="003331EF">
        <w:rPr>
          <w:iCs/>
          <w:spacing w:val="-5"/>
          <w:lang w:eastAsia="en-US"/>
        </w:rPr>
        <w:t xml:space="preserve"> tulenevalt eesmärgist maandada rahapesu ja terrorismi rahastamise riske.</w:t>
      </w:r>
      <w:r w:rsidR="0068303D" w:rsidRPr="003331EF">
        <w:rPr>
          <w:iCs/>
          <w:spacing w:val="-5"/>
          <w:lang w:eastAsia="en-US"/>
        </w:rPr>
        <w:t xml:space="preserve"> Selliste teenusepakkujatega seotud riskide maandamiseks võetavad meetmed võimaldasid parandada virtuaalvääringu teenuse pakkumise üle teostatavat järelevalvet ning tagada, et Eesti tegevusluba ei </w:t>
      </w:r>
      <w:r w:rsidR="0068303D" w:rsidRPr="003331EF">
        <w:rPr>
          <w:iCs/>
          <w:spacing w:val="-5"/>
          <w:lang w:eastAsia="en-US"/>
        </w:rPr>
        <w:lastRenderedPageBreak/>
        <w:t xml:space="preserve">oma need </w:t>
      </w:r>
      <w:r w:rsidR="00D17EE5" w:rsidRPr="003331EF">
        <w:rPr>
          <w:iCs/>
          <w:spacing w:val="-5"/>
          <w:lang w:eastAsia="en-US"/>
        </w:rPr>
        <w:t>VASP-d</w:t>
      </w:r>
      <w:r w:rsidR="0068303D" w:rsidRPr="003331EF">
        <w:rPr>
          <w:iCs/>
          <w:spacing w:val="-5"/>
          <w:lang w:eastAsia="en-US"/>
        </w:rPr>
        <w:t>, kellel ei ole kavatsust Eestis tegutsema asuda ja kelle üle ei ole võimalik Eestis järelevalvet teostada</w:t>
      </w:r>
      <w:r w:rsidR="00F275A0" w:rsidRPr="003331EF">
        <w:rPr>
          <w:rStyle w:val="Allmrkuseviide"/>
        </w:rPr>
        <w:footnoteReference w:id="31"/>
      </w:r>
      <w:r w:rsidR="00F275A0" w:rsidRPr="003331EF">
        <w:t xml:space="preserve"> </w:t>
      </w:r>
      <w:r w:rsidR="0068303D" w:rsidRPr="003331EF">
        <w:rPr>
          <w:iCs/>
          <w:spacing w:val="-5"/>
          <w:lang w:eastAsia="en-US"/>
        </w:rPr>
        <w:t xml:space="preserve">. </w:t>
      </w:r>
    </w:p>
    <w:p w14:paraId="201F6915" w14:textId="77777777" w:rsidR="005508E5" w:rsidRPr="003331EF" w:rsidRDefault="005508E5" w:rsidP="003331EF">
      <w:pPr>
        <w:spacing w:before="0"/>
        <w:ind w:left="360"/>
        <w:rPr>
          <w:i/>
        </w:rPr>
      </w:pPr>
    </w:p>
    <w:p w14:paraId="0E395551" w14:textId="2E3DBA80" w:rsidR="005508E5" w:rsidRPr="003331EF" w:rsidRDefault="00803172" w:rsidP="003331EF">
      <w:pPr>
        <w:spacing w:before="0"/>
        <w:rPr>
          <w:iCs/>
          <w:spacing w:val="-5"/>
          <w:lang w:eastAsia="en-US"/>
        </w:rPr>
      </w:pPr>
      <w:r w:rsidRPr="003331EF">
        <w:rPr>
          <w:iCs/>
          <w:spacing w:val="-5"/>
          <w:lang w:eastAsia="en-US"/>
        </w:rPr>
        <w:t xml:space="preserve">Lisaks sellele, et </w:t>
      </w:r>
      <w:proofErr w:type="spellStart"/>
      <w:r w:rsidRPr="003331EF">
        <w:rPr>
          <w:iCs/>
          <w:spacing w:val="-5"/>
          <w:lang w:eastAsia="en-US"/>
        </w:rPr>
        <w:t>M</w:t>
      </w:r>
      <w:r w:rsidR="0019289B">
        <w:rPr>
          <w:iCs/>
          <w:spacing w:val="-5"/>
          <w:lang w:eastAsia="en-US"/>
        </w:rPr>
        <w:t>i</w:t>
      </w:r>
      <w:r w:rsidRPr="003331EF">
        <w:rPr>
          <w:iCs/>
          <w:spacing w:val="-5"/>
          <w:lang w:eastAsia="en-US"/>
        </w:rPr>
        <w:t>CA</w:t>
      </w:r>
      <w:proofErr w:type="spellEnd"/>
      <w:r w:rsidRPr="003331EF">
        <w:rPr>
          <w:iCs/>
          <w:spacing w:val="-5"/>
          <w:lang w:eastAsia="en-US"/>
        </w:rPr>
        <w:t xml:space="preserve"> toob kaasa tegevusloa kohustuse </w:t>
      </w:r>
      <w:proofErr w:type="spellStart"/>
      <w:r w:rsidRPr="003331EF">
        <w:rPr>
          <w:iCs/>
          <w:spacing w:val="-5"/>
          <w:lang w:eastAsia="en-US"/>
        </w:rPr>
        <w:t>krüptovarateenuse</w:t>
      </w:r>
      <w:proofErr w:type="spellEnd"/>
      <w:r w:rsidRPr="003331EF">
        <w:rPr>
          <w:iCs/>
          <w:spacing w:val="-5"/>
          <w:lang w:eastAsia="en-US"/>
        </w:rPr>
        <w:t xml:space="preserve"> osutajatele, siis nähakse </w:t>
      </w:r>
      <w:proofErr w:type="spellStart"/>
      <w:r w:rsidRPr="003331EF">
        <w:rPr>
          <w:iCs/>
          <w:spacing w:val="-5"/>
          <w:lang w:eastAsia="en-US"/>
        </w:rPr>
        <w:t>M</w:t>
      </w:r>
      <w:r w:rsidR="0019289B">
        <w:rPr>
          <w:iCs/>
          <w:spacing w:val="-5"/>
          <w:lang w:eastAsia="en-US"/>
        </w:rPr>
        <w:t>i</w:t>
      </w:r>
      <w:r w:rsidRPr="003331EF">
        <w:rPr>
          <w:iCs/>
          <w:spacing w:val="-5"/>
          <w:lang w:eastAsia="en-US"/>
        </w:rPr>
        <w:t>CA-ga</w:t>
      </w:r>
      <w:proofErr w:type="spellEnd"/>
      <w:r w:rsidRPr="003331EF">
        <w:rPr>
          <w:iCs/>
          <w:spacing w:val="-5"/>
          <w:lang w:eastAsia="en-US"/>
        </w:rPr>
        <w:t xml:space="preserve"> eraldi nõuded ette ka </w:t>
      </w:r>
      <w:proofErr w:type="spellStart"/>
      <w:r w:rsidRPr="003331EF">
        <w:rPr>
          <w:iCs/>
          <w:spacing w:val="-5"/>
          <w:lang w:eastAsia="en-US"/>
        </w:rPr>
        <w:t>krüptovara</w:t>
      </w:r>
      <w:proofErr w:type="spellEnd"/>
      <w:r w:rsidRPr="003331EF">
        <w:rPr>
          <w:iCs/>
          <w:spacing w:val="-5"/>
          <w:lang w:eastAsia="en-US"/>
        </w:rPr>
        <w:t xml:space="preserve"> emitentidele – tänase seisuga on keeruline öelda, kas mõni tegutsev VASP võidakse klassifitseerida </w:t>
      </w:r>
      <w:proofErr w:type="spellStart"/>
      <w:r w:rsidRPr="003331EF">
        <w:rPr>
          <w:iCs/>
          <w:spacing w:val="-5"/>
          <w:lang w:eastAsia="en-US"/>
        </w:rPr>
        <w:t>krüptovara</w:t>
      </w:r>
      <w:proofErr w:type="spellEnd"/>
      <w:r w:rsidRPr="003331EF">
        <w:rPr>
          <w:iCs/>
          <w:spacing w:val="-5"/>
          <w:lang w:eastAsia="en-US"/>
        </w:rPr>
        <w:t xml:space="preserve"> emitendiks </w:t>
      </w:r>
      <w:proofErr w:type="spellStart"/>
      <w:r w:rsidRPr="003331EF">
        <w:rPr>
          <w:iCs/>
          <w:spacing w:val="-5"/>
          <w:lang w:eastAsia="en-US"/>
        </w:rPr>
        <w:t>M</w:t>
      </w:r>
      <w:r w:rsidR="0019289B">
        <w:rPr>
          <w:iCs/>
          <w:spacing w:val="-5"/>
          <w:lang w:eastAsia="en-US"/>
        </w:rPr>
        <w:t>i</w:t>
      </w:r>
      <w:r w:rsidRPr="003331EF">
        <w:rPr>
          <w:iCs/>
          <w:spacing w:val="-5"/>
          <w:lang w:eastAsia="en-US"/>
        </w:rPr>
        <w:t>CA</w:t>
      </w:r>
      <w:proofErr w:type="spellEnd"/>
      <w:r w:rsidRPr="003331EF">
        <w:rPr>
          <w:iCs/>
          <w:spacing w:val="-5"/>
          <w:lang w:eastAsia="en-US"/>
        </w:rPr>
        <w:t xml:space="preserve"> tähenduses. Tõenäoliselt mõningaid selliseid isikuid võib olla. </w:t>
      </w:r>
    </w:p>
    <w:p w14:paraId="1E6C7205" w14:textId="77777777" w:rsidR="009B51E4" w:rsidRPr="003331EF" w:rsidRDefault="009B51E4" w:rsidP="003331EF">
      <w:pPr>
        <w:spacing w:before="0"/>
        <w:rPr>
          <w:i/>
          <w:iCs/>
          <w:lang w:eastAsia="en-US"/>
        </w:rPr>
      </w:pPr>
    </w:p>
    <w:p w14:paraId="493EEA7F" w14:textId="5AE44DBD" w:rsidR="005508E5" w:rsidRPr="003331EF" w:rsidRDefault="005508E5" w:rsidP="003331EF">
      <w:pPr>
        <w:spacing w:before="0"/>
        <w:rPr>
          <w:iCs/>
          <w:spacing w:val="-5"/>
          <w:lang w:eastAsia="en-US"/>
        </w:rPr>
      </w:pPr>
      <w:r w:rsidRPr="003331EF">
        <w:rPr>
          <w:b/>
          <w:u w:val="single"/>
        </w:rPr>
        <w:t>Mõju ulatus:</w:t>
      </w:r>
      <w:r w:rsidRPr="003331EF">
        <w:rPr>
          <w:b/>
        </w:rPr>
        <w:t xml:space="preserve"> </w:t>
      </w:r>
      <w:proofErr w:type="spellStart"/>
      <w:r w:rsidRPr="003331EF">
        <w:rPr>
          <w:iCs/>
          <w:spacing w:val="-5"/>
          <w:lang w:eastAsia="en-US"/>
        </w:rPr>
        <w:t>Krüptovarateenuse</w:t>
      </w:r>
      <w:proofErr w:type="spellEnd"/>
      <w:r w:rsidRPr="003331EF">
        <w:rPr>
          <w:iCs/>
          <w:spacing w:val="-5"/>
          <w:lang w:eastAsia="en-US"/>
        </w:rPr>
        <w:t xml:space="preserve"> osutaja </w:t>
      </w:r>
      <w:r w:rsidR="001D7D9D" w:rsidRPr="003331EF">
        <w:rPr>
          <w:iCs/>
          <w:spacing w:val="-5"/>
          <w:lang w:eastAsia="en-US"/>
        </w:rPr>
        <w:t xml:space="preserve">ja </w:t>
      </w:r>
      <w:proofErr w:type="spellStart"/>
      <w:r w:rsidR="001D7D9D" w:rsidRPr="003331EF">
        <w:rPr>
          <w:iCs/>
          <w:spacing w:val="-5"/>
          <w:lang w:eastAsia="en-US"/>
        </w:rPr>
        <w:t>krüptovara</w:t>
      </w:r>
      <w:proofErr w:type="spellEnd"/>
      <w:r w:rsidR="001D7D9D" w:rsidRPr="003331EF">
        <w:rPr>
          <w:iCs/>
          <w:spacing w:val="-5"/>
          <w:lang w:eastAsia="en-US"/>
        </w:rPr>
        <w:t xml:space="preserve"> emitent </w:t>
      </w:r>
      <w:r w:rsidRPr="003331EF">
        <w:rPr>
          <w:iCs/>
          <w:spacing w:val="-5"/>
          <w:lang w:eastAsia="en-US"/>
        </w:rPr>
        <w:t>peab oma tegevuse vastavusse viima seadusest</w:t>
      </w:r>
      <w:r w:rsidR="001A4D75" w:rsidRPr="003331EF">
        <w:rPr>
          <w:iCs/>
          <w:spacing w:val="-5"/>
          <w:lang w:eastAsia="en-US"/>
        </w:rPr>
        <w:t xml:space="preserve">, sh </w:t>
      </w:r>
      <w:proofErr w:type="spellStart"/>
      <w:r w:rsidR="001A4D75" w:rsidRPr="003331EF">
        <w:rPr>
          <w:iCs/>
          <w:spacing w:val="-5"/>
          <w:lang w:eastAsia="en-US"/>
        </w:rPr>
        <w:t>M</w:t>
      </w:r>
      <w:r w:rsidR="0019289B">
        <w:rPr>
          <w:iCs/>
          <w:spacing w:val="-5"/>
          <w:lang w:eastAsia="en-US"/>
        </w:rPr>
        <w:t>i</w:t>
      </w:r>
      <w:r w:rsidR="001A4D75" w:rsidRPr="003331EF">
        <w:rPr>
          <w:iCs/>
          <w:spacing w:val="-5"/>
          <w:lang w:eastAsia="en-US"/>
        </w:rPr>
        <w:t>CA</w:t>
      </w:r>
      <w:proofErr w:type="spellEnd"/>
      <w:r w:rsidR="002658D6" w:rsidRPr="003331EF">
        <w:rPr>
          <w:iCs/>
          <w:spacing w:val="-5"/>
          <w:lang w:eastAsia="en-US"/>
        </w:rPr>
        <w:t>, DORA ja TFR</w:t>
      </w:r>
      <w:r w:rsidR="001A4D75" w:rsidRPr="003331EF">
        <w:rPr>
          <w:iCs/>
          <w:spacing w:val="-5"/>
          <w:lang w:eastAsia="en-US"/>
        </w:rPr>
        <w:t xml:space="preserve"> määrus</w:t>
      </w:r>
      <w:r w:rsidR="002658D6" w:rsidRPr="003331EF">
        <w:rPr>
          <w:iCs/>
          <w:spacing w:val="-5"/>
          <w:lang w:eastAsia="en-US"/>
        </w:rPr>
        <w:t>te</w:t>
      </w:r>
      <w:r w:rsidR="001A4D75" w:rsidRPr="003331EF">
        <w:rPr>
          <w:iCs/>
          <w:spacing w:val="-5"/>
          <w:lang w:eastAsia="en-US"/>
        </w:rPr>
        <w:t xml:space="preserve">st </w:t>
      </w:r>
      <w:r w:rsidRPr="003331EF">
        <w:rPr>
          <w:iCs/>
          <w:spacing w:val="-5"/>
          <w:lang w:eastAsia="en-US"/>
        </w:rPr>
        <w:t>tulenevate nõuetega, sealhulgas:</w:t>
      </w:r>
    </w:p>
    <w:p w14:paraId="51F78558" w14:textId="77777777" w:rsidR="00517CB3" w:rsidRPr="003331EF" w:rsidRDefault="005508E5" w:rsidP="003331EF">
      <w:pPr>
        <w:pStyle w:val="Loendilik"/>
        <w:numPr>
          <w:ilvl w:val="0"/>
          <w:numId w:val="61"/>
        </w:numPr>
        <w:rPr>
          <w:iCs/>
          <w:spacing w:val="-5"/>
        </w:rPr>
      </w:pPr>
      <w:r w:rsidRPr="003331EF">
        <w:rPr>
          <w:iCs/>
          <w:spacing w:val="-5"/>
        </w:rPr>
        <w:t>taotlema tegevusloa;</w:t>
      </w:r>
    </w:p>
    <w:p w14:paraId="5BB2F33D" w14:textId="77777777" w:rsidR="00517CB3" w:rsidRPr="003331EF" w:rsidRDefault="005508E5" w:rsidP="003331EF">
      <w:pPr>
        <w:pStyle w:val="Loendilik"/>
        <w:numPr>
          <w:ilvl w:val="0"/>
          <w:numId w:val="61"/>
        </w:numPr>
        <w:rPr>
          <w:iCs/>
          <w:spacing w:val="-5"/>
        </w:rPr>
      </w:pPr>
      <w:r w:rsidRPr="003331EF">
        <w:rPr>
          <w:iCs/>
          <w:spacing w:val="-5"/>
        </w:rPr>
        <w:t xml:space="preserve">omama </w:t>
      </w:r>
      <w:r w:rsidR="00517CB3" w:rsidRPr="003331EF">
        <w:rPr>
          <w:iCs/>
          <w:spacing w:val="-5"/>
        </w:rPr>
        <w:t xml:space="preserve">asjakohasel juhul </w:t>
      </w:r>
      <w:r w:rsidRPr="003331EF">
        <w:rPr>
          <w:iCs/>
          <w:spacing w:val="-5"/>
        </w:rPr>
        <w:t>nõuetekohaseid omavahendeid;</w:t>
      </w:r>
    </w:p>
    <w:p w14:paraId="0EB252C3" w14:textId="77777777" w:rsidR="00517CB3" w:rsidRPr="003331EF" w:rsidRDefault="005508E5" w:rsidP="003331EF">
      <w:pPr>
        <w:pStyle w:val="Loendilik"/>
        <w:numPr>
          <w:ilvl w:val="0"/>
          <w:numId w:val="61"/>
        </w:numPr>
        <w:rPr>
          <w:iCs/>
          <w:spacing w:val="-5"/>
        </w:rPr>
      </w:pPr>
      <w:r w:rsidRPr="003331EF">
        <w:rPr>
          <w:iCs/>
          <w:spacing w:val="-5"/>
        </w:rPr>
        <w:t xml:space="preserve">viima organisatsiooni ja selle juhtimissüsteemi vastavusse </w:t>
      </w:r>
      <w:r w:rsidR="00B25021" w:rsidRPr="003331EF">
        <w:rPr>
          <w:iCs/>
          <w:spacing w:val="-5"/>
        </w:rPr>
        <w:t>õigusaktidest</w:t>
      </w:r>
      <w:r w:rsidRPr="003331EF">
        <w:rPr>
          <w:iCs/>
          <w:spacing w:val="-5"/>
        </w:rPr>
        <w:t xml:space="preserve"> tulenevate nõuetega</w:t>
      </w:r>
      <w:r w:rsidR="00517CB3" w:rsidRPr="003331EF">
        <w:rPr>
          <w:iCs/>
          <w:spacing w:val="-5"/>
        </w:rPr>
        <w:t>;</w:t>
      </w:r>
    </w:p>
    <w:p w14:paraId="4F80C330" w14:textId="77777777" w:rsidR="00517CB3" w:rsidRPr="003331EF" w:rsidRDefault="005508E5" w:rsidP="003331EF">
      <w:pPr>
        <w:pStyle w:val="Loendilik"/>
        <w:numPr>
          <w:ilvl w:val="0"/>
          <w:numId w:val="61"/>
        </w:numPr>
        <w:rPr>
          <w:iCs/>
          <w:spacing w:val="-5"/>
        </w:rPr>
      </w:pPr>
      <w:r w:rsidRPr="003331EF">
        <w:rPr>
          <w:iCs/>
          <w:spacing w:val="-5"/>
        </w:rPr>
        <w:t xml:space="preserve">osutama teenust vastavalt </w:t>
      </w:r>
      <w:r w:rsidR="00B25021" w:rsidRPr="003331EF">
        <w:rPr>
          <w:iCs/>
          <w:spacing w:val="-5"/>
        </w:rPr>
        <w:t xml:space="preserve">õigusaktidest </w:t>
      </w:r>
      <w:r w:rsidRPr="003331EF">
        <w:rPr>
          <w:iCs/>
          <w:spacing w:val="-5"/>
        </w:rPr>
        <w:t>tulenevatele nõuetele;</w:t>
      </w:r>
    </w:p>
    <w:p w14:paraId="12EDE8B1" w14:textId="77777777" w:rsidR="00517CB3" w:rsidRPr="003331EF" w:rsidRDefault="005E6443" w:rsidP="003331EF">
      <w:pPr>
        <w:pStyle w:val="Loendilik"/>
        <w:numPr>
          <w:ilvl w:val="0"/>
          <w:numId w:val="61"/>
        </w:numPr>
        <w:rPr>
          <w:iCs/>
          <w:spacing w:val="-5"/>
        </w:rPr>
      </w:pPr>
      <w:r w:rsidRPr="003331EF">
        <w:rPr>
          <w:iCs/>
          <w:spacing w:val="-5"/>
        </w:rPr>
        <w:t>tagama digitaalse tegevuskerksuse kõrge taseme;</w:t>
      </w:r>
    </w:p>
    <w:p w14:paraId="47CC0CF8" w14:textId="77777777" w:rsidR="00517CB3" w:rsidRPr="003331EF" w:rsidRDefault="005508E5" w:rsidP="003331EF">
      <w:pPr>
        <w:pStyle w:val="Loendilik"/>
        <w:numPr>
          <w:ilvl w:val="0"/>
          <w:numId w:val="61"/>
        </w:numPr>
        <w:rPr>
          <w:iCs/>
          <w:spacing w:val="-5"/>
        </w:rPr>
      </w:pPr>
      <w:r w:rsidRPr="003331EF">
        <w:rPr>
          <w:iCs/>
          <w:spacing w:val="-5"/>
        </w:rPr>
        <w:t>alluma Finantsinspektsiooni järelevalvele, sh esitama oma tegevuse kohta aruandlust;</w:t>
      </w:r>
    </w:p>
    <w:p w14:paraId="5F998E4D" w14:textId="77777777" w:rsidR="00517CB3" w:rsidRPr="003331EF" w:rsidRDefault="005508E5" w:rsidP="003331EF">
      <w:pPr>
        <w:pStyle w:val="Loendilik"/>
        <w:numPr>
          <w:ilvl w:val="0"/>
          <w:numId w:val="61"/>
        </w:numPr>
        <w:rPr>
          <w:iCs/>
          <w:spacing w:val="-5"/>
        </w:rPr>
      </w:pPr>
      <w:r w:rsidRPr="003331EF">
        <w:rPr>
          <w:iCs/>
          <w:spacing w:val="-5"/>
        </w:rPr>
        <w:t>kandma vastutust, kui toimub kehtestatud nõuete rikkumine;</w:t>
      </w:r>
    </w:p>
    <w:p w14:paraId="4F7F0B7A" w14:textId="7F6EFAD4" w:rsidR="005508E5" w:rsidRPr="003331EF" w:rsidRDefault="005508E5" w:rsidP="003331EF">
      <w:pPr>
        <w:pStyle w:val="Loendilik"/>
        <w:numPr>
          <w:ilvl w:val="0"/>
          <w:numId w:val="61"/>
        </w:numPr>
        <w:rPr>
          <w:iCs/>
          <w:spacing w:val="-5"/>
        </w:rPr>
      </w:pPr>
      <w:r w:rsidRPr="003331EF">
        <w:rPr>
          <w:iCs/>
          <w:spacing w:val="-5"/>
        </w:rPr>
        <w:t>maksma järelevalvetasu.</w:t>
      </w:r>
    </w:p>
    <w:p w14:paraId="57E82D12" w14:textId="77777777" w:rsidR="005508E5" w:rsidRPr="003331EF" w:rsidRDefault="005508E5" w:rsidP="003331EF">
      <w:pPr>
        <w:spacing w:before="0"/>
        <w:rPr>
          <w:iCs/>
          <w:spacing w:val="-5"/>
          <w:lang w:eastAsia="en-US"/>
        </w:rPr>
      </w:pPr>
    </w:p>
    <w:p w14:paraId="0115FF02" w14:textId="180907B6" w:rsidR="005508E5" w:rsidRPr="003331EF" w:rsidRDefault="005508E5" w:rsidP="003331EF">
      <w:pPr>
        <w:spacing w:before="0"/>
        <w:rPr>
          <w:iCs/>
          <w:spacing w:val="-5"/>
          <w:lang w:eastAsia="en-US"/>
        </w:rPr>
      </w:pPr>
      <w:r w:rsidRPr="003331EF">
        <w:rPr>
          <w:iCs/>
          <w:spacing w:val="-5"/>
          <w:lang w:eastAsia="en-US"/>
        </w:rPr>
        <w:t xml:space="preserve">Siia alla kuuluvad teenuseosutajad, kes juba käesoleval ajal </w:t>
      </w:r>
      <w:r w:rsidR="001D7D9D" w:rsidRPr="003331EF">
        <w:rPr>
          <w:iCs/>
          <w:spacing w:val="-5"/>
          <w:lang w:eastAsia="en-US"/>
        </w:rPr>
        <w:t xml:space="preserve">virtuaalvääringu </w:t>
      </w:r>
      <w:r w:rsidRPr="003331EF">
        <w:rPr>
          <w:iCs/>
          <w:spacing w:val="-5"/>
          <w:lang w:eastAsia="en-US"/>
        </w:rPr>
        <w:t xml:space="preserve">teenust pakuvad kui ka uued ettevõtjad, kes soovivad </w:t>
      </w:r>
      <w:r w:rsidR="005E6443" w:rsidRPr="003331EF">
        <w:rPr>
          <w:iCs/>
          <w:spacing w:val="-5"/>
          <w:lang w:eastAsia="en-US"/>
        </w:rPr>
        <w:t xml:space="preserve">alles </w:t>
      </w:r>
      <w:proofErr w:type="spellStart"/>
      <w:r w:rsidR="005E6443" w:rsidRPr="003331EF">
        <w:rPr>
          <w:iCs/>
          <w:spacing w:val="-5"/>
          <w:lang w:eastAsia="en-US"/>
        </w:rPr>
        <w:t>krüptovara</w:t>
      </w:r>
      <w:r w:rsidRPr="003331EF">
        <w:rPr>
          <w:iCs/>
          <w:spacing w:val="-5"/>
          <w:lang w:eastAsia="en-US"/>
        </w:rPr>
        <w:t>turule</w:t>
      </w:r>
      <w:proofErr w:type="spellEnd"/>
      <w:r w:rsidRPr="003331EF">
        <w:rPr>
          <w:iCs/>
          <w:spacing w:val="-5"/>
          <w:lang w:eastAsia="en-US"/>
        </w:rPr>
        <w:t xml:space="preserve"> tulla. </w:t>
      </w:r>
    </w:p>
    <w:p w14:paraId="317FA9D4" w14:textId="77777777" w:rsidR="005E6443" w:rsidRPr="003331EF" w:rsidRDefault="005E6443" w:rsidP="003331EF">
      <w:pPr>
        <w:spacing w:before="0"/>
      </w:pPr>
    </w:p>
    <w:p w14:paraId="68FA172F" w14:textId="27636158" w:rsidR="00030442" w:rsidRPr="003331EF" w:rsidRDefault="005E6443" w:rsidP="003331EF">
      <w:pPr>
        <w:spacing w:before="0"/>
        <w:rPr>
          <w:iCs/>
          <w:spacing w:val="-5"/>
          <w:lang w:eastAsia="en-US"/>
        </w:rPr>
      </w:pPr>
      <w:r w:rsidRPr="003331EF">
        <w:rPr>
          <w:iCs/>
          <w:spacing w:val="-5"/>
          <w:lang w:eastAsia="en-US"/>
        </w:rPr>
        <w:t xml:space="preserve">Võib eeldada, et juba </w:t>
      </w:r>
      <w:proofErr w:type="spellStart"/>
      <w:r w:rsidRPr="003331EF">
        <w:rPr>
          <w:iCs/>
          <w:spacing w:val="-5"/>
          <w:lang w:eastAsia="en-US"/>
        </w:rPr>
        <w:t>krüptovaraturu</w:t>
      </w:r>
      <w:r w:rsidR="00517CB3" w:rsidRPr="003331EF">
        <w:rPr>
          <w:iCs/>
          <w:spacing w:val="-5"/>
          <w:lang w:eastAsia="en-US"/>
        </w:rPr>
        <w:t>l</w:t>
      </w:r>
      <w:proofErr w:type="spellEnd"/>
      <w:r w:rsidRPr="003331EF">
        <w:rPr>
          <w:iCs/>
          <w:spacing w:val="-5"/>
          <w:lang w:eastAsia="en-US"/>
        </w:rPr>
        <w:t xml:space="preserve"> tegutsevatele ettevõtjatele on </w:t>
      </w:r>
      <w:proofErr w:type="spellStart"/>
      <w:r w:rsidRPr="003331EF">
        <w:rPr>
          <w:iCs/>
          <w:spacing w:val="-5"/>
          <w:lang w:eastAsia="en-US"/>
        </w:rPr>
        <w:t>M</w:t>
      </w:r>
      <w:r w:rsidR="00EB54DE"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määrusele üleminek lihtsam ja sellega seotud halduskoormuse tõus pole nii suur, kui värskelt turule tulevatele ettevõtjatele</w:t>
      </w:r>
      <w:r w:rsidR="005B7E0E" w:rsidRPr="003331EF">
        <w:rPr>
          <w:iCs/>
          <w:spacing w:val="-5"/>
          <w:lang w:eastAsia="en-US"/>
        </w:rPr>
        <w:t xml:space="preserve">, kuna </w:t>
      </w:r>
      <w:proofErr w:type="spellStart"/>
      <w:r w:rsidR="005B7E0E" w:rsidRPr="003331EF">
        <w:rPr>
          <w:iCs/>
          <w:spacing w:val="-5"/>
          <w:lang w:eastAsia="en-US"/>
        </w:rPr>
        <w:t>RahaPTS</w:t>
      </w:r>
      <w:proofErr w:type="spellEnd"/>
      <w:r w:rsidR="005B7E0E" w:rsidRPr="003331EF">
        <w:rPr>
          <w:iCs/>
          <w:spacing w:val="-5"/>
          <w:lang w:eastAsia="en-US"/>
        </w:rPr>
        <w:t xml:space="preserve"> alusel peab nende tegevus juba enne </w:t>
      </w:r>
      <w:proofErr w:type="spellStart"/>
      <w:r w:rsidR="005B7E0E" w:rsidRPr="003331EF">
        <w:rPr>
          <w:iCs/>
          <w:spacing w:val="-5"/>
          <w:lang w:eastAsia="en-US"/>
        </w:rPr>
        <w:t>M</w:t>
      </w:r>
      <w:r w:rsidR="00EB54DE" w:rsidRPr="003331EF">
        <w:rPr>
          <w:iCs/>
          <w:spacing w:val="-5"/>
          <w:lang w:eastAsia="en-US"/>
        </w:rPr>
        <w:t>i</w:t>
      </w:r>
      <w:r w:rsidR="005B7E0E" w:rsidRPr="003331EF">
        <w:rPr>
          <w:iCs/>
          <w:spacing w:val="-5"/>
          <w:lang w:eastAsia="en-US"/>
        </w:rPr>
        <w:t>CA</w:t>
      </w:r>
      <w:proofErr w:type="spellEnd"/>
      <w:r w:rsidR="005B7E0E" w:rsidRPr="003331EF">
        <w:rPr>
          <w:iCs/>
          <w:spacing w:val="-5"/>
          <w:lang w:eastAsia="en-US"/>
        </w:rPr>
        <w:t xml:space="preserve"> </w:t>
      </w:r>
      <w:r w:rsidR="001D7D9D" w:rsidRPr="003331EF">
        <w:rPr>
          <w:iCs/>
          <w:spacing w:val="-5"/>
          <w:lang w:eastAsia="en-US"/>
        </w:rPr>
        <w:t xml:space="preserve">määruse </w:t>
      </w:r>
      <w:r w:rsidR="005B7E0E" w:rsidRPr="003331EF">
        <w:rPr>
          <w:iCs/>
          <w:spacing w:val="-5"/>
          <w:lang w:eastAsia="en-US"/>
        </w:rPr>
        <w:t>rakendamist vastavama teatud tegevusnõuetele</w:t>
      </w:r>
      <w:r w:rsidRPr="003331EF">
        <w:rPr>
          <w:iCs/>
          <w:spacing w:val="-5"/>
          <w:lang w:eastAsia="en-US"/>
        </w:rPr>
        <w:t xml:space="preserve">. </w:t>
      </w:r>
      <w:r w:rsidR="00030442" w:rsidRPr="003331EF">
        <w:rPr>
          <w:iCs/>
          <w:spacing w:val="-5"/>
          <w:lang w:eastAsia="en-US"/>
        </w:rPr>
        <w:t xml:space="preserve">Näiteks, kui </w:t>
      </w:r>
      <w:proofErr w:type="spellStart"/>
      <w:r w:rsidR="00030442" w:rsidRPr="003331EF">
        <w:rPr>
          <w:iCs/>
          <w:spacing w:val="-5"/>
          <w:lang w:eastAsia="en-US"/>
        </w:rPr>
        <w:t>RahaPTS</w:t>
      </w:r>
      <w:proofErr w:type="spellEnd"/>
      <w:r w:rsidR="00030442" w:rsidRPr="003331EF">
        <w:rPr>
          <w:iCs/>
          <w:spacing w:val="-5"/>
          <w:lang w:eastAsia="en-US"/>
        </w:rPr>
        <w:t xml:space="preserve"> kohaselt on virtuaalvääringu teenuse pakkuja algkapitalinõue 100 000 eurot või 250 000, sõltuvalt teenusest, mida ta osutab, siis </w:t>
      </w:r>
      <w:proofErr w:type="spellStart"/>
      <w:r w:rsidR="00030442" w:rsidRPr="003331EF">
        <w:rPr>
          <w:iCs/>
          <w:spacing w:val="-5"/>
          <w:lang w:eastAsia="en-US"/>
        </w:rPr>
        <w:t>M</w:t>
      </w:r>
      <w:r w:rsidR="00EB54DE" w:rsidRPr="003331EF">
        <w:rPr>
          <w:iCs/>
          <w:spacing w:val="-5"/>
          <w:lang w:eastAsia="en-US"/>
        </w:rPr>
        <w:t>i</w:t>
      </w:r>
      <w:r w:rsidR="00030442" w:rsidRPr="003331EF">
        <w:rPr>
          <w:iCs/>
          <w:spacing w:val="-5"/>
          <w:lang w:eastAsia="en-US"/>
        </w:rPr>
        <w:t>CA</w:t>
      </w:r>
      <w:proofErr w:type="spellEnd"/>
      <w:r w:rsidR="00030442" w:rsidRPr="003331EF">
        <w:rPr>
          <w:iCs/>
          <w:spacing w:val="-5"/>
          <w:lang w:eastAsia="en-US"/>
        </w:rPr>
        <w:t xml:space="preserve"> määruse kohaselt </w:t>
      </w:r>
      <w:r w:rsidR="00096913" w:rsidRPr="003331EF">
        <w:rPr>
          <w:iCs/>
          <w:spacing w:val="-5"/>
          <w:lang w:eastAsia="en-US"/>
        </w:rPr>
        <w:t xml:space="preserve">jääb </w:t>
      </w:r>
      <w:proofErr w:type="spellStart"/>
      <w:r w:rsidR="00096913" w:rsidRPr="003331EF">
        <w:rPr>
          <w:iCs/>
          <w:spacing w:val="-5"/>
          <w:lang w:eastAsia="en-US"/>
        </w:rPr>
        <w:t>krüptovarateenuse</w:t>
      </w:r>
      <w:proofErr w:type="spellEnd"/>
      <w:r w:rsidR="00096913" w:rsidRPr="003331EF">
        <w:rPr>
          <w:iCs/>
          <w:spacing w:val="-5"/>
          <w:lang w:eastAsia="en-US"/>
        </w:rPr>
        <w:t xml:space="preserve"> osutajate miinimumkapitalinõue vahemikku 50 000–150 000 eurot</w:t>
      </w:r>
      <w:r w:rsidR="008E7E73" w:rsidRPr="003331EF">
        <w:rPr>
          <w:iCs/>
          <w:spacing w:val="-5"/>
          <w:lang w:eastAsia="en-US"/>
        </w:rPr>
        <w:t xml:space="preserve">. Tegelik kapitalinõue sõltub </w:t>
      </w:r>
      <w:r w:rsidR="00B851A8" w:rsidRPr="003331EF">
        <w:rPr>
          <w:iCs/>
          <w:spacing w:val="-5"/>
          <w:lang w:eastAsia="en-US"/>
        </w:rPr>
        <w:t xml:space="preserve">ka </w:t>
      </w:r>
      <w:r w:rsidR="008E7E73" w:rsidRPr="003331EF">
        <w:rPr>
          <w:iCs/>
          <w:spacing w:val="-5"/>
          <w:lang w:eastAsia="en-US"/>
        </w:rPr>
        <w:t xml:space="preserve">eelmise aasta püsikulude suurusest. Nimelt peab </w:t>
      </w:r>
      <w:proofErr w:type="spellStart"/>
      <w:r w:rsidR="008E7E73" w:rsidRPr="003331EF">
        <w:rPr>
          <w:iCs/>
          <w:spacing w:val="-5"/>
          <w:lang w:eastAsia="en-US"/>
        </w:rPr>
        <w:t>krüptovarateenuse</w:t>
      </w:r>
      <w:proofErr w:type="spellEnd"/>
      <w:r w:rsidR="008E7E73" w:rsidRPr="003331EF">
        <w:rPr>
          <w:iCs/>
          <w:spacing w:val="-5"/>
          <w:lang w:eastAsia="en-US"/>
        </w:rPr>
        <w:t xml:space="preserve"> osutajal pidevalt olema usaldatavusnõuete kaitsepuhver, mille summa on vähemalt sama suur kui miinimumkapitalinõue sõltuvalt osutatavatest teenuste  või veerand eelmise aasta püsikuludest (ehk kumb suurus on suurem). </w:t>
      </w:r>
      <w:r w:rsidR="00096913" w:rsidRPr="003331EF">
        <w:rPr>
          <w:iCs/>
          <w:spacing w:val="-5"/>
          <w:lang w:eastAsia="en-US"/>
        </w:rPr>
        <w:t>S</w:t>
      </w:r>
      <w:r w:rsidR="008E7E73" w:rsidRPr="003331EF">
        <w:rPr>
          <w:iCs/>
          <w:spacing w:val="-5"/>
          <w:lang w:eastAsia="en-US"/>
        </w:rPr>
        <w:t>iiski</w:t>
      </w:r>
      <w:r w:rsidR="00096913" w:rsidRPr="003331EF">
        <w:rPr>
          <w:iCs/>
          <w:spacing w:val="-5"/>
          <w:lang w:eastAsia="en-US"/>
        </w:rPr>
        <w:t xml:space="preserve"> võib väita, et tegevust jätkata soovivad teenuseosutajad on juba hästi kapitaliseeritud ja </w:t>
      </w:r>
      <w:proofErr w:type="spellStart"/>
      <w:r w:rsidR="00096913" w:rsidRPr="003331EF">
        <w:rPr>
          <w:iCs/>
          <w:spacing w:val="-5"/>
          <w:lang w:eastAsia="en-US"/>
        </w:rPr>
        <w:t>M</w:t>
      </w:r>
      <w:r w:rsidR="00EB54DE" w:rsidRPr="003331EF">
        <w:rPr>
          <w:iCs/>
          <w:spacing w:val="-5"/>
          <w:lang w:eastAsia="en-US"/>
        </w:rPr>
        <w:t>i</w:t>
      </w:r>
      <w:r w:rsidR="00096913" w:rsidRPr="003331EF">
        <w:rPr>
          <w:iCs/>
          <w:spacing w:val="-5"/>
          <w:lang w:eastAsia="en-US"/>
        </w:rPr>
        <w:t>CA-le</w:t>
      </w:r>
      <w:proofErr w:type="spellEnd"/>
      <w:r w:rsidR="00096913" w:rsidRPr="003331EF">
        <w:rPr>
          <w:iCs/>
          <w:spacing w:val="-5"/>
          <w:lang w:eastAsia="en-US"/>
        </w:rPr>
        <w:t xml:space="preserve"> üleminek ei ole nii ressursimahukas. </w:t>
      </w:r>
    </w:p>
    <w:p w14:paraId="6D413C0B" w14:textId="77777777" w:rsidR="00B851A8" w:rsidRPr="003331EF" w:rsidRDefault="00B851A8" w:rsidP="003331EF">
      <w:pPr>
        <w:spacing w:before="0"/>
      </w:pPr>
    </w:p>
    <w:p w14:paraId="4FC2F4F7" w14:textId="2D8B2DC7" w:rsidR="00B851A8" w:rsidRPr="003331EF" w:rsidRDefault="00EB54DE" w:rsidP="003331EF">
      <w:pPr>
        <w:spacing w:before="0"/>
        <w:rPr>
          <w:iCs/>
          <w:spacing w:val="-5"/>
          <w:lang w:eastAsia="en-US"/>
        </w:rPr>
      </w:pPr>
      <w:r w:rsidRPr="003331EF">
        <w:rPr>
          <w:iCs/>
          <w:spacing w:val="-5"/>
          <w:lang w:eastAsia="en-US"/>
        </w:rPr>
        <w:t xml:space="preserve">Varapõhise </w:t>
      </w:r>
      <w:proofErr w:type="spellStart"/>
      <w:r w:rsidRPr="003331EF">
        <w:rPr>
          <w:iCs/>
          <w:spacing w:val="-5"/>
          <w:lang w:eastAsia="en-US"/>
        </w:rPr>
        <w:t>tokeni</w:t>
      </w:r>
      <w:proofErr w:type="spellEnd"/>
      <w:r w:rsidRPr="003331EF">
        <w:rPr>
          <w:iCs/>
          <w:spacing w:val="-5"/>
          <w:lang w:eastAsia="en-US"/>
        </w:rPr>
        <w:t xml:space="preserve"> emitendi</w:t>
      </w:r>
      <w:r w:rsidR="00B851A8" w:rsidRPr="003331EF">
        <w:rPr>
          <w:iCs/>
          <w:spacing w:val="-5"/>
          <w:lang w:eastAsia="en-US"/>
        </w:rPr>
        <w:t xml:space="preserve"> kapitalinõue on 350 000 eurot, 2% tagatisvara portfelli keskmisest suurusest või veerand eelnenud aasta püsikuludest (ehk milline suurus neist kolmest on suurem). </w:t>
      </w:r>
    </w:p>
    <w:p w14:paraId="34B4B9E2" w14:textId="77777777" w:rsidR="00CF377A" w:rsidRPr="003331EF" w:rsidRDefault="00CF377A" w:rsidP="003331EF">
      <w:pPr>
        <w:spacing w:before="0"/>
        <w:rPr>
          <w:iCs/>
          <w:spacing w:val="-5"/>
          <w:lang w:eastAsia="en-US"/>
        </w:rPr>
      </w:pPr>
    </w:p>
    <w:p w14:paraId="48D29C99" w14:textId="766C6E03" w:rsidR="00C30425" w:rsidRPr="003331EF" w:rsidRDefault="005E6443" w:rsidP="003331EF">
      <w:pPr>
        <w:spacing w:before="0"/>
        <w:rPr>
          <w:iCs/>
          <w:spacing w:val="-5"/>
          <w:lang w:eastAsia="en-US"/>
        </w:rPr>
      </w:pPr>
      <w:proofErr w:type="spellStart"/>
      <w:r w:rsidRPr="003331EF">
        <w:rPr>
          <w:iCs/>
          <w:spacing w:val="-5"/>
          <w:lang w:eastAsia="en-US"/>
        </w:rPr>
        <w:t>M</w:t>
      </w:r>
      <w:r w:rsidR="00EB54DE" w:rsidRPr="003331EF">
        <w:rPr>
          <w:iCs/>
          <w:spacing w:val="-5"/>
          <w:lang w:eastAsia="en-US"/>
        </w:rPr>
        <w:t>i</w:t>
      </w:r>
      <w:r w:rsidRPr="003331EF">
        <w:rPr>
          <w:iCs/>
          <w:spacing w:val="-5"/>
          <w:lang w:eastAsia="en-US"/>
        </w:rPr>
        <w:t>CA</w:t>
      </w:r>
      <w:proofErr w:type="spellEnd"/>
      <w:r w:rsidRPr="003331EF">
        <w:rPr>
          <w:iCs/>
          <w:spacing w:val="-5"/>
          <w:lang w:eastAsia="en-US"/>
        </w:rPr>
        <w:t xml:space="preserve"> määrusest ja DORA määrusest</w:t>
      </w:r>
      <w:r w:rsidR="005508E5" w:rsidRPr="003331EF">
        <w:rPr>
          <w:iCs/>
          <w:spacing w:val="-5"/>
          <w:lang w:eastAsia="en-US"/>
        </w:rPr>
        <w:t xml:space="preserve"> tulenevate nõuetega kooskõlla viimine võib eeldada </w:t>
      </w:r>
      <w:r w:rsidRPr="003331EF">
        <w:rPr>
          <w:iCs/>
          <w:spacing w:val="-5"/>
          <w:lang w:eastAsia="en-US"/>
        </w:rPr>
        <w:t>mh</w:t>
      </w:r>
      <w:r w:rsidR="005508E5" w:rsidRPr="003331EF">
        <w:rPr>
          <w:iCs/>
          <w:spacing w:val="-5"/>
          <w:lang w:eastAsia="en-US"/>
        </w:rPr>
        <w:t xml:space="preserve"> IT lahenduste, tehniliste töökorralduste ja süsteemide muutmist</w:t>
      </w:r>
      <w:r w:rsidRPr="003331EF">
        <w:rPr>
          <w:iCs/>
          <w:spacing w:val="-5"/>
          <w:lang w:eastAsia="en-US"/>
        </w:rPr>
        <w:t xml:space="preserve"> või ajakohastamist. Lisaks</w:t>
      </w:r>
      <w:r w:rsidR="005508E5" w:rsidRPr="003331EF">
        <w:rPr>
          <w:iCs/>
          <w:spacing w:val="-5"/>
          <w:lang w:eastAsia="en-US"/>
        </w:rPr>
        <w:t xml:space="preserve"> võib tekkida vajadus võtta tööle uusi isikuid</w:t>
      </w:r>
      <w:r w:rsidR="005B7E0E" w:rsidRPr="003331EF">
        <w:rPr>
          <w:iCs/>
          <w:spacing w:val="-5"/>
          <w:lang w:eastAsia="en-US"/>
        </w:rPr>
        <w:t xml:space="preserve">, tagades sealjuures, </w:t>
      </w:r>
      <w:r w:rsidR="005508E5" w:rsidRPr="003331EF">
        <w:rPr>
          <w:iCs/>
          <w:spacing w:val="-5"/>
          <w:lang w:eastAsia="en-US"/>
        </w:rPr>
        <w:t>et juh</w:t>
      </w:r>
      <w:r w:rsidR="00517CB3" w:rsidRPr="003331EF">
        <w:rPr>
          <w:iCs/>
          <w:spacing w:val="-5"/>
          <w:lang w:eastAsia="en-US"/>
        </w:rPr>
        <w:t>torgani liikmed</w:t>
      </w:r>
      <w:r w:rsidR="005508E5" w:rsidRPr="003331EF">
        <w:rPr>
          <w:iCs/>
          <w:spacing w:val="-5"/>
          <w:lang w:eastAsia="en-US"/>
        </w:rPr>
        <w:t xml:space="preserve"> (juhatuse ja nõukogu liikmed) vastaksid nn kutse- ja sobivusnõuetele. </w:t>
      </w:r>
      <w:r w:rsidR="00BC5375" w:rsidRPr="003331EF">
        <w:rPr>
          <w:iCs/>
          <w:spacing w:val="-5"/>
          <w:lang w:eastAsia="en-US"/>
        </w:rPr>
        <w:t>Eelnõu kohaselt peab juhatus koosnema vähemalt kahest liikmest j</w:t>
      </w:r>
      <w:r w:rsidR="00B26110" w:rsidRPr="003331EF">
        <w:rPr>
          <w:iCs/>
          <w:spacing w:val="-5"/>
          <w:lang w:eastAsia="en-US"/>
        </w:rPr>
        <w:t>a osaühingust nõukogus peab olema vähemalt kolm liiget.</w:t>
      </w:r>
      <w:r w:rsidR="005508E5" w:rsidRPr="003331EF">
        <w:rPr>
          <w:iCs/>
          <w:spacing w:val="-5"/>
          <w:lang w:eastAsia="en-US"/>
        </w:rPr>
        <w:t xml:space="preserve"> </w:t>
      </w:r>
      <w:r w:rsidR="00FA7F25" w:rsidRPr="003331EF">
        <w:rPr>
          <w:iCs/>
          <w:spacing w:val="-5"/>
          <w:lang w:eastAsia="en-US"/>
        </w:rPr>
        <w:t xml:space="preserve">Seega tähendab uute juhatuse ja nõukogu liikmete määramine täiendavaid tegevuskulusid ettevõtjale. </w:t>
      </w:r>
    </w:p>
    <w:p w14:paraId="52DBC2AD" w14:textId="77777777" w:rsidR="00C30425" w:rsidRPr="003331EF" w:rsidRDefault="00C30425" w:rsidP="003331EF">
      <w:pPr>
        <w:spacing w:before="0"/>
      </w:pPr>
    </w:p>
    <w:p w14:paraId="23B61E4D" w14:textId="7F191E08" w:rsidR="005508E5" w:rsidRPr="003331EF" w:rsidRDefault="00C30425" w:rsidP="003331EF">
      <w:pPr>
        <w:spacing w:before="0"/>
        <w:rPr>
          <w:iCs/>
          <w:spacing w:val="-5"/>
          <w:lang w:eastAsia="en-US"/>
        </w:rPr>
      </w:pPr>
      <w:r w:rsidRPr="003331EF">
        <w:rPr>
          <w:iCs/>
          <w:spacing w:val="-5"/>
          <w:lang w:eastAsia="en-US"/>
        </w:rPr>
        <w:lastRenderedPageBreak/>
        <w:t xml:space="preserve">Kuna </w:t>
      </w:r>
      <w:proofErr w:type="spellStart"/>
      <w:r w:rsidRPr="003331EF">
        <w:rPr>
          <w:iCs/>
          <w:spacing w:val="-5"/>
          <w:lang w:eastAsia="en-US"/>
        </w:rPr>
        <w:t>krüptovara</w:t>
      </w:r>
      <w:proofErr w:type="spellEnd"/>
      <w:r w:rsidRPr="003331EF">
        <w:rPr>
          <w:iCs/>
          <w:spacing w:val="-5"/>
          <w:lang w:eastAsia="en-US"/>
        </w:rPr>
        <w:t xml:space="preserve"> kohta nõu andvad isikud peavad vastama kutsesobivusnõuetele, võib see tähendada</w:t>
      </w:r>
      <w:r w:rsidR="005508E5" w:rsidRPr="003331EF">
        <w:rPr>
          <w:iCs/>
          <w:spacing w:val="-5"/>
          <w:lang w:eastAsia="en-US"/>
        </w:rPr>
        <w:t>, et töötajaid on vaja koolitad</w:t>
      </w:r>
      <w:r w:rsidR="00231E5D" w:rsidRPr="003331EF">
        <w:rPr>
          <w:iCs/>
          <w:spacing w:val="-5"/>
          <w:lang w:eastAsia="en-US"/>
        </w:rPr>
        <w:t xml:space="preserve">a. Seega võib majanduslik mõju avalduda </w:t>
      </w:r>
      <w:r w:rsidR="00791D5F" w:rsidRPr="003331EF">
        <w:rPr>
          <w:iCs/>
          <w:spacing w:val="-5"/>
          <w:lang w:eastAsia="en-US"/>
        </w:rPr>
        <w:t xml:space="preserve">ka </w:t>
      </w:r>
      <w:r w:rsidR="005508E5" w:rsidRPr="003331EF">
        <w:rPr>
          <w:iCs/>
          <w:spacing w:val="-5"/>
          <w:lang w:eastAsia="en-US"/>
        </w:rPr>
        <w:t>koolituskulud</w:t>
      </w:r>
      <w:r w:rsidR="00231E5D" w:rsidRPr="003331EF">
        <w:rPr>
          <w:iCs/>
          <w:spacing w:val="-5"/>
          <w:lang w:eastAsia="en-US"/>
        </w:rPr>
        <w:t>e suurenemises</w:t>
      </w:r>
      <w:r w:rsidR="005508E5" w:rsidRPr="003331EF">
        <w:rPr>
          <w:iCs/>
          <w:spacing w:val="-5"/>
          <w:lang w:eastAsia="en-US"/>
        </w:rPr>
        <w:t xml:space="preserve">. </w:t>
      </w:r>
    </w:p>
    <w:p w14:paraId="1CB5373B" w14:textId="77777777" w:rsidR="005508E5" w:rsidRPr="003331EF" w:rsidRDefault="005508E5" w:rsidP="003331EF">
      <w:pPr>
        <w:spacing w:before="0"/>
        <w:rPr>
          <w:i/>
          <w:iCs/>
        </w:rPr>
      </w:pPr>
    </w:p>
    <w:p w14:paraId="6BE47A73" w14:textId="791A7B1C" w:rsidR="005508E5" w:rsidRPr="003331EF" w:rsidRDefault="005508E5" w:rsidP="003331EF">
      <w:pPr>
        <w:spacing w:before="0"/>
        <w:rPr>
          <w:iCs/>
          <w:spacing w:val="-5"/>
          <w:lang w:eastAsia="en-US"/>
        </w:rPr>
      </w:pPr>
      <w:r w:rsidRPr="003331EF">
        <w:rPr>
          <w:iCs/>
          <w:spacing w:val="-5"/>
          <w:lang w:eastAsia="en-US"/>
        </w:rPr>
        <w:t>Lisaks avaldub majanduslik mõju menetlustasude ja järelevalvetasude maksmises. Eelnõu kohaselt tuleb tasuda</w:t>
      </w:r>
      <w:r w:rsidR="007013A8" w:rsidRPr="003331EF">
        <w:rPr>
          <w:iCs/>
          <w:spacing w:val="-5"/>
          <w:lang w:eastAsia="en-US"/>
        </w:rPr>
        <w:t xml:space="preserve"> Finantsinspektsioonile</w:t>
      </w:r>
      <w:r w:rsidRPr="003331EF">
        <w:rPr>
          <w:iCs/>
          <w:spacing w:val="-5"/>
          <w:lang w:eastAsia="en-US"/>
        </w:rPr>
        <w:t xml:space="preserve"> tegevusloa menetlustasu 3000 eurot, mis on ühekordne, kuid lisaks Finantsinspektsioonile makstavale tasule tuleb teha kulutusi tegevusloa taotluse dokumentatsiooni kokkusaamiseks (muuhulgas võib vajalikuks osutuda väljavõtete esitamine erinevate riikide registritest). </w:t>
      </w:r>
      <w:r w:rsidR="00E8042B" w:rsidRPr="003331EF">
        <w:rPr>
          <w:iCs/>
          <w:spacing w:val="-5"/>
          <w:lang w:eastAsia="en-US"/>
        </w:rPr>
        <w:t xml:space="preserve">Kui </w:t>
      </w:r>
      <w:proofErr w:type="spellStart"/>
      <w:r w:rsidR="00E8042B" w:rsidRPr="003331EF">
        <w:rPr>
          <w:iCs/>
          <w:spacing w:val="-5"/>
          <w:lang w:eastAsia="en-US"/>
        </w:rPr>
        <w:t>krüptovarateenuse</w:t>
      </w:r>
      <w:proofErr w:type="spellEnd"/>
      <w:r w:rsidR="00E8042B" w:rsidRPr="003331EF">
        <w:rPr>
          <w:iCs/>
          <w:spacing w:val="-5"/>
          <w:lang w:eastAsia="en-US"/>
        </w:rPr>
        <w:t xml:space="preserve"> osutaja või </w:t>
      </w:r>
      <w:proofErr w:type="spellStart"/>
      <w:r w:rsidR="00E8042B" w:rsidRPr="003331EF">
        <w:rPr>
          <w:iCs/>
          <w:spacing w:val="-5"/>
          <w:lang w:eastAsia="en-US"/>
        </w:rPr>
        <w:t>krüptovara</w:t>
      </w:r>
      <w:proofErr w:type="spellEnd"/>
      <w:r w:rsidR="00E8042B" w:rsidRPr="003331EF">
        <w:rPr>
          <w:iCs/>
          <w:spacing w:val="-5"/>
          <w:lang w:eastAsia="en-US"/>
        </w:rPr>
        <w:t xml:space="preserve"> emitent on juba F</w:t>
      </w:r>
      <w:r w:rsidR="007013A8" w:rsidRPr="003331EF">
        <w:rPr>
          <w:iCs/>
          <w:spacing w:val="-5"/>
          <w:lang w:eastAsia="en-US"/>
        </w:rPr>
        <w:t>inantsinspektsiooni</w:t>
      </w:r>
      <w:r w:rsidR="00E8042B" w:rsidRPr="003331EF">
        <w:rPr>
          <w:iCs/>
          <w:spacing w:val="-5"/>
          <w:lang w:eastAsia="en-US"/>
        </w:rPr>
        <w:t xml:space="preserve"> tegevusloa alusel tegutsev finantssektori ettevõtja, ei pea ta tegevusluba taotlema (on ainult FI teavitamine) ning seega ei avaldu </w:t>
      </w:r>
      <w:r w:rsidR="007013A8" w:rsidRPr="003331EF">
        <w:rPr>
          <w:iCs/>
          <w:spacing w:val="-5"/>
          <w:lang w:eastAsia="en-US"/>
        </w:rPr>
        <w:t>talle</w:t>
      </w:r>
      <w:r w:rsidR="00E8042B" w:rsidRPr="003331EF">
        <w:rPr>
          <w:iCs/>
          <w:spacing w:val="-5"/>
          <w:lang w:eastAsia="en-US"/>
        </w:rPr>
        <w:t xml:space="preserve"> ka menetlustasuga kaasnev majanduslik mõju. Küll aga peab krediidiasutuse </w:t>
      </w:r>
      <w:proofErr w:type="spellStart"/>
      <w:r w:rsidR="00E8042B" w:rsidRPr="003331EF">
        <w:rPr>
          <w:iCs/>
          <w:spacing w:val="-5"/>
          <w:lang w:eastAsia="en-US"/>
        </w:rPr>
        <w:t>krüptovara</w:t>
      </w:r>
      <w:proofErr w:type="spellEnd"/>
      <w:r w:rsidR="00E8042B" w:rsidRPr="003331EF">
        <w:rPr>
          <w:iCs/>
          <w:spacing w:val="-5"/>
          <w:lang w:eastAsia="en-US"/>
        </w:rPr>
        <w:t xml:space="preserve"> emitent valge raamatu kinnitamiseks tasuma 2000 eurot.</w:t>
      </w:r>
    </w:p>
    <w:p w14:paraId="373A7DDF" w14:textId="77777777" w:rsidR="005508E5" w:rsidRPr="003331EF" w:rsidRDefault="005508E5" w:rsidP="003331EF">
      <w:pPr>
        <w:spacing w:before="0"/>
        <w:rPr>
          <w:i/>
          <w:iCs/>
        </w:rPr>
      </w:pPr>
    </w:p>
    <w:p w14:paraId="59FBA3A9" w14:textId="401449AD" w:rsidR="005508E5" w:rsidRPr="003331EF" w:rsidRDefault="005508E5" w:rsidP="003331EF">
      <w:pPr>
        <w:spacing w:before="0"/>
        <w:rPr>
          <w:iCs/>
          <w:spacing w:val="-5"/>
          <w:lang w:eastAsia="en-US"/>
        </w:rPr>
      </w:pPr>
      <w:r w:rsidRPr="003331EF">
        <w:rPr>
          <w:iCs/>
          <w:spacing w:val="-5"/>
          <w:lang w:eastAsia="en-US"/>
        </w:rPr>
        <w:t xml:space="preserve">Järelevalvetasu on nii kapitali- kui ka mahupõhine ning seda tuleb tasuda kord aastas. Kui kapitaliosa on 1% algkapitalisummast, siis oleks see </w:t>
      </w:r>
      <w:proofErr w:type="spellStart"/>
      <w:r w:rsidR="005B7E0E" w:rsidRPr="003331EF">
        <w:rPr>
          <w:iCs/>
          <w:spacing w:val="-5"/>
          <w:lang w:eastAsia="en-US"/>
        </w:rPr>
        <w:t>krüptovarateenuse</w:t>
      </w:r>
      <w:proofErr w:type="spellEnd"/>
      <w:r w:rsidR="005B7E0E" w:rsidRPr="003331EF">
        <w:rPr>
          <w:iCs/>
          <w:spacing w:val="-5"/>
          <w:lang w:eastAsia="en-US"/>
        </w:rPr>
        <w:t xml:space="preserve"> </w:t>
      </w:r>
      <w:r w:rsidRPr="003331EF">
        <w:rPr>
          <w:iCs/>
          <w:spacing w:val="-5"/>
          <w:lang w:eastAsia="en-US"/>
        </w:rPr>
        <w:t xml:space="preserve">osutajate puhul </w:t>
      </w:r>
      <w:r w:rsidR="005B7E0E" w:rsidRPr="003331EF">
        <w:rPr>
          <w:iCs/>
          <w:spacing w:val="-5"/>
          <w:lang w:eastAsia="en-US"/>
        </w:rPr>
        <w:t>50</w:t>
      </w:r>
      <w:r w:rsidRPr="003331EF">
        <w:rPr>
          <w:iCs/>
          <w:spacing w:val="-5"/>
          <w:lang w:eastAsia="en-US"/>
        </w:rPr>
        <w:t>0</w:t>
      </w:r>
      <w:r w:rsidR="005B7E0E" w:rsidRPr="003331EF">
        <w:rPr>
          <w:iCs/>
          <w:spacing w:val="-5"/>
          <w:lang w:eastAsia="en-US"/>
        </w:rPr>
        <w:t>–1500</w:t>
      </w:r>
      <w:r w:rsidRPr="003331EF">
        <w:rPr>
          <w:iCs/>
          <w:spacing w:val="-5"/>
          <w:lang w:eastAsia="en-US"/>
        </w:rPr>
        <w:t xml:space="preserve"> eurot (lähtuvalt </w:t>
      </w:r>
      <w:r w:rsidR="005B7E0E" w:rsidRPr="003331EF">
        <w:rPr>
          <w:iCs/>
          <w:spacing w:val="-5"/>
          <w:lang w:eastAsia="en-US"/>
        </w:rPr>
        <w:t xml:space="preserve">kapitalinõude suurusest, mis jääb vahemikku </w:t>
      </w:r>
      <w:r w:rsidRPr="003331EF">
        <w:rPr>
          <w:iCs/>
          <w:spacing w:val="-5"/>
          <w:lang w:eastAsia="en-US"/>
        </w:rPr>
        <w:t>5</w:t>
      </w:r>
      <w:r w:rsidR="005B7E0E" w:rsidRPr="003331EF">
        <w:rPr>
          <w:iCs/>
          <w:spacing w:val="-5"/>
          <w:lang w:eastAsia="en-US"/>
        </w:rPr>
        <w:t>0 </w:t>
      </w:r>
      <w:r w:rsidRPr="003331EF">
        <w:rPr>
          <w:iCs/>
          <w:spacing w:val="-5"/>
          <w:lang w:eastAsia="en-US"/>
        </w:rPr>
        <w:t>000</w:t>
      </w:r>
      <w:r w:rsidR="005B7E0E" w:rsidRPr="003331EF">
        <w:rPr>
          <w:iCs/>
          <w:spacing w:val="-5"/>
          <w:lang w:eastAsia="en-US"/>
        </w:rPr>
        <w:t>–150 000</w:t>
      </w:r>
      <w:r w:rsidRPr="003331EF">
        <w:rPr>
          <w:iCs/>
          <w:spacing w:val="-5"/>
          <w:lang w:eastAsia="en-US"/>
        </w:rPr>
        <w:t xml:space="preserve"> eu</w:t>
      </w:r>
      <w:r w:rsidR="005B7E0E" w:rsidRPr="003331EF">
        <w:rPr>
          <w:iCs/>
          <w:spacing w:val="-5"/>
          <w:lang w:eastAsia="en-US"/>
        </w:rPr>
        <w:t>rot, sõltuvalt osutatavast teenusest</w:t>
      </w:r>
      <w:r w:rsidRPr="003331EF">
        <w:rPr>
          <w:iCs/>
          <w:spacing w:val="-5"/>
          <w:lang w:eastAsia="en-US"/>
        </w:rPr>
        <w:t xml:space="preserve">). </w:t>
      </w:r>
      <w:r w:rsidR="005B7E0E" w:rsidRPr="003331EF">
        <w:rPr>
          <w:iCs/>
          <w:spacing w:val="-5"/>
          <w:lang w:eastAsia="en-US"/>
        </w:rPr>
        <w:t>Mahuosa suurust on käesoleval hetkel keerulisem hinnata</w:t>
      </w:r>
      <w:r w:rsidR="001D7D9D" w:rsidRPr="003331EF">
        <w:rPr>
          <w:iCs/>
          <w:spacing w:val="-5"/>
          <w:lang w:eastAsia="en-US"/>
        </w:rPr>
        <w:t>, kuna puudub vastav statistika, mille pealt arvutused teha.</w:t>
      </w:r>
    </w:p>
    <w:p w14:paraId="4F4E0B11" w14:textId="77777777" w:rsidR="00E8042B" w:rsidRPr="003331EF" w:rsidRDefault="00E8042B" w:rsidP="003331EF">
      <w:pPr>
        <w:spacing w:before="0"/>
        <w:rPr>
          <w:iCs/>
          <w:spacing w:val="-5"/>
          <w:lang w:eastAsia="en-US"/>
        </w:rPr>
      </w:pPr>
    </w:p>
    <w:p w14:paraId="79C9664A" w14:textId="187C5FC8" w:rsidR="00635DED" w:rsidRPr="003331EF" w:rsidRDefault="00635DED" w:rsidP="003331EF">
      <w:pPr>
        <w:spacing w:before="0"/>
        <w:rPr>
          <w:iCs/>
          <w:spacing w:val="-5"/>
          <w:lang w:eastAsia="en-US"/>
        </w:rPr>
      </w:pPr>
      <w:r w:rsidRPr="003331EF">
        <w:rPr>
          <w:iCs/>
          <w:spacing w:val="-5"/>
          <w:lang w:eastAsia="en-US"/>
        </w:rPr>
        <w:t xml:space="preserve">Kui mõni Eesti </w:t>
      </w:r>
      <w:proofErr w:type="spellStart"/>
      <w:r w:rsidRPr="003331EF">
        <w:rPr>
          <w:iCs/>
          <w:spacing w:val="-5"/>
          <w:lang w:eastAsia="en-US"/>
        </w:rPr>
        <w:t>krüptovara</w:t>
      </w:r>
      <w:proofErr w:type="spellEnd"/>
      <w:r w:rsidRPr="003331EF">
        <w:rPr>
          <w:iCs/>
          <w:spacing w:val="-5"/>
          <w:lang w:eastAsia="en-US"/>
        </w:rPr>
        <w:t xml:space="preserve"> emitent määratakse oluliseks varapõhise </w:t>
      </w:r>
      <w:proofErr w:type="spellStart"/>
      <w:r w:rsidRPr="003331EF">
        <w:rPr>
          <w:iCs/>
          <w:spacing w:val="-5"/>
          <w:lang w:eastAsia="en-US"/>
        </w:rPr>
        <w:t>tokeni</w:t>
      </w:r>
      <w:proofErr w:type="spellEnd"/>
      <w:r w:rsidRPr="003331EF">
        <w:rPr>
          <w:iCs/>
          <w:spacing w:val="-5"/>
          <w:lang w:eastAsia="en-US"/>
        </w:rPr>
        <w:t xml:space="preserve"> või olulise e-raha </w:t>
      </w:r>
      <w:proofErr w:type="spellStart"/>
      <w:r w:rsidRPr="003331EF">
        <w:rPr>
          <w:iCs/>
          <w:spacing w:val="-5"/>
          <w:lang w:eastAsia="en-US"/>
        </w:rPr>
        <w:t>tokeni</w:t>
      </w:r>
      <w:proofErr w:type="spellEnd"/>
      <w:r w:rsidRPr="003331EF">
        <w:rPr>
          <w:iCs/>
          <w:spacing w:val="-5"/>
          <w:lang w:eastAsia="en-US"/>
        </w:rPr>
        <w:t xml:space="preserve"> emitendiks, siis ta läheb EBA järelevalve alla ning vastava järelevalvega seotud kulud oleksid täielikult kaetud </w:t>
      </w:r>
      <w:proofErr w:type="spellStart"/>
      <w:r w:rsidRPr="003331EF">
        <w:rPr>
          <w:iCs/>
          <w:spacing w:val="-5"/>
          <w:lang w:eastAsia="en-US"/>
        </w:rPr>
        <w:t>EBA-le</w:t>
      </w:r>
      <w:proofErr w:type="spellEnd"/>
      <w:r w:rsidRPr="003331EF">
        <w:rPr>
          <w:iCs/>
          <w:spacing w:val="-5"/>
          <w:lang w:eastAsia="en-US"/>
        </w:rPr>
        <w:t xml:space="preserve"> makstavatest tasudest. Tasu suurust ei ole võimalik käesoleval hetkel hinnata, kuna Komisjon alles võtab vastu delegeeritud õigusakti, milles täpsustatakse </w:t>
      </w:r>
      <w:proofErr w:type="spellStart"/>
      <w:r w:rsidRPr="003331EF">
        <w:rPr>
          <w:iCs/>
          <w:spacing w:val="-5"/>
          <w:lang w:eastAsia="en-US"/>
        </w:rPr>
        <w:t>EBA-le</w:t>
      </w:r>
      <w:proofErr w:type="spellEnd"/>
      <w:r w:rsidRPr="003331EF">
        <w:rPr>
          <w:iCs/>
          <w:spacing w:val="-5"/>
          <w:lang w:eastAsia="en-US"/>
        </w:rPr>
        <w:t xml:space="preserve"> tasutava maksimaalse summa arvutamise meetodit.</w:t>
      </w:r>
    </w:p>
    <w:p w14:paraId="7DBDEA10" w14:textId="77777777" w:rsidR="00635DED" w:rsidRPr="003331EF" w:rsidRDefault="00635DED" w:rsidP="003331EF">
      <w:pPr>
        <w:pStyle w:val="Normaallaad3"/>
        <w:shd w:val="clear" w:color="auto" w:fill="FFFFFF"/>
        <w:spacing w:before="0" w:beforeAutospacing="0" w:after="0" w:afterAutospacing="0"/>
        <w:jc w:val="both"/>
      </w:pPr>
    </w:p>
    <w:p w14:paraId="2C9B9653" w14:textId="28C8CA7C" w:rsidR="005508E5" w:rsidRPr="003331EF" w:rsidRDefault="005508E5" w:rsidP="003331EF">
      <w:pPr>
        <w:spacing w:before="0"/>
        <w:rPr>
          <w:iCs/>
          <w:spacing w:val="-5"/>
          <w:lang w:eastAsia="en-US"/>
        </w:rPr>
      </w:pPr>
      <w:r w:rsidRPr="003331EF">
        <w:rPr>
          <w:iCs/>
          <w:spacing w:val="-5"/>
          <w:lang w:eastAsia="en-US"/>
        </w:rPr>
        <w:t xml:space="preserve">Lisaks tuleb arvestada, et kui </w:t>
      </w:r>
      <w:proofErr w:type="spellStart"/>
      <w:r w:rsidR="00387DDB" w:rsidRPr="003331EF">
        <w:rPr>
          <w:iCs/>
          <w:spacing w:val="-5"/>
          <w:lang w:eastAsia="en-US"/>
        </w:rPr>
        <w:t>krüptovara</w:t>
      </w:r>
      <w:r w:rsidRPr="003331EF">
        <w:rPr>
          <w:iCs/>
          <w:spacing w:val="-5"/>
          <w:lang w:eastAsia="en-US"/>
        </w:rPr>
        <w:t>teenuse</w:t>
      </w:r>
      <w:proofErr w:type="spellEnd"/>
      <w:r w:rsidR="00387DDB" w:rsidRPr="003331EF">
        <w:rPr>
          <w:iCs/>
          <w:spacing w:val="-5"/>
          <w:lang w:eastAsia="en-US"/>
        </w:rPr>
        <w:t xml:space="preserve"> </w:t>
      </w:r>
      <w:r w:rsidRPr="003331EF">
        <w:rPr>
          <w:iCs/>
          <w:spacing w:val="-5"/>
          <w:lang w:eastAsia="en-US"/>
        </w:rPr>
        <w:t xml:space="preserve">osutaja rikub käesolevas seaduses ette nähtud nõudeid, siis võib Finantsinspektsioon teda sanktsioneerida väärteo korras kuni </w:t>
      </w:r>
      <w:r w:rsidR="005B7E0E" w:rsidRPr="003331EF">
        <w:rPr>
          <w:iCs/>
          <w:spacing w:val="-5"/>
          <w:lang w:eastAsia="en-US"/>
        </w:rPr>
        <w:t>5 0</w:t>
      </w:r>
      <w:r w:rsidRPr="003331EF">
        <w:rPr>
          <w:iCs/>
          <w:spacing w:val="-5"/>
          <w:lang w:eastAsia="en-US"/>
        </w:rPr>
        <w:t xml:space="preserve">00 000 euro ulatuses. </w:t>
      </w:r>
      <w:r w:rsidR="005B7E0E" w:rsidRPr="003331EF">
        <w:rPr>
          <w:iCs/>
          <w:spacing w:val="-5"/>
          <w:lang w:eastAsia="en-US"/>
        </w:rPr>
        <w:t xml:space="preserve">Füüsilise isiku puhul on rahatrahv kuni 700 000 eurot. Kui rikutakse </w:t>
      </w:r>
      <w:proofErr w:type="spellStart"/>
      <w:r w:rsidR="005B7E0E" w:rsidRPr="003331EF">
        <w:rPr>
          <w:iCs/>
          <w:spacing w:val="-5"/>
          <w:lang w:eastAsia="en-US"/>
        </w:rPr>
        <w:t>siseteabe</w:t>
      </w:r>
      <w:proofErr w:type="spellEnd"/>
      <w:r w:rsidR="005B7E0E" w:rsidRPr="003331EF">
        <w:rPr>
          <w:iCs/>
          <w:spacing w:val="-5"/>
          <w:lang w:eastAsia="en-US"/>
        </w:rPr>
        <w:t xml:space="preserve"> avalikustamise nõudeid või </w:t>
      </w:r>
      <w:bookmarkStart w:id="113" w:name="_Hlk131601502"/>
      <w:r w:rsidR="00CF4468" w:rsidRPr="003331EF">
        <w:rPr>
          <w:iCs/>
          <w:spacing w:val="-5"/>
          <w:lang w:eastAsia="en-US"/>
        </w:rPr>
        <w:t xml:space="preserve">turukuritarvituse ennetamise ja avastamise </w:t>
      </w:r>
      <w:bookmarkEnd w:id="113"/>
      <w:r w:rsidR="00CF4468" w:rsidRPr="003331EF">
        <w:rPr>
          <w:iCs/>
          <w:spacing w:val="-5"/>
          <w:lang w:eastAsia="en-US"/>
        </w:rPr>
        <w:t xml:space="preserve">nõudeid, on trahvid veelgi suuremad. </w:t>
      </w:r>
      <w:r w:rsidRPr="003331EF">
        <w:rPr>
          <w:iCs/>
          <w:spacing w:val="-5"/>
          <w:lang w:eastAsia="en-US"/>
        </w:rPr>
        <w:t>Siinkohal on oluline lisada, et finantsjärelevalvet teostatakse finantssektori stabiilsuse, usaldusväärsuse ja läbipaistvuse ning toimimise efektiivsuse suurendamise, süsteemsete riskide vähendamise ning finantssektori kuritegelikel eesmärkidel ärakasutamise tõkestamisele kaasaaitamise eesmärgil, et kaitsta klientide huve nende vahendite säilimisel ning seeläbi toetada Eesti rahasüsteemi stabiilsust. Seega finantsjärelevalve põhiline eesmärk on tagada, et finantsasutused suudavad tulevikus täita kliendi ees võetud kohustused, mh on järelevalve tööks ka tagada turutoimimise reeglite järgimine, sh et finantsteenuste tarbijatele esitatakse õiget ja täielikku teavet ning neid koheldakse õiglaselt. Enne väärteomenetlemise algatamist on Finantsinspektsioonil võimalik kaaluda ka muude meetmete rakendamist. Eelkõige on Finantsinspektsioonil võimalik õiguskorda kaitsta ettekirjutuse tegemise teel, nt teha ettekirjutus nii õigusaktide nõuete rikkumise eest (rikkumise lõpetamiseks) kui ka rikkumise ärahoidmiseks, mille mittetäitmisel on õigus rakendada sunniraha nii füüsilisele kui juriidilisele isikule.</w:t>
      </w:r>
    </w:p>
    <w:p w14:paraId="00F6364D" w14:textId="77777777" w:rsidR="005626DC" w:rsidRPr="003331EF" w:rsidRDefault="005626DC" w:rsidP="003331EF">
      <w:pPr>
        <w:spacing w:before="0"/>
      </w:pPr>
    </w:p>
    <w:p w14:paraId="7F13C6FF" w14:textId="141C62E6" w:rsidR="00CF4468" w:rsidRPr="003331EF" w:rsidRDefault="00CF4468" w:rsidP="003331EF">
      <w:pPr>
        <w:spacing w:before="0"/>
      </w:pPr>
      <w:r w:rsidRPr="003331EF">
        <w:rPr>
          <w:iCs/>
          <w:spacing w:val="-5"/>
          <w:lang w:eastAsia="en-US"/>
        </w:rPr>
        <w:t xml:space="preserve">Digitaalse tegevuskerksuse nõuete rakendamiseks peavad </w:t>
      </w:r>
      <w:proofErr w:type="spellStart"/>
      <w:r w:rsidRPr="003331EF">
        <w:rPr>
          <w:iCs/>
          <w:spacing w:val="-5"/>
          <w:lang w:eastAsia="en-US"/>
        </w:rPr>
        <w:t>krüptovarateenuse</w:t>
      </w:r>
      <w:proofErr w:type="spellEnd"/>
      <w:r w:rsidRPr="003331EF">
        <w:rPr>
          <w:iCs/>
          <w:spacing w:val="-5"/>
          <w:lang w:eastAsia="en-US"/>
        </w:rPr>
        <w:t xml:space="preserve"> osutajad</w:t>
      </w:r>
      <w:r w:rsidR="001407A2" w:rsidRPr="003331EF">
        <w:rPr>
          <w:iCs/>
          <w:spacing w:val="-5"/>
          <w:lang w:eastAsia="en-US"/>
        </w:rPr>
        <w:t xml:space="preserve"> ja </w:t>
      </w:r>
      <w:proofErr w:type="spellStart"/>
      <w:r w:rsidR="001407A2" w:rsidRPr="003331EF">
        <w:rPr>
          <w:iCs/>
          <w:spacing w:val="-5"/>
          <w:lang w:eastAsia="en-US"/>
        </w:rPr>
        <w:t>krüptovara</w:t>
      </w:r>
      <w:proofErr w:type="spellEnd"/>
      <w:r w:rsidR="001407A2" w:rsidRPr="003331EF">
        <w:rPr>
          <w:iCs/>
          <w:spacing w:val="-5"/>
          <w:lang w:eastAsia="en-US"/>
        </w:rPr>
        <w:t xml:space="preserve"> emitendid</w:t>
      </w:r>
      <w:r w:rsidRPr="003331EF">
        <w:rPr>
          <w:iCs/>
          <w:spacing w:val="-5"/>
          <w:lang w:eastAsia="en-US"/>
        </w:rPr>
        <w:t xml:space="preserve"> </w:t>
      </w:r>
      <w:r w:rsidR="00517CB3" w:rsidRPr="003331EF">
        <w:rPr>
          <w:iCs/>
          <w:spacing w:val="-5"/>
          <w:lang w:eastAsia="en-US"/>
        </w:rPr>
        <w:t xml:space="preserve">(ei kohaldu muu </w:t>
      </w:r>
      <w:proofErr w:type="spellStart"/>
      <w:r w:rsidR="00517CB3" w:rsidRPr="003331EF">
        <w:rPr>
          <w:iCs/>
          <w:spacing w:val="-5"/>
          <w:lang w:eastAsia="en-US"/>
        </w:rPr>
        <w:t>krüptovara</w:t>
      </w:r>
      <w:proofErr w:type="spellEnd"/>
      <w:r w:rsidR="00517CB3" w:rsidRPr="003331EF">
        <w:rPr>
          <w:iCs/>
          <w:spacing w:val="-5"/>
          <w:lang w:eastAsia="en-US"/>
        </w:rPr>
        <w:t xml:space="preserve"> emitentidele) </w:t>
      </w:r>
      <w:r w:rsidRPr="003331EF">
        <w:rPr>
          <w:iCs/>
          <w:spacing w:val="-5"/>
          <w:lang w:eastAsia="en-US"/>
        </w:rPr>
        <w:t xml:space="preserve">ilmselt teatud ümberkorraldusi tegema (nt juhtimisstruktuuri arendamine, IKT-riskide juhtimisraamistiku väljatöötamine jne), mis eeldab </w:t>
      </w:r>
      <w:r w:rsidR="001407A2" w:rsidRPr="003331EF">
        <w:rPr>
          <w:iCs/>
          <w:spacing w:val="-5"/>
          <w:lang w:eastAsia="en-US"/>
        </w:rPr>
        <w:t xml:space="preserve">mh </w:t>
      </w:r>
      <w:r w:rsidRPr="003331EF">
        <w:rPr>
          <w:iCs/>
          <w:spacing w:val="-5"/>
          <w:lang w:eastAsia="en-US"/>
        </w:rPr>
        <w:t>rahaliste vahendite kaasamist. Samas on DORA määruse üheks oluliseks põhimõtteks, et teenuseosutajad peaksid IKT-riski juhtimise raamistiku rakendamiseks ressursside ja suutlikkuse jaotamisel võtma oma IKT-</w:t>
      </w:r>
      <w:proofErr w:type="spellStart"/>
      <w:r w:rsidRPr="003331EF">
        <w:rPr>
          <w:iCs/>
          <w:spacing w:val="-5"/>
          <w:lang w:eastAsia="en-US"/>
        </w:rPr>
        <w:t>ga</w:t>
      </w:r>
      <w:proofErr w:type="spellEnd"/>
      <w:r w:rsidRPr="003331EF">
        <w:rPr>
          <w:iCs/>
          <w:spacing w:val="-5"/>
          <w:lang w:eastAsia="en-US"/>
        </w:rPr>
        <w:t xml:space="preserve"> seotud vajaduste puhul igakülgselt arvesse oma suurust ja üldist riskiprofiili ning oma teenuste, tegevuse ja toimingute laadi, ulatust ja keerukust. Seega ka kulud peaks olema proportsioonis asutuse suuruse ja tegevuse laadiga</w:t>
      </w:r>
      <w:r w:rsidRPr="003331EF">
        <w:t>.</w:t>
      </w:r>
      <w:r w:rsidR="00F275A0" w:rsidRPr="003331EF" w:rsidDel="00F275A0">
        <w:rPr>
          <w:rStyle w:val="Allmrkuseviide"/>
        </w:rPr>
        <w:t xml:space="preserve"> </w:t>
      </w:r>
    </w:p>
    <w:p w14:paraId="78044ED5" w14:textId="77777777" w:rsidR="001407A2" w:rsidRPr="003331EF" w:rsidRDefault="001407A2" w:rsidP="003331EF">
      <w:pPr>
        <w:spacing w:before="0"/>
      </w:pPr>
    </w:p>
    <w:p w14:paraId="368C06CE" w14:textId="5240047E" w:rsidR="00CF4468" w:rsidRPr="003331EF" w:rsidRDefault="00CF4468" w:rsidP="003331EF">
      <w:pPr>
        <w:spacing w:before="0"/>
        <w:rPr>
          <w:iCs/>
          <w:spacing w:val="-5"/>
          <w:lang w:eastAsia="en-US"/>
        </w:rPr>
      </w:pPr>
      <w:r w:rsidRPr="003331EF">
        <w:rPr>
          <w:iCs/>
          <w:spacing w:val="-5"/>
          <w:lang w:eastAsia="en-US"/>
        </w:rPr>
        <w:lastRenderedPageBreak/>
        <w:t xml:space="preserve">Digitaalse tegevuskerksuse baastestimise nõuded kohalduvad edaspidi ka </w:t>
      </w:r>
      <w:proofErr w:type="spellStart"/>
      <w:r w:rsidRPr="003331EF">
        <w:rPr>
          <w:iCs/>
          <w:spacing w:val="-5"/>
          <w:lang w:eastAsia="en-US"/>
        </w:rPr>
        <w:t>krüptovarateenuse</w:t>
      </w:r>
      <w:proofErr w:type="spellEnd"/>
      <w:r w:rsidRPr="003331EF">
        <w:rPr>
          <w:iCs/>
          <w:spacing w:val="-5"/>
          <w:lang w:eastAsia="en-US"/>
        </w:rPr>
        <w:t xml:space="preserve"> osutajatele, mistõttu ettevõtjad, kellele varasemalt ei ole analoogsed nõuded kohaldunud või neid pole sisekorrareeglites ette nähtud, peavad oma süsteemid ja protsessid viima vastavusse mh testimise nõuetega. </w:t>
      </w:r>
    </w:p>
    <w:p w14:paraId="215E1FD3" w14:textId="77777777" w:rsidR="002658D6" w:rsidRPr="003331EF" w:rsidRDefault="002658D6" w:rsidP="003331EF">
      <w:pPr>
        <w:spacing w:before="0"/>
        <w:rPr>
          <w:shd w:val="clear" w:color="auto" w:fill="FFFFFF"/>
        </w:rPr>
      </w:pPr>
    </w:p>
    <w:p w14:paraId="4D2F8B82" w14:textId="6B200A64" w:rsidR="0029175E" w:rsidRPr="003331EF" w:rsidRDefault="002658D6" w:rsidP="003331EF">
      <w:pPr>
        <w:spacing w:before="0"/>
        <w:rPr>
          <w:iCs/>
          <w:spacing w:val="-5"/>
          <w:lang w:eastAsia="en-US"/>
        </w:rPr>
      </w:pPr>
      <w:proofErr w:type="spellStart"/>
      <w:r w:rsidRPr="003331EF">
        <w:rPr>
          <w:iCs/>
          <w:spacing w:val="-5"/>
          <w:lang w:eastAsia="en-US"/>
        </w:rPr>
        <w:t>Krüptovara</w:t>
      </w:r>
      <w:proofErr w:type="spellEnd"/>
      <w:r w:rsidRPr="003331EF">
        <w:rPr>
          <w:iCs/>
          <w:spacing w:val="-5"/>
          <w:lang w:eastAsia="en-US"/>
        </w:rPr>
        <w:t xml:space="preserve"> ülekannetega teabe edastamise nõuetega seonduvate muudatuste </w:t>
      </w:r>
      <w:r w:rsidR="00517CB3" w:rsidRPr="003331EF">
        <w:rPr>
          <w:iCs/>
          <w:spacing w:val="-5"/>
          <w:lang w:eastAsia="en-US"/>
        </w:rPr>
        <w:t xml:space="preserve">(TFR määruse) </w:t>
      </w:r>
      <w:r w:rsidRPr="003331EF">
        <w:rPr>
          <w:iCs/>
          <w:spacing w:val="-5"/>
          <w:lang w:eastAsia="en-US"/>
        </w:rPr>
        <w:t xml:space="preserve">rakendamine kutsub esile mõned muudatused nende isikute tegevuses, kes praegu tegutsevad </w:t>
      </w:r>
      <w:r w:rsidR="00517CB3" w:rsidRPr="003331EF">
        <w:rPr>
          <w:iCs/>
          <w:spacing w:val="-5"/>
          <w:lang w:eastAsia="en-US"/>
        </w:rPr>
        <w:t>VASP</w:t>
      </w:r>
      <w:r w:rsidRPr="003331EF">
        <w:rPr>
          <w:iCs/>
          <w:spacing w:val="-5"/>
          <w:lang w:eastAsia="en-US"/>
        </w:rPr>
        <w:t xml:space="preserve"> tegevusloaga ja tulevikus soovivad </w:t>
      </w:r>
      <w:proofErr w:type="spellStart"/>
      <w:r w:rsidRPr="003331EF">
        <w:rPr>
          <w:iCs/>
          <w:spacing w:val="-5"/>
          <w:lang w:eastAsia="en-US"/>
        </w:rPr>
        <w:t>krüptovarateenuse</w:t>
      </w:r>
      <w:proofErr w:type="spellEnd"/>
      <w:r w:rsidRPr="003331EF">
        <w:rPr>
          <w:iCs/>
          <w:spacing w:val="-5"/>
          <w:lang w:eastAsia="en-US"/>
        </w:rPr>
        <w:t xml:space="preserve"> osutaja tegevusloa alusel tegutseda. Ka kehtiva </w:t>
      </w:r>
      <w:proofErr w:type="spellStart"/>
      <w:r w:rsidRPr="003331EF">
        <w:rPr>
          <w:iCs/>
          <w:spacing w:val="-5"/>
          <w:lang w:eastAsia="en-US"/>
        </w:rPr>
        <w:t>RahaPTS</w:t>
      </w:r>
      <w:proofErr w:type="spellEnd"/>
      <w:r w:rsidRPr="003331EF">
        <w:rPr>
          <w:iCs/>
          <w:spacing w:val="-5"/>
          <w:lang w:eastAsia="en-US"/>
        </w:rPr>
        <w:t xml:space="preserve">-i kohaselt peab virtuaalvääringu ülekandeteenuse osutamisel edastama koos ülekantava vääringuga asjakohase hoolsusmeetmetega kogutud informatsiooni. Uus regulatsioon on senisest mõnevõrra täpsem, sh kehtestades nõude kohaldada tugevdatud hoolsusmeetmeid alati, kui ülekandmise tehing on suunatud isehallatavale aadressile. Reeglite ühtlustamine üle kogu Euroopa Liidu avaldab teenuseosutajatele positiivset mõju, kuna ülekannetega seonduvate kohustuste täitmine olukorras, kus igas jurisdiktsioonis on erinevad nõuded, on kulukam, kui ühtlustatud reeglite tingimuses tegutsemine. Korrespondentsuhetega seonduvate reeglite ühtlustamine tagab võrdsema konkurentsiolukorra ja võib parandada </w:t>
      </w:r>
      <w:proofErr w:type="spellStart"/>
      <w:r w:rsidRPr="003331EF">
        <w:rPr>
          <w:iCs/>
          <w:spacing w:val="-5"/>
          <w:lang w:eastAsia="en-US"/>
        </w:rPr>
        <w:t>krüptovarateenuse</w:t>
      </w:r>
      <w:proofErr w:type="spellEnd"/>
      <w:r w:rsidRPr="003331EF">
        <w:rPr>
          <w:iCs/>
          <w:spacing w:val="-5"/>
          <w:lang w:eastAsia="en-US"/>
        </w:rPr>
        <w:t xml:space="preserve"> osutajate </w:t>
      </w:r>
      <w:r w:rsidR="0087315E" w:rsidRPr="003331EF">
        <w:rPr>
          <w:iCs/>
          <w:spacing w:val="-5"/>
          <w:lang w:eastAsia="en-US"/>
        </w:rPr>
        <w:t xml:space="preserve">klientide </w:t>
      </w:r>
      <w:r w:rsidRPr="003331EF">
        <w:rPr>
          <w:iCs/>
          <w:spacing w:val="-5"/>
          <w:lang w:eastAsia="en-US"/>
        </w:rPr>
        <w:t xml:space="preserve">võimalusi saada finantsteenuseid. </w:t>
      </w:r>
    </w:p>
    <w:p w14:paraId="29DE332E" w14:textId="77777777" w:rsidR="0029175E" w:rsidRPr="003331EF" w:rsidRDefault="0029175E" w:rsidP="003331EF">
      <w:pPr>
        <w:spacing w:before="0"/>
        <w:rPr>
          <w:shd w:val="clear" w:color="auto" w:fill="FFFFFF"/>
        </w:rPr>
      </w:pPr>
    </w:p>
    <w:p w14:paraId="1D9C9F03" w14:textId="7E5AA388" w:rsidR="002658D6" w:rsidRPr="003331EF" w:rsidRDefault="0029175E" w:rsidP="003331EF">
      <w:pPr>
        <w:spacing w:before="0"/>
        <w:rPr>
          <w:iCs/>
          <w:spacing w:val="-5"/>
          <w:lang w:eastAsia="en-US"/>
        </w:rPr>
      </w:pPr>
      <w:r w:rsidRPr="003331EF">
        <w:rPr>
          <w:iCs/>
          <w:spacing w:val="-5"/>
          <w:lang w:eastAsia="en-US"/>
        </w:rPr>
        <w:t xml:space="preserve">Seega </w:t>
      </w:r>
      <w:proofErr w:type="spellStart"/>
      <w:r w:rsidRPr="003331EF">
        <w:rPr>
          <w:iCs/>
          <w:spacing w:val="-5"/>
          <w:lang w:eastAsia="en-US"/>
        </w:rPr>
        <w:t>k</w:t>
      </w:r>
      <w:r w:rsidR="002658D6" w:rsidRPr="003331EF">
        <w:rPr>
          <w:iCs/>
          <w:spacing w:val="-5"/>
          <w:lang w:eastAsia="en-US"/>
        </w:rPr>
        <w:t>rüptovarateenuse</w:t>
      </w:r>
      <w:proofErr w:type="spellEnd"/>
      <w:r w:rsidR="002658D6" w:rsidRPr="003331EF">
        <w:rPr>
          <w:iCs/>
          <w:spacing w:val="-5"/>
          <w:lang w:eastAsia="en-US"/>
        </w:rPr>
        <w:t xml:space="preserve"> </w:t>
      </w:r>
      <w:r w:rsidRPr="003331EF">
        <w:rPr>
          <w:iCs/>
          <w:spacing w:val="-5"/>
          <w:lang w:eastAsia="en-US"/>
        </w:rPr>
        <w:t>osutajate</w:t>
      </w:r>
      <w:r w:rsidR="002658D6" w:rsidRPr="003331EF">
        <w:rPr>
          <w:iCs/>
          <w:spacing w:val="-5"/>
          <w:lang w:eastAsia="en-US"/>
        </w:rPr>
        <w:t xml:space="preserve"> allutamine tugevamale Euroopa Liidu õiguslikule raamistikule võib tõsta </w:t>
      </w:r>
      <w:proofErr w:type="spellStart"/>
      <w:r w:rsidR="002658D6" w:rsidRPr="003331EF">
        <w:rPr>
          <w:iCs/>
          <w:spacing w:val="-5"/>
          <w:lang w:eastAsia="en-US"/>
        </w:rPr>
        <w:t>krüptovarateenuse</w:t>
      </w:r>
      <w:proofErr w:type="spellEnd"/>
      <w:r w:rsidR="002658D6" w:rsidRPr="003331EF">
        <w:rPr>
          <w:iCs/>
          <w:spacing w:val="-5"/>
          <w:lang w:eastAsia="en-US"/>
        </w:rPr>
        <w:t xml:space="preserve"> pakkujate mainet ja tarbijate kindlustunnet, mis omakorda võib tõsta nõudlust </w:t>
      </w:r>
      <w:proofErr w:type="spellStart"/>
      <w:r w:rsidR="002658D6" w:rsidRPr="003331EF">
        <w:rPr>
          <w:iCs/>
          <w:spacing w:val="-5"/>
          <w:lang w:eastAsia="en-US"/>
        </w:rPr>
        <w:t>krüptovarateenuste</w:t>
      </w:r>
      <w:proofErr w:type="spellEnd"/>
      <w:r w:rsidR="002658D6" w:rsidRPr="003331EF">
        <w:rPr>
          <w:iCs/>
          <w:spacing w:val="-5"/>
          <w:lang w:eastAsia="en-US"/>
        </w:rPr>
        <w:t xml:space="preserve"> suhtes.</w:t>
      </w:r>
    </w:p>
    <w:p w14:paraId="452F0380" w14:textId="77777777" w:rsidR="002658D6" w:rsidRPr="003331EF" w:rsidRDefault="002658D6" w:rsidP="003331EF">
      <w:pPr>
        <w:spacing w:before="0"/>
      </w:pPr>
    </w:p>
    <w:p w14:paraId="786BD6C9" w14:textId="4591352D" w:rsidR="005508E5" w:rsidRPr="003331EF" w:rsidRDefault="005508E5" w:rsidP="003331EF">
      <w:pPr>
        <w:spacing w:before="0"/>
      </w:pPr>
      <w:r w:rsidRPr="003331EF">
        <w:rPr>
          <w:b/>
          <w:u w:val="single"/>
        </w:rPr>
        <w:t>Mõju avaldumise sagedus</w:t>
      </w:r>
      <w:r w:rsidRPr="003331EF">
        <w:rPr>
          <w:b/>
        </w:rPr>
        <w:t>:</w:t>
      </w:r>
      <w:r w:rsidRPr="003331EF">
        <w:t xml:space="preserve"> </w:t>
      </w:r>
      <w:proofErr w:type="spellStart"/>
      <w:r w:rsidR="001A4D75" w:rsidRPr="003331EF">
        <w:rPr>
          <w:iCs/>
          <w:spacing w:val="-5"/>
          <w:lang w:eastAsia="en-US"/>
        </w:rPr>
        <w:t>Krüptovarat</w:t>
      </w:r>
      <w:r w:rsidRPr="003331EF">
        <w:rPr>
          <w:iCs/>
          <w:spacing w:val="-5"/>
          <w:lang w:eastAsia="en-US"/>
        </w:rPr>
        <w:t>eenuse</w:t>
      </w:r>
      <w:proofErr w:type="spellEnd"/>
      <w:r w:rsidR="001A4D75" w:rsidRPr="003331EF">
        <w:rPr>
          <w:iCs/>
          <w:spacing w:val="-5"/>
          <w:lang w:eastAsia="en-US"/>
        </w:rPr>
        <w:t xml:space="preserve"> </w:t>
      </w:r>
      <w:r w:rsidRPr="003331EF">
        <w:rPr>
          <w:iCs/>
          <w:spacing w:val="-5"/>
          <w:lang w:eastAsia="en-US"/>
        </w:rPr>
        <w:t xml:space="preserve">osutaja </w:t>
      </w:r>
      <w:r w:rsidR="002B32AC" w:rsidRPr="003331EF">
        <w:rPr>
          <w:iCs/>
          <w:spacing w:val="-5"/>
          <w:lang w:eastAsia="en-US"/>
        </w:rPr>
        <w:t xml:space="preserve">ja </w:t>
      </w:r>
      <w:proofErr w:type="spellStart"/>
      <w:r w:rsidR="002B32AC" w:rsidRPr="003331EF">
        <w:rPr>
          <w:iCs/>
          <w:spacing w:val="-5"/>
          <w:lang w:eastAsia="en-US"/>
        </w:rPr>
        <w:t>krüptovara</w:t>
      </w:r>
      <w:proofErr w:type="spellEnd"/>
      <w:r w:rsidR="002B32AC" w:rsidRPr="003331EF">
        <w:rPr>
          <w:iCs/>
          <w:spacing w:val="-5"/>
          <w:lang w:eastAsia="en-US"/>
        </w:rPr>
        <w:t xml:space="preserve"> emitent </w:t>
      </w:r>
      <w:r w:rsidRPr="003331EF">
        <w:rPr>
          <w:iCs/>
          <w:spacing w:val="-5"/>
          <w:lang w:eastAsia="en-US"/>
        </w:rPr>
        <w:t xml:space="preserve">peab vastama õigusaktides esitatud nõuetele igal ajahetkel. Teenuseosutaja halduskoormuse kasv võib olla suurem eelkõige tegevuse algusfaasis, st tegevusloa taotlemise protsessi ajal, kui võib vaja minna mh õigusnõustaja ja sõltumatu eksperdi abi tehnoloogiliste lahenduste ja </w:t>
      </w:r>
      <w:proofErr w:type="spellStart"/>
      <w:r w:rsidRPr="003331EF">
        <w:rPr>
          <w:iCs/>
          <w:spacing w:val="-5"/>
          <w:lang w:eastAsia="en-US"/>
        </w:rPr>
        <w:t>küberturvalisuse</w:t>
      </w:r>
      <w:proofErr w:type="spellEnd"/>
      <w:r w:rsidRPr="003331EF">
        <w:rPr>
          <w:iCs/>
          <w:spacing w:val="-5"/>
          <w:lang w:eastAsia="en-US"/>
        </w:rPr>
        <w:t xml:space="preserve"> tagamise kohta, mis on taotlejale täiendav kulu. Uus regulatsioon tähendab ka teenuseosutaja püsikulude suurenemist. Teenuse osutamise ajal on mõju avaldamise sagedus pidev, kuivõrd teenuseosutaja tegevus peab igal ajal olema vastavuses </w:t>
      </w:r>
      <w:r w:rsidR="00791D5F" w:rsidRPr="003331EF">
        <w:rPr>
          <w:iCs/>
          <w:spacing w:val="-5"/>
          <w:lang w:eastAsia="en-US"/>
        </w:rPr>
        <w:t>õigusaktides sätestatud</w:t>
      </w:r>
      <w:r w:rsidRPr="003331EF">
        <w:rPr>
          <w:iCs/>
          <w:spacing w:val="-5"/>
          <w:lang w:eastAsia="en-US"/>
        </w:rPr>
        <w:t xml:space="preserve"> nõuetega.</w:t>
      </w:r>
    </w:p>
    <w:p w14:paraId="5C1BD248" w14:textId="77777777" w:rsidR="005508E5" w:rsidRPr="003331EF" w:rsidRDefault="005508E5" w:rsidP="003331EF">
      <w:pPr>
        <w:spacing w:before="0"/>
        <w:rPr>
          <w:i/>
          <w:iCs/>
        </w:rPr>
      </w:pPr>
    </w:p>
    <w:p w14:paraId="0069CF77" w14:textId="726E9467" w:rsidR="005508E5" w:rsidRPr="003331EF" w:rsidRDefault="005508E5" w:rsidP="003331EF">
      <w:pPr>
        <w:spacing w:before="0"/>
        <w:rPr>
          <w:iCs/>
          <w:spacing w:val="-5"/>
          <w:lang w:eastAsia="en-US"/>
        </w:rPr>
      </w:pPr>
      <w:r w:rsidRPr="003331EF">
        <w:rPr>
          <w:b/>
          <w:u w:val="single"/>
        </w:rPr>
        <w:t>Ebasoovitavate mõjude avaldumise risk</w:t>
      </w:r>
      <w:r w:rsidRPr="003331EF">
        <w:rPr>
          <w:b/>
        </w:rPr>
        <w:t>:</w:t>
      </w:r>
      <w:r w:rsidRPr="003331EF">
        <w:t xml:space="preserve"> </w:t>
      </w:r>
      <w:r w:rsidRPr="003331EF">
        <w:rPr>
          <w:iCs/>
          <w:spacing w:val="-5"/>
          <w:lang w:eastAsia="en-US"/>
        </w:rPr>
        <w:t>Seaduse vastuvõtmi</w:t>
      </w:r>
      <w:r w:rsidR="002B32AC" w:rsidRPr="003331EF">
        <w:rPr>
          <w:iCs/>
          <w:spacing w:val="-5"/>
          <w:lang w:eastAsia="en-US"/>
        </w:rPr>
        <w:t>ne</w:t>
      </w:r>
      <w:r w:rsidRPr="003331EF">
        <w:rPr>
          <w:iCs/>
          <w:spacing w:val="-5"/>
          <w:lang w:eastAsia="en-US"/>
        </w:rPr>
        <w:t xml:space="preserve"> </w:t>
      </w:r>
      <w:r w:rsidR="002B32AC" w:rsidRPr="003331EF">
        <w:rPr>
          <w:iCs/>
          <w:spacing w:val="-5"/>
          <w:lang w:eastAsia="en-US"/>
        </w:rPr>
        <w:t xml:space="preserve">ja kõrgendatud tegevusnõuete rakendamine võib tähenda, et </w:t>
      </w:r>
      <w:r w:rsidRPr="003331EF">
        <w:rPr>
          <w:iCs/>
          <w:spacing w:val="-5"/>
          <w:lang w:eastAsia="en-US"/>
        </w:rPr>
        <w:t>mõni käesoleval hetkel tegutsev ettevõtja</w:t>
      </w:r>
      <w:r w:rsidR="002B32AC" w:rsidRPr="003331EF">
        <w:rPr>
          <w:iCs/>
          <w:spacing w:val="-5"/>
          <w:lang w:eastAsia="en-US"/>
        </w:rPr>
        <w:t xml:space="preserve"> peab</w:t>
      </w:r>
      <w:r w:rsidRPr="003331EF">
        <w:rPr>
          <w:iCs/>
          <w:spacing w:val="-5"/>
          <w:lang w:eastAsia="en-US"/>
        </w:rPr>
        <w:t xml:space="preserve"> tegevuse lõpeta</w:t>
      </w:r>
      <w:r w:rsidR="002B32AC" w:rsidRPr="003331EF">
        <w:rPr>
          <w:iCs/>
          <w:spacing w:val="-5"/>
          <w:lang w:eastAsia="en-US"/>
        </w:rPr>
        <w:t>m</w:t>
      </w:r>
      <w:r w:rsidRPr="003331EF">
        <w:rPr>
          <w:iCs/>
          <w:spacing w:val="-5"/>
          <w:lang w:eastAsia="en-US"/>
        </w:rPr>
        <w:t>a (vt ka sotsiaalne mõju). Eelkõige võib olla põhjuseks see, et ettevõtja ei pruugi olla suuteline taotlema</w:t>
      </w:r>
      <w:r w:rsidR="00CF4468" w:rsidRPr="003331EF">
        <w:rPr>
          <w:iCs/>
          <w:spacing w:val="-5"/>
          <w:lang w:eastAsia="en-US"/>
        </w:rPr>
        <w:t xml:space="preserve"> </w:t>
      </w:r>
      <w:proofErr w:type="spellStart"/>
      <w:r w:rsidR="00CF4468" w:rsidRPr="003331EF">
        <w:rPr>
          <w:iCs/>
          <w:spacing w:val="-5"/>
          <w:lang w:eastAsia="en-US"/>
        </w:rPr>
        <w:t>M</w:t>
      </w:r>
      <w:r w:rsidR="0019289B">
        <w:rPr>
          <w:iCs/>
          <w:spacing w:val="-5"/>
          <w:lang w:eastAsia="en-US"/>
        </w:rPr>
        <w:t>i</w:t>
      </w:r>
      <w:r w:rsidR="00CF4468" w:rsidRPr="003331EF">
        <w:rPr>
          <w:iCs/>
          <w:spacing w:val="-5"/>
          <w:lang w:eastAsia="en-US"/>
        </w:rPr>
        <w:t>CA</w:t>
      </w:r>
      <w:proofErr w:type="spellEnd"/>
      <w:r w:rsidR="00CF4468" w:rsidRPr="003331EF">
        <w:rPr>
          <w:iCs/>
          <w:spacing w:val="-5"/>
          <w:lang w:eastAsia="en-US"/>
        </w:rPr>
        <w:t xml:space="preserve"> määruse nõetele vastavat</w:t>
      </w:r>
      <w:r w:rsidRPr="003331EF">
        <w:rPr>
          <w:iCs/>
          <w:spacing w:val="-5"/>
          <w:lang w:eastAsia="en-US"/>
        </w:rPr>
        <w:t xml:space="preserve"> tegevusluba. Tegevusloa taotlemisel tuleb esitada põhjalikult ettevalmistatud dokumendid ja andmed, mis peavad tõendama, et tegevusloa taotleja vastab </w:t>
      </w:r>
      <w:r w:rsidR="002B32AC" w:rsidRPr="003331EF">
        <w:rPr>
          <w:iCs/>
          <w:spacing w:val="-5"/>
          <w:lang w:eastAsia="en-US"/>
        </w:rPr>
        <w:t>õigusaktides</w:t>
      </w:r>
      <w:r w:rsidRPr="003331EF">
        <w:rPr>
          <w:iCs/>
          <w:spacing w:val="-5"/>
          <w:lang w:eastAsia="en-US"/>
        </w:rPr>
        <w:t xml:space="preserve"> ettenähtud nõutele</w:t>
      </w:r>
      <w:r w:rsidR="00CF4468" w:rsidRPr="003331EF">
        <w:rPr>
          <w:iCs/>
          <w:spacing w:val="-5"/>
          <w:lang w:eastAsia="en-US"/>
        </w:rPr>
        <w:t>.</w:t>
      </w:r>
    </w:p>
    <w:p w14:paraId="1C3AACCB" w14:textId="77777777" w:rsidR="001A4D75" w:rsidRPr="003331EF" w:rsidRDefault="001A4D75" w:rsidP="003331EF">
      <w:pPr>
        <w:spacing w:before="0"/>
        <w:rPr>
          <w:iCs/>
          <w:spacing w:val="-5"/>
          <w:lang w:eastAsia="en-US"/>
        </w:rPr>
      </w:pPr>
    </w:p>
    <w:p w14:paraId="7648C1FF" w14:textId="05DD2747" w:rsidR="005508E5" w:rsidRPr="003331EF" w:rsidRDefault="005508E5" w:rsidP="003331EF">
      <w:pPr>
        <w:spacing w:before="0"/>
        <w:rPr>
          <w:iCs/>
          <w:spacing w:val="-5"/>
          <w:lang w:eastAsia="en-US"/>
        </w:rPr>
      </w:pPr>
      <w:r w:rsidRPr="003331EF">
        <w:rPr>
          <w:iCs/>
          <w:spacing w:val="-5"/>
          <w:lang w:eastAsia="en-US"/>
        </w:rPr>
        <w:t xml:space="preserve">Samas võib käesoleval ajal tegutseda nii </w:t>
      </w:r>
      <w:proofErr w:type="spellStart"/>
      <w:r w:rsidRPr="003331EF">
        <w:rPr>
          <w:iCs/>
          <w:spacing w:val="-5"/>
          <w:lang w:eastAsia="en-US"/>
        </w:rPr>
        <w:t>krüptovara</w:t>
      </w:r>
      <w:proofErr w:type="spellEnd"/>
      <w:r w:rsidRPr="003331EF">
        <w:rPr>
          <w:iCs/>
          <w:spacing w:val="-5"/>
          <w:lang w:eastAsia="en-US"/>
        </w:rPr>
        <w:t xml:space="preserve"> turul ka ettevõtjaid, kelle eesmärgiks ei ole tegelikult </w:t>
      </w:r>
      <w:proofErr w:type="spellStart"/>
      <w:r w:rsidRPr="003331EF">
        <w:rPr>
          <w:iCs/>
          <w:spacing w:val="-5"/>
          <w:lang w:eastAsia="en-US"/>
        </w:rPr>
        <w:t>krüptovarateenuste</w:t>
      </w:r>
      <w:proofErr w:type="spellEnd"/>
      <w:r w:rsidRPr="003331EF">
        <w:rPr>
          <w:iCs/>
          <w:spacing w:val="-5"/>
          <w:lang w:eastAsia="en-US"/>
        </w:rPr>
        <w:t xml:space="preserve"> pakkumine ja reaalne tavapärane äritegevus, mistõttu võib olla regulatsiooni kehtestamisel ka n.ö „puhastav“ efekt. </w:t>
      </w:r>
    </w:p>
    <w:p w14:paraId="7A2E7064" w14:textId="77777777" w:rsidR="00B26110" w:rsidRPr="003331EF" w:rsidRDefault="00B26110" w:rsidP="003331EF">
      <w:pPr>
        <w:spacing w:before="0"/>
        <w:rPr>
          <w:iCs/>
          <w:spacing w:val="-5"/>
          <w:lang w:eastAsia="en-US"/>
        </w:rPr>
      </w:pPr>
    </w:p>
    <w:p w14:paraId="0D88CE80" w14:textId="10C91C65" w:rsidR="00B26110" w:rsidRPr="003331EF" w:rsidRDefault="008D7451" w:rsidP="003331EF">
      <w:pPr>
        <w:spacing w:before="0"/>
        <w:rPr>
          <w:iCs/>
          <w:spacing w:val="-5"/>
          <w:lang w:eastAsia="en-US"/>
        </w:rPr>
      </w:pPr>
      <w:r w:rsidRPr="003331EF">
        <w:rPr>
          <w:sz w:val="22"/>
          <w:szCs w:val="22"/>
        </w:rPr>
        <w:t>Samuti võib t</w:t>
      </w:r>
      <w:r w:rsidR="00B26110" w:rsidRPr="003331EF">
        <w:rPr>
          <w:sz w:val="22"/>
          <w:szCs w:val="22"/>
        </w:rPr>
        <w:t xml:space="preserve">uruosaliste hinnangul v osutuda keeruliseks leida juhtorganisse sobivusnõuetele vastavaid virtuaalvääringu valdkonna spetsialiste, mistõttu </w:t>
      </w:r>
      <w:proofErr w:type="spellStart"/>
      <w:r w:rsidR="00B26110" w:rsidRPr="003331EF">
        <w:rPr>
          <w:sz w:val="22"/>
          <w:szCs w:val="22"/>
        </w:rPr>
        <w:t>eettevõtted</w:t>
      </w:r>
      <w:proofErr w:type="spellEnd"/>
      <w:r w:rsidR="00B26110" w:rsidRPr="003331EF">
        <w:rPr>
          <w:sz w:val="22"/>
          <w:szCs w:val="22"/>
        </w:rPr>
        <w:t xml:space="preserve"> palkavad vormiliselt sobivaid inimesi, kes tegelikult ei ole valkonnaga kursis ning täidavad nn „tankisti“ rolli. </w:t>
      </w:r>
    </w:p>
    <w:p w14:paraId="0602A899" w14:textId="77777777" w:rsidR="00B26110" w:rsidRPr="003331EF" w:rsidRDefault="00B26110" w:rsidP="003331EF">
      <w:pPr>
        <w:spacing w:before="0"/>
        <w:rPr>
          <w:iCs/>
          <w:spacing w:val="-5"/>
          <w:lang w:eastAsia="en-US"/>
        </w:rPr>
      </w:pPr>
    </w:p>
    <w:p w14:paraId="2BAA5C31" w14:textId="0164EC07" w:rsidR="005508E5" w:rsidRPr="003331EF" w:rsidRDefault="005508E5" w:rsidP="003331EF">
      <w:pPr>
        <w:spacing w:before="0"/>
      </w:pPr>
      <w:r w:rsidRPr="003331EF">
        <w:rPr>
          <w:b/>
          <w:u w:val="single"/>
        </w:rPr>
        <w:t>Mõju olulisus:</w:t>
      </w:r>
      <w:r w:rsidRPr="003331EF">
        <w:t xml:space="preserve"> </w:t>
      </w:r>
      <w:r w:rsidRPr="003331EF">
        <w:rPr>
          <w:iCs/>
          <w:spacing w:val="-5"/>
          <w:lang w:eastAsia="en-US"/>
        </w:rPr>
        <w:t xml:space="preserve">Mõju teenuseosutajale, kes peab taotlema tegevusluba, on kindlasti olemas ehk mõju on pigem oluline. Halduskoormuse tõus ja täiendava ressursi vajadus, nii rahaline kui inimressurss. Samas üldises plaanis ei ole </w:t>
      </w:r>
      <w:r w:rsidR="00791D5F" w:rsidRPr="003331EF">
        <w:rPr>
          <w:iCs/>
          <w:spacing w:val="-5"/>
          <w:lang w:eastAsia="en-US"/>
        </w:rPr>
        <w:t>regulatsiooni</w:t>
      </w:r>
      <w:r w:rsidRPr="003331EF">
        <w:rPr>
          <w:iCs/>
          <w:spacing w:val="-5"/>
          <w:lang w:eastAsia="en-US"/>
        </w:rPr>
        <w:t xml:space="preserve"> kohaldumisalasse kuuluvaid teenuseosutajaid võrreldes kogu ettevõtete arvuga väga palju. Lisaks</w:t>
      </w:r>
      <w:r w:rsidR="003655C5" w:rsidRPr="003331EF">
        <w:rPr>
          <w:iCs/>
          <w:spacing w:val="-5"/>
          <w:lang w:eastAsia="en-US"/>
        </w:rPr>
        <w:t xml:space="preserve"> on</w:t>
      </w:r>
      <w:r w:rsidRPr="003331EF">
        <w:rPr>
          <w:iCs/>
          <w:spacing w:val="-5"/>
          <w:lang w:eastAsia="en-US"/>
        </w:rPr>
        <w:t xml:space="preserve"> nende mahud võrreldes kogu finantssekori mahtudega siiski väikesed. </w:t>
      </w:r>
      <w:r w:rsidR="008D67DC" w:rsidRPr="003331EF">
        <w:rPr>
          <w:iCs/>
          <w:spacing w:val="-5"/>
          <w:lang w:eastAsia="en-US"/>
        </w:rPr>
        <w:t xml:space="preserve">Kuigi </w:t>
      </w:r>
      <w:proofErr w:type="spellStart"/>
      <w:r w:rsidR="008D67DC" w:rsidRPr="003331EF">
        <w:rPr>
          <w:iCs/>
          <w:spacing w:val="-5"/>
          <w:lang w:eastAsia="en-US"/>
        </w:rPr>
        <w:t>krüptovaraturg</w:t>
      </w:r>
      <w:proofErr w:type="spellEnd"/>
      <w:r w:rsidR="008D67DC" w:rsidRPr="003331EF">
        <w:rPr>
          <w:iCs/>
          <w:spacing w:val="-5"/>
          <w:lang w:eastAsia="en-US"/>
        </w:rPr>
        <w:t xml:space="preserve"> on suuruselt tagasihoidlik ega kujuta endast hetkel ohtu finantsstabiilsusele, võib olukord muutuda, kui tekivad nn ülemaailmsed stabiilsed </w:t>
      </w:r>
      <w:proofErr w:type="spellStart"/>
      <w:r w:rsidR="008D67DC" w:rsidRPr="003331EF">
        <w:rPr>
          <w:iCs/>
          <w:spacing w:val="-5"/>
          <w:lang w:eastAsia="en-US"/>
        </w:rPr>
        <w:t>krüptovarad</w:t>
      </w:r>
      <w:proofErr w:type="spellEnd"/>
      <w:r w:rsidR="008D67DC" w:rsidRPr="003331EF">
        <w:rPr>
          <w:iCs/>
          <w:spacing w:val="-5"/>
          <w:lang w:eastAsia="en-US"/>
        </w:rPr>
        <w:t xml:space="preserve">, mille puhul püütakse saavutada laialdasemat kasutuselevõttu selle abil, et </w:t>
      </w:r>
      <w:r w:rsidR="008D67DC" w:rsidRPr="003331EF">
        <w:rPr>
          <w:iCs/>
          <w:spacing w:val="-5"/>
          <w:lang w:eastAsia="en-US"/>
        </w:rPr>
        <w:lastRenderedPageBreak/>
        <w:t>neile lisatakse nende väärtust stabiliseerivaid elemente ja kasutatakse ära neid varasid propageerivatest äriühingutest tulenevat võrguefekti</w:t>
      </w:r>
      <w:r w:rsidR="008D67DC" w:rsidRPr="003331EF">
        <w:t>.</w:t>
      </w:r>
      <w:r w:rsidR="008D67DC" w:rsidRPr="003331EF">
        <w:rPr>
          <w:rStyle w:val="footnotereference"/>
          <w:rFonts w:eastAsiaTheme="majorEastAsia"/>
          <w:shd w:val="clear" w:color="auto" w:fill="FFFFFF"/>
        </w:rPr>
        <w:t> </w:t>
      </w:r>
    </w:p>
    <w:p w14:paraId="17513FB6" w14:textId="77777777" w:rsidR="00CF4468" w:rsidRPr="003331EF" w:rsidRDefault="00CF4468" w:rsidP="003331EF">
      <w:pPr>
        <w:spacing w:before="0"/>
        <w:rPr>
          <w:i/>
          <w:iCs/>
        </w:rPr>
      </w:pPr>
    </w:p>
    <w:p w14:paraId="419F8656" w14:textId="6EECFAB6" w:rsidR="005508E5" w:rsidRPr="003331EF" w:rsidRDefault="005508E5" w:rsidP="003331EF">
      <w:pPr>
        <w:spacing w:before="0"/>
        <w:rPr>
          <w:iCs/>
          <w:spacing w:val="-5"/>
          <w:lang w:eastAsia="en-US"/>
        </w:rPr>
      </w:pPr>
      <w:r w:rsidRPr="003331EF">
        <w:rPr>
          <w:iCs/>
          <w:spacing w:val="-5"/>
          <w:lang w:eastAsia="en-US"/>
        </w:rPr>
        <w:t xml:space="preserve">Lisaks tasub märkida, et eelnõu võib mõjutada selle sektori arengut ka selgelt positiivses suunas. Seda eelkõige põhjusel, et eelnõuga kaasnevate nõuete tõttu võivad </w:t>
      </w:r>
      <w:proofErr w:type="spellStart"/>
      <w:r w:rsidR="002B32AC" w:rsidRPr="003331EF">
        <w:rPr>
          <w:iCs/>
          <w:spacing w:val="-5"/>
          <w:lang w:eastAsia="en-US"/>
        </w:rPr>
        <w:t>krüpotovara</w:t>
      </w:r>
      <w:proofErr w:type="spellEnd"/>
      <w:r w:rsidR="002B32AC" w:rsidRPr="003331EF">
        <w:rPr>
          <w:iCs/>
          <w:spacing w:val="-5"/>
          <w:lang w:eastAsia="en-US"/>
        </w:rPr>
        <w:t xml:space="preserve"> kliendid</w:t>
      </w:r>
      <w:r w:rsidRPr="003331EF">
        <w:rPr>
          <w:iCs/>
          <w:spacing w:val="-5"/>
          <w:lang w:eastAsia="en-US"/>
        </w:rPr>
        <w:t xml:space="preserve"> senisest rohkem usaldada investeerimist antud valdkonda</w:t>
      </w:r>
      <w:r w:rsidR="00CF4468" w:rsidRPr="003331EF">
        <w:rPr>
          <w:iCs/>
          <w:spacing w:val="-5"/>
          <w:lang w:eastAsia="en-US"/>
        </w:rPr>
        <w:t xml:space="preserve">, </w:t>
      </w:r>
      <w:r w:rsidRPr="003331EF">
        <w:rPr>
          <w:iCs/>
          <w:spacing w:val="-5"/>
          <w:lang w:eastAsia="en-US"/>
        </w:rPr>
        <w:t>mis võib kaasa tuua üldise teenuste mahu kasvu</w:t>
      </w:r>
      <w:r w:rsidR="00CF4468" w:rsidRPr="003331EF">
        <w:rPr>
          <w:iCs/>
          <w:spacing w:val="-5"/>
          <w:lang w:eastAsia="en-US"/>
        </w:rPr>
        <w:t>.</w:t>
      </w:r>
    </w:p>
    <w:p w14:paraId="26DCFE38" w14:textId="77777777" w:rsidR="00502161" w:rsidRPr="003331EF" w:rsidRDefault="00502161" w:rsidP="003331EF">
      <w:pPr>
        <w:spacing w:before="0"/>
        <w:rPr>
          <w:b/>
        </w:rPr>
      </w:pPr>
    </w:p>
    <w:p w14:paraId="2E75DB95" w14:textId="7BD684D1" w:rsidR="00502161" w:rsidRPr="003331EF" w:rsidRDefault="00CA68EB" w:rsidP="003331EF">
      <w:pPr>
        <w:spacing w:before="0"/>
        <w:rPr>
          <w:b/>
        </w:rPr>
      </w:pPr>
      <w:r w:rsidRPr="003331EF">
        <w:rPr>
          <w:b/>
        </w:rPr>
        <w:t>6.</w:t>
      </w:r>
      <w:r w:rsidR="00C0771D" w:rsidRPr="003331EF">
        <w:rPr>
          <w:b/>
        </w:rPr>
        <w:t>1</w:t>
      </w:r>
      <w:r w:rsidRPr="003331EF">
        <w:rPr>
          <w:b/>
        </w:rPr>
        <w:t>.</w:t>
      </w:r>
      <w:r w:rsidR="00803172" w:rsidRPr="003331EF">
        <w:rPr>
          <w:b/>
        </w:rPr>
        <w:t>2</w:t>
      </w:r>
      <w:r w:rsidR="00502161" w:rsidRPr="003331EF">
        <w:rPr>
          <w:b/>
        </w:rPr>
        <w:t xml:space="preserve">. Majanduslik mõju tegevusloata väikefondi valitsejatele </w:t>
      </w:r>
    </w:p>
    <w:p w14:paraId="0013462F" w14:textId="77777777" w:rsidR="00502161" w:rsidRPr="003331EF" w:rsidRDefault="00502161" w:rsidP="003331EF">
      <w:pPr>
        <w:spacing w:before="0"/>
        <w:rPr>
          <w:b/>
        </w:rPr>
      </w:pPr>
    </w:p>
    <w:p w14:paraId="7A75B2A0" w14:textId="47F12361" w:rsidR="00502161" w:rsidRPr="003331EF" w:rsidRDefault="00502161" w:rsidP="003331EF">
      <w:pPr>
        <w:spacing w:before="0"/>
      </w:pPr>
      <w:r w:rsidRPr="003331EF">
        <w:rPr>
          <w:b/>
          <w:u w:val="single"/>
        </w:rPr>
        <w:t>Sihtrühm:</w:t>
      </w:r>
      <w:r w:rsidRPr="003331EF">
        <w:rPr>
          <w:b/>
        </w:rPr>
        <w:t xml:space="preserve"> </w:t>
      </w:r>
      <w:r w:rsidRPr="003331EF">
        <w:rPr>
          <w:iCs/>
          <w:spacing w:val="-5"/>
          <w:lang w:eastAsia="en-US"/>
        </w:rPr>
        <w:t>fondivalitsejate arvu arvestades</w:t>
      </w:r>
      <w:r w:rsidR="000F68DF" w:rsidRPr="003331EF">
        <w:rPr>
          <w:iCs/>
          <w:spacing w:val="-5"/>
          <w:lang w:eastAsia="en-US"/>
        </w:rPr>
        <w:t xml:space="preserve"> on sihtrühma suurus suur, kuid</w:t>
      </w:r>
      <w:r w:rsidRPr="003331EF">
        <w:rPr>
          <w:iCs/>
          <w:spacing w:val="-5"/>
          <w:lang w:eastAsia="en-US"/>
        </w:rPr>
        <w:t xml:space="preserve"> vara mahtu arvestades</w:t>
      </w:r>
      <w:r w:rsidR="000F68DF" w:rsidRPr="003331EF">
        <w:rPr>
          <w:iCs/>
          <w:spacing w:val="-5"/>
          <w:lang w:eastAsia="en-US"/>
        </w:rPr>
        <w:t xml:space="preserve"> väike</w:t>
      </w:r>
      <w:r w:rsidRPr="003331EF">
        <w:rPr>
          <w:iCs/>
          <w:spacing w:val="-5"/>
          <w:lang w:eastAsia="en-US"/>
        </w:rPr>
        <w:t>. Eestis on registreeritud 78 tegevusloata väikefondi valitsejat (vrd üksteist nn suurt tegevusloaga fondivalitsejat ja kuus tegevusloaga väikefondi valitsejat).</w:t>
      </w:r>
      <w:r w:rsidRPr="003331EF">
        <w:rPr>
          <w:b/>
          <w:bCs/>
          <w:iCs/>
          <w:spacing w:val="-5"/>
          <w:vertAlign w:val="superscript"/>
          <w:lang w:eastAsia="en-US"/>
        </w:rPr>
        <w:footnoteReference w:id="32"/>
      </w:r>
      <w:r w:rsidRPr="003331EF">
        <w:rPr>
          <w:iCs/>
          <w:spacing w:val="-5"/>
          <w:vertAlign w:val="superscript"/>
          <w:lang w:eastAsia="en-US"/>
        </w:rPr>
        <w:t xml:space="preserve"> </w:t>
      </w:r>
      <w:r w:rsidRPr="003331EF">
        <w:rPr>
          <w:iCs/>
          <w:spacing w:val="-5"/>
          <w:lang w:eastAsia="en-US"/>
        </w:rPr>
        <w:t xml:space="preserve">Osad neist registreeritud fondivalitsejatest omakorda vajavad eelnõu jõustumise järel </w:t>
      </w:r>
      <w:proofErr w:type="spellStart"/>
      <w:r w:rsidRPr="003331EF">
        <w:rPr>
          <w:iCs/>
          <w:spacing w:val="-5"/>
          <w:lang w:eastAsia="en-US"/>
        </w:rPr>
        <w:t>krüptovara</w:t>
      </w:r>
      <w:proofErr w:type="spellEnd"/>
      <w:r w:rsidRPr="003331EF">
        <w:rPr>
          <w:iCs/>
          <w:spacing w:val="-5"/>
          <w:lang w:eastAsia="en-US"/>
        </w:rPr>
        <w:t xml:space="preserve"> teenuse pakkumise tegevusluba, mistõttu kohalduksid neile praegusest rangemad tegevusnõuded nii või teisiti.</w:t>
      </w:r>
      <w:r w:rsidRPr="003331EF">
        <w:t xml:space="preserve"> </w:t>
      </w:r>
    </w:p>
    <w:p w14:paraId="292DF359" w14:textId="77777777" w:rsidR="0029175E" w:rsidRPr="003331EF" w:rsidRDefault="0029175E" w:rsidP="003331EF">
      <w:pPr>
        <w:spacing w:before="0"/>
      </w:pPr>
    </w:p>
    <w:p w14:paraId="60DF4B16" w14:textId="08A147AB" w:rsidR="00502161" w:rsidRPr="003331EF" w:rsidRDefault="00402C75" w:rsidP="003331EF">
      <w:pPr>
        <w:spacing w:before="0"/>
        <w:rPr>
          <w:iCs/>
          <w:spacing w:val="-5"/>
          <w:lang w:eastAsia="en-US"/>
        </w:rPr>
      </w:pPr>
      <w:r w:rsidRPr="003331EF">
        <w:rPr>
          <w:iCs/>
          <w:spacing w:val="-5"/>
          <w:lang w:eastAsia="en-US"/>
        </w:rPr>
        <w:t>Finantsinspektsiooni andmetel olid t</w:t>
      </w:r>
      <w:r w:rsidR="00502161" w:rsidRPr="003331EF">
        <w:rPr>
          <w:iCs/>
          <w:spacing w:val="-5"/>
          <w:lang w:eastAsia="en-US"/>
        </w:rPr>
        <w:t>egevusloata väikefondi valitsejate koguvarad 2022. aasta lõpu seisuga 732 miljonit eurot, moodustades 2% Eesti sisemajanduse kogutoodangust</w:t>
      </w:r>
      <w:r w:rsidR="00502161" w:rsidRPr="003331EF">
        <w:rPr>
          <w:b/>
          <w:bCs/>
          <w:iCs/>
          <w:spacing w:val="-5"/>
          <w:vertAlign w:val="superscript"/>
          <w:lang w:eastAsia="en-US"/>
        </w:rPr>
        <w:footnoteReference w:id="33"/>
      </w:r>
      <w:r w:rsidR="00502161" w:rsidRPr="003331EF">
        <w:rPr>
          <w:iCs/>
          <w:spacing w:val="-5"/>
          <w:lang w:eastAsia="en-US"/>
        </w:rPr>
        <w:t>. Piirdudes fondivalitsejate sektoriga, ulatus tegevusloata väikefondi valitsejate varade maht 11%-</w:t>
      </w:r>
      <w:proofErr w:type="spellStart"/>
      <w:r w:rsidR="00502161" w:rsidRPr="003331EF">
        <w:rPr>
          <w:iCs/>
          <w:spacing w:val="-5"/>
          <w:lang w:eastAsia="en-US"/>
        </w:rPr>
        <w:t>ni</w:t>
      </w:r>
      <w:proofErr w:type="spellEnd"/>
      <w:r w:rsidR="00502161" w:rsidRPr="003331EF">
        <w:rPr>
          <w:iCs/>
          <w:spacing w:val="-5"/>
          <w:lang w:eastAsia="en-US"/>
        </w:rPr>
        <w:t xml:space="preserve"> sektori koguvaradest (kogu fondivalitsejate sektori varade maht oli 6,43 miljardit eurot)</w:t>
      </w:r>
      <w:r w:rsidR="00502161" w:rsidRPr="003331EF">
        <w:rPr>
          <w:b/>
          <w:bCs/>
          <w:iCs/>
          <w:spacing w:val="-5"/>
          <w:vertAlign w:val="superscript"/>
          <w:lang w:eastAsia="en-US"/>
        </w:rPr>
        <w:footnoteReference w:id="34"/>
      </w:r>
      <w:r w:rsidR="00502161" w:rsidRPr="003331EF">
        <w:rPr>
          <w:iCs/>
          <w:spacing w:val="-5"/>
          <w:lang w:eastAsia="en-US"/>
        </w:rPr>
        <w:t xml:space="preserve">. Seega saab sihtrühma pidada antud vaates väikseks. </w:t>
      </w:r>
    </w:p>
    <w:p w14:paraId="1052999E" w14:textId="7E781C36" w:rsidR="00502161" w:rsidRPr="003331EF" w:rsidRDefault="00502161" w:rsidP="003331EF">
      <w:pPr>
        <w:spacing w:before="0"/>
      </w:pPr>
      <w:r w:rsidRPr="003331EF">
        <w:t xml:space="preserve"> </w:t>
      </w:r>
    </w:p>
    <w:p w14:paraId="5E238B53" w14:textId="0C3638E2" w:rsidR="00402C75" w:rsidRPr="003331EF" w:rsidRDefault="00502161" w:rsidP="003331EF">
      <w:pPr>
        <w:spacing w:before="0"/>
        <w:rPr>
          <w:iCs/>
          <w:spacing w:val="-5"/>
          <w:lang w:eastAsia="en-US"/>
        </w:rPr>
      </w:pPr>
      <w:r w:rsidRPr="003331EF">
        <w:rPr>
          <w:b/>
          <w:bCs/>
          <w:u w:val="single"/>
        </w:rPr>
        <w:t>Mõju ulatus:</w:t>
      </w:r>
      <w:r w:rsidRPr="003331EF">
        <w:rPr>
          <w:b/>
          <w:bCs/>
        </w:rPr>
        <w:t xml:space="preserve"> </w:t>
      </w:r>
      <w:r w:rsidRPr="003331EF">
        <w:rPr>
          <w:iCs/>
          <w:spacing w:val="-5"/>
          <w:lang w:eastAsia="en-US"/>
        </w:rPr>
        <w:t xml:space="preserve">keskmine. Nii oma tegevust registreerida soovivad kui juba turul tegutsevad tegevusloata väikefondi valitsejad peavad viima end vastavusse uute nõuetega: tagama kapitalinõude täitmise (25 000 eurot) ning arvestama </w:t>
      </w:r>
      <w:r w:rsidR="00402C75" w:rsidRPr="003331EF">
        <w:rPr>
          <w:iCs/>
          <w:spacing w:val="-5"/>
          <w:lang w:eastAsia="en-US"/>
        </w:rPr>
        <w:t xml:space="preserve">oma valitsetavate </w:t>
      </w:r>
      <w:r w:rsidRPr="003331EF">
        <w:rPr>
          <w:iCs/>
          <w:spacing w:val="-5"/>
          <w:lang w:eastAsia="en-US"/>
        </w:rPr>
        <w:t>fondi</w:t>
      </w:r>
      <w:r w:rsidR="00402C75" w:rsidRPr="003331EF">
        <w:rPr>
          <w:iCs/>
          <w:spacing w:val="-5"/>
          <w:lang w:eastAsia="en-US"/>
        </w:rPr>
        <w:t>de reklaamimisel nõuet avaldada seejuures ka hoiatus, et väikefondi valitseja tegutseb registreeringu alusel ja ei oma fondivalitseja ega väikefondi valitseja tegevusluba ning et Finantsinspektsioon ei teosta tema tegevuse üle järelevalvet</w:t>
      </w:r>
      <w:r w:rsidRPr="003331EF">
        <w:rPr>
          <w:iCs/>
          <w:spacing w:val="-5"/>
          <w:lang w:eastAsia="en-US"/>
        </w:rPr>
        <w:t>.</w:t>
      </w:r>
      <w:r w:rsidR="00402C75" w:rsidRPr="003331EF">
        <w:rPr>
          <w:iCs/>
          <w:spacing w:val="-5"/>
          <w:lang w:eastAsia="en-US"/>
        </w:rPr>
        <w:t xml:space="preserve"> Lisaks kehtestab eelnõu väikefondi valitsejatele, kes on oma tegevuse Finantsinspektsioonis registreerinud, järelevalvetasu kapitaliosa, mis on 1% kahekordsest kapitalinõudest ehk 500 eurot aastas. </w:t>
      </w:r>
    </w:p>
    <w:p w14:paraId="39738414" w14:textId="77777777" w:rsidR="00402C75" w:rsidRPr="003331EF" w:rsidRDefault="00402C75" w:rsidP="003331EF">
      <w:pPr>
        <w:spacing w:before="0"/>
        <w:rPr>
          <w:iCs/>
          <w:spacing w:val="-5"/>
          <w:lang w:eastAsia="en-US"/>
        </w:rPr>
      </w:pPr>
    </w:p>
    <w:p w14:paraId="5F1A81DC" w14:textId="20DC6FD8" w:rsidR="00402C75" w:rsidRPr="003331EF" w:rsidRDefault="00402C75" w:rsidP="003331EF">
      <w:pPr>
        <w:spacing w:before="0"/>
        <w:rPr>
          <w:iCs/>
          <w:spacing w:val="-5"/>
          <w:lang w:eastAsia="en-US"/>
        </w:rPr>
      </w:pPr>
      <w:r w:rsidRPr="003331EF">
        <w:rPr>
          <w:iCs/>
          <w:spacing w:val="-5"/>
          <w:lang w:eastAsia="en-US"/>
        </w:rPr>
        <w:t xml:space="preserve">Oma tegevust alles registreerida soovivatel väikefondi valitsejatel tuleb lisaks arvestada menetlustasuga, mis senise 1 000 euro asemel hakkab olema 2 000 eurot. </w:t>
      </w:r>
    </w:p>
    <w:p w14:paraId="4D0CB12D" w14:textId="77777777" w:rsidR="00402C75" w:rsidRPr="003331EF" w:rsidRDefault="00402C75" w:rsidP="003331EF">
      <w:pPr>
        <w:spacing w:before="0"/>
        <w:rPr>
          <w:iCs/>
          <w:spacing w:val="-5"/>
          <w:lang w:eastAsia="en-US"/>
        </w:rPr>
      </w:pPr>
    </w:p>
    <w:p w14:paraId="4BDBEEAE" w14:textId="484FFD87" w:rsidR="00502161" w:rsidRPr="003331EF" w:rsidRDefault="00502161" w:rsidP="003331EF">
      <w:pPr>
        <w:spacing w:before="0"/>
      </w:pPr>
      <w:r w:rsidRPr="003331EF">
        <w:rPr>
          <w:iCs/>
          <w:spacing w:val="-5"/>
          <w:lang w:eastAsia="en-US"/>
        </w:rPr>
        <w:t>Finantsinspektsioon on registreerinud 78 tegevusloata väikefondi valitsejat. E-äriregistri andmetel täidab või ületab kehtestatavat kapitalinõuet 10 tegevusloata väikefondi valitsejat (aktsia- või osakapital on suurem või võrdne 25 000 euroga), 49 fondivalitseja kapital on 2500 eurot ning 17 fondivalitsejat on asutatud sissemakset tegemata.</w:t>
      </w:r>
      <w:r w:rsidRPr="003331EF">
        <w:t xml:space="preserve"> </w:t>
      </w:r>
    </w:p>
    <w:p w14:paraId="23D5ED82" w14:textId="77777777" w:rsidR="00803172" w:rsidRPr="003331EF" w:rsidRDefault="00803172" w:rsidP="003331EF">
      <w:pPr>
        <w:spacing w:before="0"/>
      </w:pPr>
    </w:p>
    <w:p w14:paraId="4F607076" w14:textId="77777777" w:rsidR="00502161" w:rsidRPr="003331EF" w:rsidRDefault="00502161" w:rsidP="003331EF">
      <w:pPr>
        <w:spacing w:before="0"/>
        <w:rPr>
          <w:iCs/>
          <w:spacing w:val="-5"/>
          <w:lang w:eastAsia="en-US"/>
        </w:rPr>
      </w:pPr>
      <w:r w:rsidRPr="003331EF">
        <w:rPr>
          <w:iCs/>
          <w:spacing w:val="-5"/>
          <w:lang w:eastAsia="en-US"/>
        </w:rPr>
        <w:t>Eelnõu seadusena jõustumisel tuleb seega enamikel tegevusloata väikefondi valitsejatel leida lisaraha kapitalinõude täitmiseks. Samas on nõutav kapitali suurus siiski tagasihoidlik ja ei peaks olema liialt piirav, kui tegevuse tegelik eesmärk on alternatiivseid investeerimisfonde valitseda (näiteks tegevusloaga väikefondi valitseja kapitalinõudeks on 50 000 eurot). Finantssektoris tegutsemiseks on kapitalinõuded üldiselt väga palju kõrgemad (kohustusliku pensionifondi valitseja algkapitali nõue on näiteks 1 000 000 eurot, vabatahtliku pensionifondi valitsejal 500 000 eurot ning eurofondi ja alternatiivfondi valitsejal 125 000 eurot, millele lisanduvad veel täiendavad omavahendite nõuded).</w:t>
      </w:r>
    </w:p>
    <w:p w14:paraId="660712EE" w14:textId="77777777" w:rsidR="00402C75" w:rsidRPr="003331EF" w:rsidRDefault="00402C75" w:rsidP="003331EF">
      <w:pPr>
        <w:spacing w:before="0"/>
        <w:rPr>
          <w:iCs/>
          <w:spacing w:val="-5"/>
          <w:lang w:eastAsia="en-US"/>
        </w:rPr>
      </w:pPr>
    </w:p>
    <w:p w14:paraId="5FE26C11" w14:textId="6250E146" w:rsidR="00402C75" w:rsidRPr="003331EF" w:rsidRDefault="00402C75" w:rsidP="003331EF">
      <w:pPr>
        <w:spacing w:before="0"/>
        <w:rPr>
          <w:iCs/>
          <w:spacing w:val="-5"/>
          <w:lang w:eastAsia="en-US"/>
        </w:rPr>
      </w:pPr>
      <w:r w:rsidRPr="003331EF">
        <w:rPr>
          <w:iCs/>
          <w:spacing w:val="-5"/>
          <w:lang w:eastAsia="en-US"/>
        </w:rPr>
        <w:lastRenderedPageBreak/>
        <w:t xml:space="preserve">Läbi järelevalvetasu kapitaliosa kehtestamise tekib väikefondi valitsejatele, kes oma tegevuse Finantsinspektsioonis registreerivad, kulu 500 eurot aastas. </w:t>
      </w:r>
    </w:p>
    <w:p w14:paraId="272301F2" w14:textId="77777777" w:rsidR="00803172" w:rsidRPr="003331EF" w:rsidRDefault="00803172" w:rsidP="003331EF">
      <w:pPr>
        <w:spacing w:before="0"/>
        <w:rPr>
          <w:iCs/>
          <w:spacing w:val="-5"/>
          <w:lang w:eastAsia="en-US"/>
        </w:rPr>
      </w:pPr>
    </w:p>
    <w:p w14:paraId="244295AE" w14:textId="180E5045" w:rsidR="00D26E38" w:rsidRPr="003331EF" w:rsidRDefault="00D26E38" w:rsidP="003331EF">
      <w:pPr>
        <w:spacing w:before="0"/>
        <w:rPr>
          <w:iCs/>
          <w:spacing w:val="-5"/>
          <w:lang w:eastAsia="en-US"/>
        </w:rPr>
      </w:pPr>
      <w:r w:rsidRPr="003331EF">
        <w:rPr>
          <w:iCs/>
          <w:spacing w:val="-5"/>
          <w:lang w:eastAsia="en-US"/>
        </w:rPr>
        <w:t xml:space="preserve">Fondide reklaamimisel avaldatav hoiatus, et väikefondi valitseja tegutseb registreeringu alusel ja ei oma fondivalitseja ega väikefondi valitseja tegevusluba ning et Finantsinspektsioon ei teosta tema tegevuse üle järelevalvet, võib eelkõige </w:t>
      </w:r>
      <w:proofErr w:type="spellStart"/>
      <w:r w:rsidRPr="003331EF">
        <w:rPr>
          <w:iCs/>
          <w:spacing w:val="-5"/>
          <w:lang w:eastAsia="en-US"/>
        </w:rPr>
        <w:t>jaeinvestoreid</w:t>
      </w:r>
      <w:proofErr w:type="spellEnd"/>
      <w:r w:rsidRPr="003331EF">
        <w:rPr>
          <w:iCs/>
          <w:spacing w:val="-5"/>
          <w:lang w:eastAsia="en-US"/>
        </w:rPr>
        <w:t xml:space="preserve"> mõnevõrra heidutada sellise investeeringu kasuks otsustama. Samas ei olegi mitteavalikud fondid </w:t>
      </w:r>
      <w:proofErr w:type="spellStart"/>
      <w:r w:rsidRPr="003331EF">
        <w:rPr>
          <w:iCs/>
          <w:spacing w:val="-5"/>
          <w:lang w:eastAsia="en-US"/>
        </w:rPr>
        <w:t>jaeinvestoritele</w:t>
      </w:r>
      <w:proofErr w:type="spellEnd"/>
      <w:r w:rsidRPr="003331EF">
        <w:rPr>
          <w:iCs/>
          <w:spacing w:val="-5"/>
          <w:lang w:eastAsia="en-US"/>
        </w:rPr>
        <w:t xml:space="preserve"> suunatud.  </w:t>
      </w:r>
    </w:p>
    <w:p w14:paraId="73F57D83" w14:textId="77777777" w:rsidR="00750FC9" w:rsidRPr="003331EF" w:rsidRDefault="00750FC9" w:rsidP="003331EF">
      <w:pPr>
        <w:spacing w:before="0"/>
        <w:rPr>
          <w:iCs/>
          <w:spacing w:val="-5"/>
          <w:lang w:eastAsia="en-US"/>
        </w:rPr>
      </w:pPr>
    </w:p>
    <w:p w14:paraId="6BC23C23" w14:textId="4B20AC1A" w:rsidR="00D26E38" w:rsidRPr="003331EF" w:rsidRDefault="00D26E38" w:rsidP="003331EF">
      <w:pPr>
        <w:spacing w:before="0"/>
        <w:rPr>
          <w:iCs/>
          <w:spacing w:val="-5"/>
          <w:lang w:eastAsia="en-US"/>
        </w:rPr>
      </w:pPr>
      <w:r w:rsidRPr="003331EF">
        <w:rPr>
          <w:iCs/>
          <w:spacing w:val="-5"/>
          <w:lang w:eastAsia="en-US"/>
        </w:rPr>
        <w:t xml:space="preserve">Finantsinspektsioonis tegevuse registreerimise kulu kasvab läbi menetlustasu tõusu eelnõuga 1 000 euro võrra. Tegemist on ühekordse kuluga, mis juba tegutsevaid väikefondi valitsejaid, kes on Finantsinspektsiooni poolt registreeritud, ei puuduta. Küll aga suureneb selle võrra alustavate fondivalitsejate kulu. </w:t>
      </w:r>
    </w:p>
    <w:p w14:paraId="3C793835" w14:textId="77777777" w:rsidR="00D26E38" w:rsidRPr="003331EF" w:rsidRDefault="00D26E38" w:rsidP="003331EF">
      <w:pPr>
        <w:spacing w:before="0"/>
        <w:rPr>
          <w:iCs/>
          <w:spacing w:val="-5"/>
          <w:lang w:eastAsia="en-US"/>
        </w:rPr>
      </w:pPr>
    </w:p>
    <w:p w14:paraId="1491F583" w14:textId="77777777" w:rsidR="00502161" w:rsidRPr="003331EF" w:rsidRDefault="00502161" w:rsidP="003331EF">
      <w:pPr>
        <w:spacing w:before="0"/>
        <w:rPr>
          <w:iCs/>
          <w:spacing w:val="-5"/>
          <w:lang w:eastAsia="en-US"/>
        </w:rPr>
      </w:pPr>
      <w:r w:rsidRPr="003331EF">
        <w:rPr>
          <w:iCs/>
          <w:spacing w:val="-5"/>
          <w:lang w:eastAsia="en-US"/>
        </w:rPr>
        <w:t xml:space="preserve">Tegevusloata väikefondide valitsejatele kehtestatavad lisanõuded peaksid parandama üldist investeerimiskeskkonda ning usaldust selle vastu. Majanduses tervikuna aga suuri muutusi ette näha ei ole. </w:t>
      </w:r>
    </w:p>
    <w:p w14:paraId="15CA83D5" w14:textId="77777777" w:rsidR="00803172" w:rsidRPr="003331EF" w:rsidRDefault="00803172" w:rsidP="003331EF">
      <w:pPr>
        <w:spacing w:before="0"/>
      </w:pPr>
    </w:p>
    <w:p w14:paraId="3E846726" w14:textId="656D70CE" w:rsidR="00502161" w:rsidRPr="003331EF" w:rsidRDefault="00502161" w:rsidP="003331EF">
      <w:pPr>
        <w:spacing w:before="0"/>
      </w:pPr>
      <w:r w:rsidRPr="003331EF">
        <w:rPr>
          <w:b/>
          <w:bCs/>
          <w:u w:val="single"/>
        </w:rPr>
        <w:t>Mõju avaldumise sagedus:</w:t>
      </w:r>
      <w:r w:rsidRPr="003331EF">
        <w:rPr>
          <w:b/>
          <w:bCs/>
        </w:rPr>
        <w:t xml:space="preserve"> </w:t>
      </w:r>
      <w:r w:rsidRPr="003331EF">
        <w:rPr>
          <w:iCs/>
          <w:spacing w:val="-5"/>
          <w:lang w:eastAsia="en-US"/>
        </w:rPr>
        <w:t xml:space="preserve">keskmine. Osalt on muudatustel ühekordne mõju – </w:t>
      </w:r>
      <w:r w:rsidR="00D26E38" w:rsidRPr="003331EF">
        <w:rPr>
          <w:iCs/>
          <w:spacing w:val="-5"/>
          <w:lang w:eastAsia="en-US"/>
        </w:rPr>
        <w:t xml:space="preserve">menetlustasu tõus või </w:t>
      </w:r>
      <w:r w:rsidRPr="003331EF">
        <w:rPr>
          <w:iCs/>
          <w:spacing w:val="-5"/>
          <w:lang w:eastAsia="en-US"/>
        </w:rPr>
        <w:t>kapitali</w:t>
      </w:r>
      <w:r w:rsidR="00D26E38" w:rsidRPr="003331EF">
        <w:rPr>
          <w:iCs/>
          <w:spacing w:val="-5"/>
          <w:lang w:eastAsia="en-US"/>
        </w:rPr>
        <w:t>nõude täitmine</w:t>
      </w:r>
      <w:r w:rsidRPr="003331EF">
        <w:rPr>
          <w:iCs/>
          <w:spacing w:val="-5"/>
          <w:lang w:eastAsia="en-US"/>
        </w:rPr>
        <w:t xml:space="preserve">. Samas on muudatustel ka teatav pidev mõju – kapitalinõue </w:t>
      </w:r>
      <w:r w:rsidR="00D26E38" w:rsidRPr="003331EF">
        <w:rPr>
          <w:iCs/>
          <w:spacing w:val="-5"/>
          <w:lang w:eastAsia="en-US"/>
        </w:rPr>
        <w:t>peab olema</w:t>
      </w:r>
      <w:r w:rsidRPr="003331EF">
        <w:rPr>
          <w:iCs/>
          <w:spacing w:val="-5"/>
          <w:lang w:eastAsia="en-US"/>
        </w:rPr>
        <w:t xml:space="preserve"> täi</w:t>
      </w:r>
      <w:r w:rsidR="00D26E38" w:rsidRPr="003331EF">
        <w:rPr>
          <w:iCs/>
          <w:spacing w:val="-5"/>
          <w:lang w:eastAsia="en-US"/>
        </w:rPr>
        <w:t>detud</w:t>
      </w:r>
      <w:r w:rsidRPr="003331EF">
        <w:rPr>
          <w:iCs/>
          <w:spacing w:val="-5"/>
          <w:lang w:eastAsia="en-US"/>
        </w:rPr>
        <w:t xml:space="preserve"> ka tegutsemise ajal, samuti tuleb </w:t>
      </w:r>
      <w:r w:rsidR="00D26E38" w:rsidRPr="003331EF">
        <w:rPr>
          <w:iCs/>
          <w:spacing w:val="-5"/>
          <w:lang w:eastAsia="en-US"/>
        </w:rPr>
        <w:t xml:space="preserve">väikefondi valitsejatel, kes on oma tegevuse registreerinud, maksta igal aastal </w:t>
      </w:r>
      <w:proofErr w:type="spellStart"/>
      <w:r w:rsidR="00D26E38" w:rsidRPr="003331EF">
        <w:rPr>
          <w:iCs/>
          <w:spacing w:val="-5"/>
          <w:lang w:eastAsia="en-US"/>
        </w:rPr>
        <w:t>järlevalvetasu</w:t>
      </w:r>
      <w:proofErr w:type="spellEnd"/>
      <w:r w:rsidR="00D26E38" w:rsidRPr="003331EF">
        <w:rPr>
          <w:iCs/>
          <w:spacing w:val="-5"/>
          <w:lang w:eastAsia="en-US"/>
        </w:rPr>
        <w:t xml:space="preserve"> kapitaliosa. </w:t>
      </w:r>
    </w:p>
    <w:p w14:paraId="7875FE5C" w14:textId="77777777" w:rsidR="00502161" w:rsidRPr="003331EF" w:rsidRDefault="00502161" w:rsidP="003331EF">
      <w:pPr>
        <w:spacing w:before="0"/>
      </w:pPr>
    </w:p>
    <w:p w14:paraId="61ABFC4A" w14:textId="328D6D19" w:rsidR="00502161" w:rsidRPr="003331EF" w:rsidRDefault="00502161" w:rsidP="003331EF">
      <w:pPr>
        <w:spacing w:before="0"/>
        <w:rPr>
          <w:iCs/>
          <w:spacing w:val="-5"/>
          <w:lang w:eastAsia="en-US"/>
        </w:rPr>
      </w:pPr>
      <w:r w:rsidRPr="003331EF">
        <w:rPr>
          <w:b/>
          <w:bCs/>
          <w:u w:val="single"/>
        </w:rPr>
        <w:t>Ebasoovitavate mõjude kaasnemise risk:</w:t>
      </w:r>
      <w:r w:rsidRPr="003331EF">
        <w:rPr>
          <w:b/>
          <w:bCs/>
        </w:rPr>
        <w:t xml:space="preserve"> </w:t>
      </w:r>
      <w:r w:rsidRPr="003331EF">
        <w:rPr>
          <w:iCs/>
          <w:spacing w:val="-5"/>
          <w:lang w:eastAsia="en-US"/>
        </w:rPr>
        <w:t xml:space="preserve">keskmine. Sihtrühmale kaasnevad mõjud (kapitalinõue, </w:t>
      </w:r>
      <w:r w:rsidR="00D26E38" w:rsidRPr="003331EF">
        <w:rPr>
          <w:iCs/>
          <w:spacing w:val="-5"/>
          <w:lang w:eastAsia="en-US"/>
        </w:rPr>
        <w:t>Finantsinspektsiooni tasud</w:t>
      </w:r>
      <w:r w:rsidRPr="003331EF">
        <w:rPr>
          <w:iCs/>
          <w:spacing w:val="-5"/>
          <w:lang w:eastAsia="en-US"/>
        </w:rPr>
        <w:t>) on fondivalitseja jaoks pigem negatiivse iseloomuga, kuid need suurendavad teisalt investorite kaitse taset</w:t>
      </w:r>
      <w:r w:rsidR="0026481C" w:rsidRPr="003331EF">
        <w:rPr>
          <w:iCs/>
          <w:spacing w:val="-5"/>
          <w:lang w:eastAsia="en-US"/>
        </w:rPr>
        <w:t xml:space="preserve"> ja katavad menetluse ja IFS § 455 lõikes 8 sätestatud järelevalveks vajalike toimingute kulud</w:t>
      </w:r>
      <w:r w:rsidRPr="003331EF">
        <w:rPr>
          <w:iCs/>
          <w:spacing w:val="-5"/>
          <w:lang w:eastAsia="en-US"/>
        </w:rPr>
        <w:t>, mis kaalub üles fondivalitsejatele avalduva negatiivse mõju.</w:t>
      </w:r>
      <w:r w:rsidR="0026481C" w:rsidRPr="003331EF">
        <w:rPr>
          <w:iCs/>
          <w:spacing w:val="-5"/>
          <w:lang w:eastAsia="en-US"/>
        </w:rPr>
        <w:t xml:space="preserve">  </w:t>
      </w:r>
    </w:p>
    <w:p w14:paraId="793AD9F0" w14:textId="77777777" w:rsidR="00803172" w:rsidRPr="003331EF" w:rsidRDefault="00803172" w:rsidP="003331EF">
      <w:pPr>
        <w:spacing w:before="0"/>
        <w:rPr>
          <w:iCs/>
          <w:spacing w:val="-5"/>
          <w:lang w:eastAsia="en-US"/>
        </w:rPr>
      </w:pPr>
    </w:p>
    <w:p w14:paraId="1DFAA03E" w14:textId="3C09582C" w:rsidR="00502161" w:rsidRPr="003331EF" w:rsidRDefault="00502161" w:rsidP="003331EF">
      <w:pPr>
        <w:spacing w:before="0"/>
        <w:rPr>
          <w:iCs/>
          <w:spacing w:val="-5"/>
          <w:lang w:eastAsia="en-US"/>
        </w:rPr>
      </w:pPr>
      <w:r w:rsidRPr="003331EF">
        <w:rPr>
          <w:iCs/>
          <w:spacing w:val="-5"/>
          <w:lang w:eastAsia="en-US"/>
        </w:rPr>
        <w:t>Eksisteerib võimalus, et muudatuste tulemusel lõpetab mõni fondivalitseja oma tegevuse</w:t>
      </w:r>
      <w:r w:rsidR="008F187C" w:rsidRPr="003331EF">
        <w:rPr>
          <w:iCs/>
          <w:spacing w:val="-5"/>
          <w:lang w:eastAsia="en-US"/>
        </w:rPr>
        <w:t>,</w:t>
      </w:r>
      <w:r w:rsidRPr="003331EF">
        <w:rPr>
          <w:iCs/>
          <w:spacing w:val="-5"/>
          <w:lang w:eastAsia="en-US"/>
        </w:rPr>
        <w:t xml:space="preserve"> </w:t>
      </w:r>
      <w:r w:rsidR="008F187C" w:rsidRPr="003331EF">
        <w:rPr>
          <w:iCs/>
          <w:spacing w:val="-5"/>
          <w:lang w:eastAsia="en-US"/>
        </w:rPr>
        <w:t>näiteks kui tema asutatud fondide maht on liiga väike – arvestades uut kapitalinõuet ei ole jätkamine majanduslikult otstarbekas.</w:t>
      </w:r>
      <w:r w:rsidR="0026481C" w:rsidRPr="003331EF">
        <w:rPr>
          <w:iCs/>
          <w:spacing w:val="-5"/>
          <w:lang w:eastAsia="en-US"/>
        </w:rPr>
        <w:t xml:space="preserve"> Tegevuse lõpetamisel tuleb fondivalitsejal lõpetada oma valitsetavate fondide aktsiate või osade väljalaskmine ning viia läbi fondide likvideerimine või anda nende valitsemine üle mõnele teisele fondivalitsejale, kellel on olemas selleks vajalik tegevusluba või registreering. Kehtestatav kapitalinõue ei ole kõrge, mistõttu ei ole sellest tulenev fondivalitseja tegevuse lõpetamine ilmselt praktikas kuigi tõenäoline. Kui selline kaasus realiseerub, siis oleks see teisalt investorite huvidest lähtuvalt pigem positiivne – kui fondivalitsejal puuduvad vahendid 25 000 euro suuruse kapitalinõude täitmiseks, ei suudaks ta tõenäoliselt sellise vajaduse tekkimisel ka näiteks oma fondide investoritele tekitatud kahju katta.    </w:t>
      </w:r>
    </w:p>
    <w:p w14:paraId="482CD32F" w14:textId="77777777" w:rsidR="00803172" w:rsidRPr="003331EF" w:rsidRDefault="00803172" w:rsidP="003331EF">
      <w:pPr>
        <w:spacing w:before="0"/>
        <w:rPr>
          <w:iCs/>
          <w:spacing w:val="-5"/>
          <w:lang w:eastAsia="en-US"/>
        </w:rPr>
      </w:pPr>
    </w:p>
    <w:p w14:paraId="32E21994" w14:textId="769F1EE3" w:rsidR="00502161" w:rsidRPr="003331EF" w:rsidRDefault="00502161" w:rsidP="003331EF">
      <w:pPr>
        <w:spacing w:before="0"/>
        <w:rPr>
          <w:iCs/>
          <w:spacing w:val="-5"/>
          <w:lang w:eastAsia="en-US"/>
        </w:rPr>
      </w:pPr>
      <w:r w:rsidRPr="003331EF">
        <w:rPr>
          <w:iCs/>
          <w:spacing w:val="-5"/>
          <w:lang w:eastAsia="en-US"/>
        </w:rPr>
        <w:t xml:space="preserve">Muudatustega kohanemiseks pakub eelnõu fondivalitsejatele ka üleminekuaega. Kapitalinõude jõustumise ajal kehtivat registreeringut omavale väikefondi valitsejale antakse 12 kuud tema aktsia- või osakapitali uuele nõudele vastavusse viimiseks. </w:t>
      </w:r>
    </w:p>
    <w:p w14:paraId="13041B29" w14:textId="77777777" w:rsidR="00803172" w:rsidRPr="003331EF" w:rsidRDefault="00803172" w:rsidP="003331EF">
      <w:pPr>
        <w:spacing w:before="0"/>
      </w:pPr>
    </w:p>
    <w:p w14:paraId="26FC1F4E" w14:textId="5170DD41" w:rsidR="00502161" w:rsidRPr="003331EF" w:rsidRDefault="00502161" w:rsidP="003331EF">
      <w:pPr>
        <w:spacing w:before="0"/>
        <w:rPr>
          <w:iCs/>
          <w:spacing w:val="-5"/>
          <w:lang w:eastAsia="en-US"/>
        </w:rPr>
      </w:pPr>
      <w:r w:rsidRPr="003331EF">
        <w:rPr>
          <w:b/>
          <w:bCs/>
          <w:u w:val="single"/>
        </w:rPr>
        <w:t>Mõju olulisus:</w:t>
      </w:r>
      <w:r w:rsidRPr="003331EF">
        <w:t xml:space="preserve"> su</w:t>
      </w:r>
      <w:r w:rsidRPr="003331EF">
        <w:rPr>
          <w:iCs/>
          <w:spacing w:val="-5"/>
          <w:lang w:eastAsia="en-US"/>
        </w:rPr>
        <w:t>ur. Kehtestatav</w:t>
      </w:r>
      <w:r w:rsidR="0026481C" w:rsidRPr="003331EF">
        <w:rPr>
          <w:iCs/>
          <w:spacing w:val="-5"/>
          <w:lang w:eastAsia="en-US"/>
        </w:rPr>
        <w:t>ad</w:t>
      </w:r>
      <w:r w:rsidRPr="003331EF">
        <w:rPr>
          <w:iCs/>
          <w:spacing w:val="-5"/>
          <w:lang w:eastAsia="en-US"/>
        </w:rPr>
        <w:t xml:space="preserve"> kapitalinõue</w:t>
      </w:r>
      <w:r w:rsidR="0026481C" w:rsidRPr="003331EF">
        <w:rPr>
          <w:iCs/>
          <w:spacing w:val="-5"/>
          <w:lang w:eastAsia="en-US"/>
        </w:rPr>
        <w:t xml:space="preserve"> ja järelevalvetasu</w:t>
      </w:r>
      <w:r w:rsidRPr="003331EF">
        <w:rPr>
          <w:iCs/>
          <w:spacing w:val="-5"/>
          <w:lang w:eastAsia="en-US"/>
        </w:rPr>
        <w:t xml:space="preserve"> on küll tagasihoidliku suurusega, kuid </w:t>
      </w:r>
      <w:r w:rsidR="0026481C" w:rsidRPr="003331EF">
        <w:rPr>
          <w:iCs/>
          <w:spacing w:val="-5"/>
          <w:lang w:eastAsia="en-US"/>
        </w:rPr>
        <w:t xml:space="preserve">puudutavad vastavalt </w:t>
      </w:r>
      <w:r w:rsidRPr="003331EF">
        <w:rPr>
          <w:iCs/>
          <w:spacing w:val="-5"/>
          <w:lang w:eastAsia="en-US"/>
        </w:rPr>
        <w:t xml:space="preserve">enamikke </w:t>
      </w:r>
      <w:r w:rsidR="0026481C" w:rsidRPr="003331EF">
        <w:rPr>
          <w:iCs/>
          <w:spacing w:val="-5"/>
          <w:lang w:eastAsia="en-US"/>
        </w:rPr>
        <w:t xml:space="preserve">ja kõiki </w:t>
      </w:r>
      <w:r w:rsidRPr="003331EF">
        <w:rPr>
          <w:iCs/>
          <w:spacing w:val="-5"/>
          <w:lang w:eastAsia="en-US"/>
        </w:rPr>
        <w:t>tegutsevaid tegevusloata väikefondi valitsejaid.</w:t>
      </w:r>
      <w:r w:rsidR="0026481C" w:rsidRPr="003331EF">
        <w:rPr>
          <w:iCs/>
          <w:spacing w:val="-5"/>
          <w:lang w:eastAsia="en-US"/>
        </w:rPr>
        <w:t xml:space="preserve"> Uued nõuded mõjutavad ka uusi potentsiaalseid väikefondi valitsejaid, kes soovivad oma tegevuse Finantsinspektsioonis registreerida.</w:t>
      </w:r>
      <w:r w:rsidRPr="003331EF">
        <w:rPr>
          <w:iCs/>
          <w:spacing w:val="-5"/>
          <w:lang w:eastAsia="en-US"/>
        </w:rPr>
        <w:t xml:space="preserve"> </w:t>
      </w:r>
    </w:p>
    <w:p w14:paraId="3B62BD56" w14:textId="77777777" w:rsidR="00803172" w:rsidRPr="003331EF" w:rsidRDefault="00803172" w:rsidP="003331EF">
      <w:pPr>
        <w:spacing w:before="0"/>
        <w:rPr>
          <w:b/>
        </w:rPr>
      </w:pPr>
    </w:p>
    <w:p w14:paraId="5C7507AB" w14:textId="2003391C" w:rsidR="005508E5" w:rsidRPr="003331EF" w:rsidRDefault="00CA68EB" w:rsidP="003331EF">
      <w:pPr>
        <w:spacing w:before="0"/>
        <w:rPr>
          <w:b/>
        </w:rPr>
      </w:pPr>
      <w:r w:rsidRPr="003331EF">
        <w:rPr>
          <w:b/>
        </w:rPr>
        <w:t>6.1.</w:t>
      </w:r>
      <w:r w:rsidR="00803172" w:rsidRPr="003331EF">
        <w:rPr>
          <w:b/>
        </w:rPr>
        <w:t>3</w:t>
      </w:r>
      <w:r w:rsidRPr="003331EF">
        <w:rPr>
          <w:b/>
        </w:rPr>
        <w:t>. Majanduslik m</w:t>
      </w:r>
      <w:r w:rsidR="005508E5" w:rsidRPr="003331EF">
        <w:rPr>
          <w:b/>
        </w:rPr>
        <w:t>õju</w:t>
      </w:r>
      <w:r w:rsidR="001A4D75" w:rsidRPr="003331EF">
        <w:rPr>
          <w:b/>
        </w:rPr>
        <w:t xml:space="preserve"> </w:t>
      </w:r>
      <w:proofErr w:type="spellStart"/>
      <w:r w:rsidR="001A4D75" w:rsidRPr="003331EF">
        <w:rPr>
          <w:b/>
        </w:rPr>
        <w:t>krüptovara</w:t>
      </w:r>
      <w:proofErr w:type="spellEnd"/>
      <w:r w:rsidR="001A4D75" w:rsidRPr="003331EF">
        <w:rPr>
          <w:b/>
        </w:rPr>
        <w:t xml:space="preserve"> omanikule ja </w:t>
      </w:r>
      <w:proofErr w:type="spellStart"/>
      <w:r w:rsidR="001A4D75" w:rsidRPr="003331EF">
        <w:rPr>
          <w:b/>
        </w:rPr>
        <w:t>krüptovarateenuse</w:t>
      </w:r>
      <w:proofErr w:type="spellEnd"/>
      <w:r w:rsidR="001A4D75" w:rsidRPr="003331EF">
        <w:rPr>
          <w:b/>
        </w:rPr>
        <w:t xml:space="preserve"> klientidele</w:t>
      </w:r>
    </w:p>
    <w:p w14:paraId="10B409AF" w14:textId="77777777" w:rsidR="005508E5" w:rsidRPr="003331EF" w:rsidRDefault="005508E5" w:rsidP="003331EF">
      <w:pPr>
        <w:spacing w:before="0"/>
        <w:rPr>
          <w:b/>
          <w:i/>
          <w:iCs/>
        </w:rPr>
      </w:pPr>
    </w:p>
    <w:p w14:paraId="236A1DB0" w14:textId="6FC0906E" w:rsidR="005508E5" w:rsidRPr="003331EF" w:rsidRDefault="005508E5" w:rsidP="003331EF">
      <w:pPr>
        <w:spacing w:before="0"/>
      </w:pPr>
      <w:r w:rsidRPr="003331EF">
        <w:rPr>
          <w:b/>
          <w:u w:val="single"/>
        </w:rPr>
        <w:t>Sihtrühm</w:t>
      </w:r>
      <w:r w:rsidRPr="003331EF">
        <w:rPr>
          <w:u w:val="single"/>
        </w:rPr>
        <w:t>:</w:t>
      </w:r>
      <w:r w:rsidRPr="003331EF">
        <w:t xml:space="preserve"> </w:t>
      </w:r>
      <w:r w:rsidR="00867308" w:rsidRPr="003331EF">
        <w:rPr>
          <w:iCs/>
          <w:spacing w:val="-5"/>
          <w:lang w:eastAsia="en-US"/>
        </w:rPr>
        <w:t>K</w:t>
      </w:r>
      <w:r w:rsidRPr="003331EF">
        <w:rPr>
          <w:iCs/>
          <w:spacing w:val="-5"/>
          <w:lang w:eastAsia="en-US"/>
        </w:rPr>
        <w:t xml:space="preserve">õik praegused ja tulevased </w:t>
      </w:r>
      <w:proofErr w:type="spellStart"/>
      <w:r w:rsidR="00517CB3" w:rsidRPr="003331EF">
        <w:rPr>
          <w:iCs/>
          <w:spacing w:val="-5"/>
          <w:lang w:eastAsia="en-US"/>
        </w:rPr>
        <w:t>krüptovara</w:t>
      </w:r>
      <w:proofErr w:type="spellEnd"/>
      <w:r w:rsidR="00517CB3" w:rsidRPr="003331EF">
        <w:rPr>
          <w:iCs/>
          <w:spacing w:val="-5"/>
          <w:lang w:eastAsia="en-US"/>
        </w:rPr>
        <w:t xml:space="preserve"> </w:t>
      </w:r>
      <w:r w:rsidR="001A4D75" w:rsidRPr="003331EF">
        <w:rPr>
          <w:iCs/>
          <w:spacing w:val="-5"/>
          <w:lang w:eastAsia="en-US"/>
        </w:rPr>
        <w:t>kliendid</w:t>
      </w:r>
      <w:r w:rsidR="00846B56" w:rsidRPr="003331EF">
        <w:rPr>
          <w:iCs/>
          <w:spacing w:val="-5"/>
          <w:lang w:eastAsia="en-US"/>
        </w:rPr>
        <w:t xml:space="preserve"> (nii juriidilised kui ka füüsilised)</w:t>
      </w:r>
      <w:r w:rsidRPr="003331EF">
        <w:rPr>
          <w:iCs/>
          <w:spacing w:val="-5"/>
          <w:lang w:eastAsia="en-US"/>
        </w:rPr>
        <w:t xml:space="preserve">. </w:t>
      </w:r>
      <w:proofErr w:type="spellStart"/>
      <w:r w:rsidRPr="003331EF">
        <w:rPr>
          <w:iCs/>
          <w:spacing w:val="-5"/>
          <w:lang w:eastAsia="en-US"/>
        </w:rPr>
        <w:t>Krüptovar</w:t>
      </w:r>
      <w:r w:rsidR="002B32AC" w:rsidRPr="003331EF">
        <w:rPr>
          <w:iCs/>
          <w:spacing w:val="-5"/>
          <w:lang w:eastAsia="en-US"/>
        </w:rPr>
        <w:t>aga</w:t>
      </w:r>
      <w:proofErr w:type="spellEnd"/>
      <w:r w:rsidR="002B32AC" w:rsidRPr="003331EF">
        <w:rPr>
          <w:iCs/>
          <w:spacing w:val="-5"/>
          <w:lang w:eastAsia="en-US"/>
        </w:rPr>
        <w:t xml:space="preserve"> seotud teenuste kasutamise </w:t>
      </w:r>
      <w:r w:rsidRPr="003331EF">
        <w:rPr>
          <w:iCs/>
          <w:spacing w:val="-5"/>
          <w:lang w:eastAsia="en-US"/>
        </w:rPr>
        <w:t>mõju on siinkohal keeruline hinnata</w:t>
      </w:r>
      <w:r w:rsidR="002B32AC" w:rsidRPr="003331EF">
        <w:rPr>
          <w:iCs/>
          <w:spacing w:val="-5"/>
          <w:lang w:eastAsia="en-US"/>
        </w:rPr>
        <w:t>,</w:t>
      </w:r>
      <w:r w:rsidRPr="003331EF">
        <w:rPr>
          <w:iCs/>
          <w:spacing w:val="-5"/>
          <w:lang w:eastAsia="en-US"/>
        </w:rPr>
        <w:t xml:space="preserve"> kuna võimalike </w:t>
      </w:r>
      <w:r w:rsidRPr="003331EF">
        <w:rPr>
          <w:iCs/>
          <w:spacing w:val="-5"/>
          <w:lang w:eastAsia="en-US"/>
        </w:rPr>
        <w:lastRenderedPageBreak/>
        <w:t>klientide arv</w:t>
      </w:r>
      <w:r w:rsidR="00D965FF" w:rsidRPr="003331EF">
        <w:rPr>
          <w:iCs/>
          <w:spacing w:val="-5"/>
          <w:lang w:eastAsia="en-US"/>
        </w:rPr>
        <w:t xml:space="preserve"> ei ole teada</w:t>
      </w:r>
      <w:r w:rsidR="00E9426E" w:rsidRPr="003331EF">
        <w:rPr>
          <w:iCs/>
          <w:spacing w:val="-5"/>
          <w:lang w:eastAsia="en-US"/>
        </w:rPr>
        <w:t xml:space="preserve">. Eesti tegevusloga </w:t>
      </w:r>
      <w:proofErr w:type="spellStart"/>
      <w:r w:rsidR="00750FC9" w:rsidRPr="003331EF">
        <w:rPr>
          <w:iCs/>
          <w:spacing w:val="-5"/>
          <w:lang w:eastAsia="en-US"/>
        </w:rPr>
        <w:t>VASP-ide</w:t>
      </w:r>
      <w:proofErr w:type="spellEnd"/>
      <w:r w:rsidR="00E9426E" w:rsidRPr="003331EF">
        <w:rPr>
          <w:iCs/>
          <w:spacing w:val="-5"/>
          <w:lang w:eastAsia="en-US"/>
        </w:rPr>
        <w:t xml:space="preserve"> tarbijate arv ulatub miljonitesse, kuid ilmselt neist väga väike hulk on elu või asukohaga Eestis.</w:t>
      </w:r>
    </w:p>
    <w:p w14:paraId="3901AB8D" w14:textId="77777777" w:rsidR="005508E5" w:rsidRPr="003331EF" w:rsidRDefault="005508E5" w:rsidP="003331EF">
      <w:pPr>
        <w:spacing w:before="0"/>
        <w:rPr>
          <w:u w:val="single"/>
        </w:rPr>
      </w:pPr>
    </w:p>
    <w:p w14:paraId="101F060F" w14:textId="03374B76" w:rsidR="005508E5" w:rsidRPr="003331EF" w:rsidRDefault="005508E5" w:rsidP="003331EF">
      <w:pPr>
        <w:spacing w:before="0"/>
        <w:rPr>
          <w:iCs/>
          <w:spacing w:val="-5"/>
          <w:lang w:eastAsia="en-US"/>
        </w:rPr>
      </w:pPr>
      <w:r w:rsidRPr="003331EF">
        <w:rPr>
          <w:b/>
          <w:u w:val="single"/>
        </w:rPr>
        <w:t>Mõju ulatus:</w:t>
      </w:r>
      <w:r w:rsidRPr="003331EF">
        <w:rPr>
          <w:b/>
        </w:rPr>
        <w:t xml:space="preserve"> </w:t>
      </w:r>
      <w:r w:rsidRPr="003331EF">
        <w:rPr>
          <w:iCs/>
          <w:spacing w:val="-5"/>
          <w:lang w:eastAsia="en-US"/>
        </w:rPr>
        <w:t xml:space="preserve">Eelnõu võib mõjutada </w:t>
      </w:r>
      <w:r w:rsidR="001A4D75" w:rsidRPr="003331EF">
        <w:rPr>
          <w:iCs/>
          <w:spacing w:val="-5"/>
          <w:lang w:eastAsia="en-US"/>
        </w:rPr>
        <w:t>klientide</w:t>
      </w:r>
      <w:r w:rsidRPr="003331EF">
        <w:rPr>
          <w:iCs/>
          <w:spacing w:val="-5"/>
          <w:lang w:eastAsia="en-US"/>
        </w:rPr>
        <w:t xml:space="preserve"> käitumist</w:t>
      </w:r>
      <w:r w:rsidR="001A4D75" w:rsidRPr="003331EF">
        <w:rPr>
          <w:iCs/>
          <w:spacing w:val="-5"/>
          <w:lang w:eastAsia="en-US"/>
        </w:rPr>
        <w:t xml:space="preserve"> selles osas</w:t>
      </w:r>
      <w:r w:rsidRPr="003331EF">
        <w:rPr>
          <w:iCs/>
          <w:spacing w:val="-5"/>
          <w:lang w:eastAsia="en-US"/>
        </w:rPr>
        <w:t xml:space="preserve">, </w:t>
      </w:r>
      <w:r w:rsidR="006A5CF3" w:rsidRPr="003331EF">
        <w:rPr>
          <w:iCs/>
          <w:spacing w:val="-5"/>
          <w:lang w:eastAsia="en-US"/>
        </w:rPr>
        <w:t>et</w:t>
      </w:r>
      <w:r w:rsidRPr="003331EF">
        <w:rPr>
          <w:iCs/>
          <w:spacing w:val="-5"/>
          <w:lang w:eastAsia="en-US"/>
        </w:rPr>
        <w:t xml:space="preserve"> regulatsioonide ja finantsjärelevalve alla kuuluvaid teenuseosutajaid usaldatakse rohkem, mistõttu on isikud valmis rohkem ka oma </w:t>
      </w:r>
      <w:proofErr w:type="spellStart"/>
      <w:r w:rsidR="00A51497" w:rsidRPr="003331EF">
        <w:rPr>
          <w:iCs/>
          <w:spacing w:val="-5"/>
          <w:lang w:eastAsia="en-US"/>
        </w:rPr>
        <w:t>krüptovaraga</w:t>
      </w:r>
      <w:proofErr w:type="spellEnd"/>
      <w:r w:rsidR="00A51497" w:rsidRPr="003331EF">
        <w:rPr>
          <w:iCs/>
          <w:spacing w:val="-5"/>
          <w:lang w:eastAsia="en-US"/>
        </w:rPr>
        <w:t xml:space="preserve"> seotud tehinguid tegema.</w:t>
      </w:r>
      <w:r w:rsidRPr="003331EF">
        <w:rPr>
          <w:iCs/>
          <w:spacing w:val="-5"/>
          <w:lang w:eastAsia="en-US"/>
        </w:rPr>
        <w:t xml:space="preserve"> </w:t>
      </w:r>
      <w:r w:rsidR="00867308" w:rsidRPr="003331EF">
        <w:rPr>
          <w:iCs/>
          <w:spacing w:val="-5"/>
          <w:lang w:eastAsia="en-US"/>
        </w:rPr>
        <w:t xml:space="preserve">Majanduslik mõju sõltub, millistes mahtudes on isikud valmis oma varaga tehinguid tegema. </w:t>
      </w:r>
      <w:proofErr w:type="spellStart"/>
      <w:r w:rsidR="00F02DB9" w:rsidRPr="003331EF">
        <w:rPr>
          <w:iCs/>
          <w:spacing w:val="-5"/>
          <w:lang w:eastAsia="en-US"/>
        </w:rPr>
        <w:t>M</w:t>
      </w:r>
      <w:r w:rsidR="00143BD4">
        <w:rPr>
          <w:iCs/>
          <w:spacing w:val="-5"/>
          <w:lang w:eastAsia="en-US"/>
        </w:rPr>
        <w:t>i</w:t>
      </w:r>
      <w:r w:rsidR="00F02DB9" w:rsidRPr="003331EF">
        <w:rPr>
          <w:iCs/>
          <w:spacing w:val="-5"/>
          <w:lang w:eastAsia="en-US"/>
        </w:rPr>
        <w:t>CA</w:t>
      </w:r>
      <w:proofErr w:type="spellEnd"/>
      <w:r w:rsidR="00F02DB9" w:rsidRPr="003331EF">
        <w:rPr>
          <w:iCs/>
          <w:spacing w:val="-5"/>
          <w:lang w:eastAsia="en-US"/>
        </w:rPr>
        <w:t xml:space="preserve"> määrus peaks tagama klientide ja investorite asjakohase kaitse</w:t>
      </w:r>
      <w:r w:rsidR="00E9426E" w:rsidRPr="003331EF">
        <w:rPr>
          <w:iCs/>
          <w:spacing w:val="-5"/>
          <w:lang w:eastAsia="en-US"/>
        </w:rPr>
        <w:t xml:space="preserve">, </w:t>
      </w:r>
      <w:r w:rsidR="00F02DB9" w:rsidRPr="003331EF">
        <w:rPr>
          <w:iCs/>
          <w:spacing w:val="-5"/>
          <w:lang w:eastAsia="en-US"/>
        </w:rPr>
        <w:t>turu usaldusväärsuse</w:t>
      </w:r>
      <w:r w:rsidR="00E9426E" w:rsidRPr="003331EF">
        <w:rPr>
          <w:iCs/>
          <w:spacing w:val="-5"/>
          <w:lang w:eastAsia="en-US"/>
        </w:rPr>
        <w:t xml:space="preserve"> ja võrdsema konkurentsiolukorra sektoris, </w:t>
      </w:r>
      <w:r w:rsidR="00F02DB9" w:rsidRPr="003331EF">
        <w:rPr>
          <w:iCs/>
          <w:spacing w:val="-5"/>
          <w:lang w:eastAsia="en-US"/>
        </w:rPr>
        <w:t xml:space="preserve">võttes arvesse, et </w:t>
      </w:r>
      <w:proofErr w:type="spellStart"/>
      <w:r w:rsidR="00F02DB9" w:rsidRPr="003331EF">
        <w:rPr>
          <w:iCs/>
          <w:spacing w:val="-5"/>
          <w:lang w:eastAsia="en-US"/>
        </w:rPr>
        <w:t>krüptovarad</w:t>
      </w:r>
      <w:proofErr w:type="spellEnd"/>
      <w:r w:rsidR="00F02DB9" w:rsidRPr="003331EF">
        <w:rPr>
          <w:iCs/>
          <w:spacing w:val="-5"/>
          <w:lang w:eastAsia="en-US"/>
        </w:rPr>
        <w:t>, mis ei kuulu kehtivate finantsteenuseid käsitlevate õigusaktide kohaldamisalasse, tekitavad neidsamu riske kui tuntumad finantsinstrumendid.</w:t>
      </w:r>
    </w:p>
    <w:p w14:paraId="03976F41" w14:textId="77777777" w:rsidR="00750FC9" w:rsidRPr="003331EF" w:rsidRDefault="00750FC9" w:rsidP="003331EF">
      <w:pPr>
        <w:spacing w:before="0"/>
      </w:pPr>
    </w:p>
    <w:p w14:paraId="3671DC8E" w14:textId="5700A67D" w:rsidR="00750FC9" w:rsidRPr="003331EF" w:rsidRDefault="00750FC9" w:rsidP="003331EF">
      <w:pPr>
        <w:spacing w:before="0"/>
        <w:rPr>
          <w:iCs/>
          <w:spacing w:val="-5"/>
          <w:lang w:eastAsia="en-US"/>
        </w:rPr>
      </w:pPr>
      <w:r w:rsidRPr="003331EF">
        <w:rPr>
          <w:iCs/>
          <w:spacing w:val="-5"/>
          <w:lang w:eastAsia="en-US"/>
        </w:rPr>
        <w:t xml:space="preserve">Piiriüleste </w:t>
      </w:r>
      <w:proofErr w:type="spellStart"/>
      <w:r w:rsidRPr="003331EF">
        <w:rPr>
          <w:iCs/>
          <w:spacing w:val="-5"/>
          <w:lang w:eastAsia="en-US"/>
        </w:rPr>
        <w:t>krüptovaraülekannete</w:t>
      </w:r>
      <w:proofErr w:type="spellEnd"/>
      <w:r w:rsidRPr="003331EF">
        <w:rPr>
          <w:iCs/>
          <w:spacing w:val="-5"/>
          <w:lang w:eastAsia="en-US"/>
        </w:rPr>
        <w:t xml:space="preserve"> tegemine, kui teine osapool asub </w:t>
      </w:r>
      <w:r w:rsidR="005E2B5D" w:rsidRPr="003331EF">
        <w:rPr>
          <w:iCs/>
          <w:spacing w:val="-5"/>
          <w:lang w:eastAsia="en-US"/>
        </w:rPr>
        <w:t>EL-is</w:t>
      </w:r>
      <w:r w:rsidRPr="003331EF">
        <w:rPr>
          <w:iCs/>
          <w:spacing w:val="-5"/>
          <w:lang w:eastAsia="en-US"/>
        </w:rPr>
        <w:t>, võib lihtsustuda seoses reeglite ühtlustumisega.</w:t>
      </w:r>
      <w:r w:rsidR="00350574" w:rsidRPr="003331EF">
        <w:rPr>
          <w:iCs/>
          <w:spacing w:val="-5"/>
          <w:lang w:eastAsia="en-US"/>
        </w:rPr>
        <w:t xml:space="preserve"> Mõnel juhul võivad kehtiva õiguse kohaselt kohalduda piiriülestele ülekannetele leebemad reeglid, kui uue regulatsiooniga kavandatult. Eriti nende teenuspakkujatega seotud tehingud, kes resideeruvad liikmesriikides, kus ülekannetega seotud andmete edastamise nõudeid pole veel kohaldatud. Samas kehtiva olukorra puhul nõuete erisused liikmesriikide vahel ja teatud juhtudel liiga kõrgete riskide korral andmete edastamise võimatusest tingitud tehingu teostamise võimatus, muudavad piiriüleste </w:t>
      </w:r>
      <w:proofErr w:type="spellStart"/>
      <w:r w:rsidR="00350574" w:rsidRPr="003331EF">
        <w:rPr>
          <w:iCs/>
          <w:spacing w:val="-5"/>
          <w:lang w:eastAsia="en-US"/>
        </w:rPr>
        <w:t>krüptovaraülekannete</w:t>
      </w:r>
      <w:proofErr w:type="spellEnd"/>
      <w:r w:rsidR="00350574" w:rsidRPr="003331EF">
        <w:rPr>
          <w:iCs/>
          <w:spacing w:val="-5"/>
          <w:lang w:eastAsia="en-US"/>
        </w:rPr>
        <w:t xml:space="preserve"> teostamise võimalikkuse raskemini ennustatavaks. Ühtlustatud reeglid tagavad ülekannete teostamise kindluse ja ühtse turu rakendumise </w:t>
      </w:r>
      <w:proofErr w:type="spellStart"/>
      <w:r w:rsidR="00350574" w:rsidRPr="003331EF">
        <w:rPr>
          <w:iCs/>
          <w:spacing w:val="-5"/>
          <w:lang w:eastAsia="en-US"/>
        </w:rPr>
        <w:t>krüptovara</w:t>
      </w:r>
      <w:proofErr w:type="spellEnd"/>
      <w:r w:rsidR="00350574" w:rsidRPr="003331EF">
        <w:rPr>
          <w:iCs/>
          <w:spacing w:val="-5"/>
          <w:lang w:eastAsia="en-US"/>
        </w:rPr>
        <w:t xml:space="preserve"> ülekannete teenusele. </w:t>
      </w:r>
    </w:p>
    <w:p w14:paraId="19CD6AC9" w14:textId="77777777" w:rsidR="00E9426E" w:rsidRPr="003331EF" w:rsidRDefault="00E9426E" w:rsidP="003331EF">
      <w:pPr>
        <w:spacing w:before="0"/>
      </w:pPr>
    </w:p>
    <w:p w14:paraId="6643FC8A" w14:textId="14BDE0CC" w:rsidR="005508E5" w:rsidRPr="003331EF" w:rsidRDefault="005508E5" w:rsidP="003331EF">
      <w:pPr>
        <w:spacing w:before="0"/>
      </w:pPr>
      <w:r w:rsidRPr="003331EF">
        <w:rPr>
          <w:b/>
          <w:u w:val="single"/>
        </w:rPr>
        <w:t>Mõju avaldumise sagedus</w:t>
      </w:r>
      <w:r w:rsidRPr="003331EF">
        <w:rPr>
          <w:u w:val="single"/>
        </w:rPr>
        <w:t>:</w:t>
      </w:r>
      <w:r w:rsidRPr="003331EF">
        <w:t xml:space="preserve"> </w:t>
      </w:r>
      <w:r w:rsidRPr="003331EF">
        <w:rPr>
          <w:iCs/>
          <w:spacing w:val="-5"/>
          <w:lang w:eastAsia="en-US"/>
        </w:rPr>
        <w:t xml:space="preserve">Kuivõrd teenuseosutaja peab vastama nõuetele igal ajahetkel, siis mõju avaldub ka </w:t>
      </w:r>
      <w:proofErr w:type="spellStart"/>
      <w:r w:rsidR="00A51497" w:rsidRPr="003331EF">
        <w:rPr>
          <w:iCs/>
          <w:spacing w:val="-5"/>
          <w:lang w:eastAsia="en-US"/>
        </w:rPr>
        <w:t>krüptovarateenuse</w:t>
      </w:r>
      <w:proofErr w:type="spellEnd"/>
      <w:r w:rsidR="00A51497" w:rsidRPr="003331EF">
        <w:rPr>
          <w:iCs/>
          <w:spacing w:val="-5"/>
          <w:lang w:eastAsia="en-US"/>
        </w:rPr>
        <w:t xml:space="preserve"> kli</w:t>
      </w:r>
      <w:r w:rsidR="005F1143" w:rsidRPr="003331EF">
        <w:rPr>
          <w:iCs/>
          <w:spacing w:val="-5"/>
          <w:lang w:eastAsia="en-US"/>
        </w:rPr>
        <w:t>e</w:t>
      </w:r>
      <w:r w:rsidR="00EB54DE" w:rsidRPr="003331EF">
        <w:rPr>
          <w:iCs/>
          <w:spacing w:val="-5"/>
          <w:lang w:eastAsia="en-US"/>
        </w:rPr>
        <w:t>n</w:t>
      </w:r>
      <w:r w:rsidR="00A51497" w:rsidRPr="003331EF">
        <w:rPr>
          <w:iCs/>
          <w:spacing w:val="-5"/>
          <w:lang w:eastAsia="en-US"/>
        </w:rPr>
        <w:t xml:space="preserve">dile ja </w:t>
      </w:r>
      <w:proofErr w:type="spellStart"/>
      <w:r w:rsidR="00A51497" w:rsidRPr="003331EF">
        <w:rPr>
          <w:iCs/>
          <w:spacing w:val="-5"/>
          <w:lang w:eastAsia="en-US"/>
        </w:rPr>
        <w:t>krüptovara</w:t>
      </w:r>
      <w:proofErr w:type="spellEnd"/>
      <w:r w:rsidR="00A51497" w:rsidRPr="003331EF">
        <w:rPr>
          <w:iCs/>
          <w:spacing w:val="-5"/>
          <w:lang w:eastAsia="en-US"/>
        </w:rPr>
        <w:t xml:space="preserve"> omanikule</w:t>
      </w:r>
      <w:r w:rsidRPr="003331EF">
        <w:rPr>
          <w:iCs/>
          <w:spacing w:val="-5"/>
          <w:lang w:eastAsia="en-US"/>
        </w:rPr>
        <w:t xml:space="preserve"> iga</w:t>
      </w:r>
      <w:r w:rsidR="002B32AC" w:rsidRPr="003331EF">
        <w:rPr>
          <w:iCs/>
          <w:spacing w:val="-5"/>
          <w:lang w:eastAsia="en-US"/>
        </w:rPr>
        <w:t>l ajahetkel</w:t>
      </w:r>
      <w:r w:rsidR="008D78BF" w:rsidRPr="003331EF">
        <w:rPr>
          <w:iCs/>
          <w:spacing w:val="-5"/>
          <w:lang w:eastAsia="en-US"/>
        </w:rPr>
        <w:t>.</w:t>
      </w:r>
      <w:r w:rsidR="00350574" w:rsidRPr="003331EF">
        <w:rPr>
          <w:iCs/>
          <w:spacing w:val="-5"/>
          <w:lang w:eastAsia="en-US"/>
        </w:rPr>
        <w:t xml:space="preserve"> Kliendi jaoks kasvab teenuse usaldusväärsus, kuna tal on võimalik veenduda ülekande teostamisel ülekande teise osapoole andmetes ja hoolsusmeetmete ühtlustatud ja tulemuslikum rakendamine tõstab nende andmete usaldusväärsust. Samas võib kliendi jaoks tõusta ülekandetasu, mida tuleb tasuda iga ülekande eest või perioodilise maksena. </w:t>
      </w:r>
    </w:p>
    <w:p w14:paraId="593C2B6C" w14:textId="77777777" w:rsidR="005508E5" w:rsidRPr="003331EF" w:rsidRDefault="005508E5" w:rsidP="003331EF">
      <w:pPr>
        <w:spacing w:before="0"/>
        <w:rPr>
          <w:u w:val="single"/>
        </w:rPr>
      </w:pPr>
    </w:p>
    <w:p w14:paraId="3CDA8A7A" w14:textId="533EC989" w:rsidR="00057036" w:rsidRPr="003331EF" w:rsidRDefault="005508E5" w:rsidP="003331EF">
      <w:pPr>
        <w:spacing w:before="0"/>
        <w:rPr>
          <w:sz w:val="22"/>
          <w:szCs w:val="22"/>
        </w:rPr>
      </w:pPr>
      <w:r w:rsidRPr="003331EF">
        <w:rPr>
          <w:b/>
          <w:u w:val="single"/>
        </w:rPr>
        <w:t>Ebasoovitavate mõjude avaldumise risk</w:t>
      </w:r>
      <w:r w:rsidRPr="003331EF">
        <w:t xml:space="preserve">: </w:t>
      </w:r>
      <w:bookmarkStart w:id="114" w:name="_Hlk135129612"/>
      <w:r w:rsidR="00867308" w:rsidRPr="003331EF">
        <w:rPr>
          <w:iCs/>
          <w:spacing w:val="-5"/>
          <w:lang w:eastAsia="en-US"/>
        </w:rPr>
        <w:t xml:space="preserve">Eelnõu võib negatiivselt mõjutada </w:t>
      </w:r>
      <w:proofErr w:type="spellStart"/>
      <w:r w:rsidR="00867308" w:rsidRPr="003331EF">
        <w:rPr>
          <w:iCs/>
          <w:spacing w:val="-5"/>
          <w:lang w:eastAsia="en-US"/>
        </w:rPr>
        <w:t>RahaPTS</w:t>
      </w:r>
      <w:proofErr w:type="spellEnd"/>
      <w:r w:rsidR="00867308" w:rsidRPr="003331EF">
        <w:rPr>
          <w:iCs/>
          <w:spacing w:val="-5"/>
          <w:lang w:eastAsia="en-US"/>
        </w:rPr>
        <w:t xml:space="preserve"> tegevusloa alusel tegutsevate </w:t>
      </w:r>
      <w:r w:rsidR="005E7406" w:rsidRPr="003331EF">
        <w:rPr>
          <w:iCs/>
          <w:spacing w:val="-5"/>
          <w:lang w:eastAsia="en-US"/>
        </w:rPr>
        <w:t>VASP</w:t>
      </w:r>
      <w:r w:rsidR="00867308" w:rsidRPr="003331EF">
        <w:rPr>
          <w:iCs/>
          <w:spacing w:val="-5"/>
          <w:lang w:eastAsia="en-US"/>
        </w:rPr>
        <w:t xml:space="preserve"> kliente, </w:t>
      </w:r>
      <w:r w:rsidR="00D427C9" w:rsidRPr="003331EF">
        <w:rPr>
          <w:iCs/>
          <w:spacing w:val="-5"/>
          <w:lang w:eastAsia="en-US"/>
        </w:rPr>
        <w:t>kui teenusepakkuja</w:t>
      </w:r>
      <w:r w:rsidR="00867308" w:rsidRPr="003331EF">
        <w:rPr>
          <w:iCs/>
          <w:spacing w:val="-5"/>
          <w:lang w:eastAsia="en-US"/>
        </w:rPr>
        <w:t xml:space="preserve"> ei soovi </w:t>
      </w:r>
      <w:proofErr w:type="spellStart"/>
      <w:r w:rsidR="00867308" w:rsidRPr="003331EF">
        <w:rPr>
          <w:iCs/>
          <w:spacing w:val="-5"/>
          <w:lang w:eastAsia="en-US"/>
        </w:rPr>
        <w:t>M</w:t>
      </w:r>
      <w:r w:rsidR="00057036" w:rsidRPr="003331EF">
        <w:rPr>
          <w:iCs/>
          <w:spacing w:val="-5"/>
          <w:lang w:eastAsia="en-US"/>
        </w:rPr>
        <w:t>i</w:t>
      </w:r>
      <w:r w:rsidR="00867308" w:rsidRPr="003331EF">
        <w:rPr>
          <w:iCs/>
          <w:spacing w:val="-5"/>
          <w:lang w:eastAsia="en-US"/>
        </w:rPr>
        <w:t>CA</w:t>
      </w:r>
      <w:proofErr w:type="spellEnd"/>
      <w:r w:rsidR="00867308" w:rsidRPr="003331EF">
        <w:rPr>
          <w:iCs/>
          <w:spacing w:val="-5"/>
          <w:lang w:eastAsia="en-US"/>
        </w:rPr>
        <w:t xml:space="preserve"> määruse alusel tegevust jätkata või ei saa selleks uut tegevusluba. </w:t>
      </w:r>
      <w:proofErr w:type="spellStart"/>
      <w:r w:rsidR="00AF5AF6" w:rsidRPr="003331EF">
        <w:rPr>
          <w:iCs/>
          <w:spacing w:val="-5"/>
          <w:lang w:eastAsia="en-US"/>
        </w:rPr>
        <w:t>RahaPTS</w:t>
      </w:r>
      <w:proofErr w:type="spellEnd"/>
      <w:r w:rsidR="00AF5AF6" w:rsidRPr="003331EF">
        <w:rPr>
          <w:iCs/>
          <w:spacing w:val="-5"/>
          <w:lang w:eastAsia="en-US"/>
        </w:rPr>
        <w:t xml:space="preserve"> ei näe ette spetsiifilisi kliendikaitse nõude</w:t>
      </w:r>
      <w:r w:rsidR="00057036" w:rsidRPr="003331EF">
        <w:rPr>
          <w:iCs/>
          <w:spacing w:val="-5"/>
          <w:lang w:eastAsia="en-US"/>
        </w:rPr>
        <w:t>i</w:t>
      </w:r>
      <w:r w:rsidR="00AF5AF6" w:rsidRPr="003331EF">
        <w:rPr>
          <w:iCs/>
          <w:spacing w:val="-5"/>
          <w:lang w:eastAsia="en-US"/>
        </w:rPr>
        <w:t xml:space="preserve">d tegevust lõpetavale </w:t>
      </w:r>
      <w:r w:rsidR="00057036" w:rsidRPr="003331EF">
        <w:rPr>
          <w:iCs/>
          <w:spacing w:val="-5"/>
          <w:lang w:eastAsia="en-US"/>
        </w:rPr>
        <w:t>VASP-</w:t>
      </w:r>
      <w:proofErr w:type="spellStart"/>
      <w:r w:rsidR="00057036" w:rsidRPr="003331EF">
        <w:rPr>
          <w:iCs/>
          <w:spacing w:val="-5"/>
          <w:lang w:eastAsia="en-US"/>
        </w:rPr>
        <w:t>le</w:t>
      </w:r>
      <w:proofErr w:type="spellEnd"/>
      <w:r w:rsidR="00AF5AF6" w:rsidRPr="003331EF">
        <w:rPr>
          <w:iCs/>
          <w:spacing w:val="-5"/>
          <w:lang w:eastAsia="en-US"/>
        </w:rPr>
        <w:t xml:space="preserve">. Tegevuse lõpetamine toimub äriseadustikus sätestatud korras. </w:t>
      </w:r>
      <w:bookmarkEnd w:id="114"/>
      <w:r w:rsidR="00BB458F" w:rsidRPr="003331EF">
        <w:rPr>
          <w:iCs/>
          <w:spacing w:val="-5"/>
          <w:lang w:eastAsia="en-US"/>
        </w:rPr>
        <w:t xml:space="preserve">Kuna viidatud probleem seoses </w:t>
      </w:r>
      <w:proofErr w:type="spellStart"/>
      <w:r w:rsidR="006F6642" w:rsidRPr="003331EF">
        <w:rPr>
          <w:iCs/>
          <w:spacing w:val="-5"/>
          <w:lang w:eastAsia="en-US"/>
        </w:rPr>
        <w:t>VASPi</w:t>
      </w:r>
      <w:proofErr w:type="spellEnd"/>
      <w:r w:rsidR="00BB458F" w:rsidRPr="003331EF">
        <w:rPr>
          <w:iCs/>
          <w:spacing w:val="-5"/>
          <w:lang w:eastAsia="en-US"/>
        </w:rPr>
        <w:t xml:space="preserve"> tegevuse lõpetamisega on esinenud aastaid, ei saa öelda, et </w:t>
      </w:r>
      <w:r w:rsidR="003F5145" w:rsidRPr="003331EF">
        <w:rPr>
          <w:iCs/>
          <w:spacing w:val="-5"/>
          <w:lang w:eastAsia="en-US"/>
        </w:rPr>
        <w:t>eelnõu tooks otseselt kaasa</w:t>
      </w:r>
      <w:r w:rsidR="00BB458F" w:rsidRPr="003331EF">
        <w:rPr>
          <w:iCs/>
          <w:spacing w:val="-5"/>
          <w:lang w:eastAsia="en-US"/>
        </w:rPr>
        <w:t xml:space="preserve"> täiendavaid riske klientidele,</w:t>
      </w:r>
      <w:r w:rsidR="003F5145" w:rsidRPr="003331EF">
        <w:rPr>
          <w:iCs/>
          <w:spacing w:val="-5"/>
          <w:lang w:eastAsia="en-US"/>
        </w:rPr>
        <w:t xml:space="preserve"> küll võib eelnõu suureneda riski, et </w:t>
      </w:r>
      <w:r w:rsidR="006F6642" w:rsidRPr="003331EF">
        <w:rPr>
          <w:iCs/>
          <w:spacing w:val="-5"/>
          <w:lang w:eastAsia="en-US"/>
        </w:rPr>
        <w:t>VASP</w:t>
      </w:r>
      <w:r w:rsidR="003F5145" w:rsidRPr="003331EF">
        <w:rPr>
          <w:iCs/>
          <w:spacing w:val="-5"/>
          <w:lang w:eastAsia="en-US"/>
        </w:rPr>
        <w:t xml:space="preserve"> peab tegevuse lõpetama</w:t>
      </w:r>
      <w:r w:rsidR="005A6276" w:rsidRPr="003331EF">
        <w:rPr>
          <w:iCs/>
          <w:spacing w:val="-5"/>
          <w:lang w:eastAsia="en-US"/>
        </w:rPr>
        <w:t xml:space="preserve"> ja sealtkaudu avaldub mõju klientidele. </w:t>
      </w:r>
      <w:proofErr w:type="spellStart"/>
      <w:r w:rsidR="00A70A34" w:rsidRPr="003331EF">
        <w:rPr>
          <w:iCs/>
          <w:spacing w:val="-5"/>
          <w:lang w:eastAsia="en-US"/>
        </w:rPr>
        <w:t>RAB-il</w:t>
      </w:r>
      <w:proofErr w:type="spellEnd"/>
      <w:r w:rsidR="00A70A34" w:rsidRPr="003331EF">
        <w:rPr>
          <w:iCs/>
          <w:spacing w:val="-5"/>
          <w:lang w:eastAsia="en-US"/>
        </w:rPr>
        <w:t xml:space="preserve"> puuduvad meetmed klientide ja investorite vara kaitsmiseks, et viimased saaks </w:t>
      </w:r>
      <w:proofErr w:type="spellStart"/>
      <w:r w:rsidR="00A70A34" w:rsidRPr="003331EF">
        <w:rPr>
          <w:iCs/>
          <w:spacing w:val="-5"/>
          <w:lang w:eastAsia="en-US"/>
        </w:rPr>
        <w:t>VASP-i</w:t>
      </w:r>
      <w:proofErr w:type="spellEnd"/>
      <w:r w:rsidR="00A70A34" w:rsidRPr="003331EF">
        <w:rPr>
          <w:iCs/>
          <w:spacing w:val="-5"/>
          <w:lang w:eastAsia="en-US"/>
        </w:rPr>
        <w:t xml:space="preserve"> tegevuse lõppedes oma nõuded rahuldatud</w:t>
      </w:r>
      <w:r w:rsidR="00F554F9" w:rsidRPr="003331EF">
        <w:rPr>
          <w:iCs/>
          <w:spacing w:val="-5"/>
          <w:lang w:eastAsia="en-US"/>
        </w:rPr>
        <w:t xml:space="preserve">, mis ei tähenda, et klient jääks ilma õigusest saada tagasi oma vara, kuid selle nõude rahuldamisega võib kaasneda kulu ja selle nõude rahuldamine pole alati tagatud, kuna </w:t>
      </w:r>
      <w:proofErr w:type="spellStart"/>
      <w:r w:rsidR="00F554F9" w:rsidRPr="003331EF">
        <w:rPr>
          <w:iCs/>
          <w:spacing w:val="-5"/>
          <w:lang w:eastAsia="en-US"/>
        </w:rPr>
        <w:t>VASP-il</w:t>
      </w:r>
      <w:proofErr w:type="spellEnd"/>
      <w:r w:rsidR="00F554F9" w:rsidRPr="003331EF">
        <w:rPr>
          <w:iCs/>
          <w:spacing w:val="-5"/>
          <w:lang w:eastAsia="en-US"/>
        </w:rPr>
        <w:t xml:space="preserve"> ei pruugi olla piisavalt vabasid vahendeid kõigi nõuete rahuldamiseks</w:t>
      </w:r>
      <w:r w:rsidR="00A70A34" w:rsidRPr="003331EF">
        <w:rPr>
          <w:iCs/>
          <w:spacing w:val="-5"/>
          <w:lang w:eastAsia="en-US"/>
        </w:rPr>
        <w:t>.</w:t>
      </w:r>
      <w:r w:rsidR="00A70A34" w:rsidRPr="003331EF">
        <w:rPr>
          <w:sz w:val="22"/>
          <w:szCs w:val="22"/>
        </w:rPr>
        <w:t xml:space="preserve"> </w:t>
      </w:r>
      <w:r w:rsidR="00057036" w:rsidRPr="003331EF">
        <w:rPr>
          <w:iCs/>
          <w:spacing w:val="-5"/>
          <w:lang w:eastAsia="en-US"/>
        </w:rPr>
        <w:t xml:space="preserve">Siiski on eelnõus ette nähtud ka kohustus, et VASP peab teavitama klienti oma tegevuse </w:t>
      </w:r>
      <w:proofErr w:type="spellStart"/>
      <w:r w:rsidR="00057036" w:rsidRPr="003331EF">
        <w:rPr>
          <w:iCs/>
          <w:spacing w:val="-5"/>
          <w:lang w:eastAsia="en-US"/>
        </w:rPr>
        <w:t>lõptamisest</w:t>
      </w:r>
      <w:proofErr w:type="spellEnd"/>
      <w:r w:rsidR="00057036" w:rsidRPr="003331EF">
        <w:rPr>
          <w:iCs/>
          <w:spacing w:val="-5"/>
          <w:lang w:eastAsia="en-US"/>
        </w:rPr>
        <w:t xml:space="preserve"> ja talle mõistliku aja jooksul varad tema nimetatud rahakoti aadressile või maksekontole tagastama. Sama kehtib juhul, kui ettevõtja ei saa Finantsinspektsioonilt tegevusluba ja peab oma tegevuse seetõttu lõpetama.</w:t>
      </w:r>
    </w:p>
    <w:p w14:paraId="27883152" w14:textId="77777777" w:rsidR="00057036" w:rsidRPr="003331EF" w:rsidRDefault="00057036" w:rsidP="003331EF">
      <w:pPr>
        <w:spacing w:before="0"/>
        <w:rPr>
          <w:sz w:val="22"/>
          <w:szCs w:val="22"/>
        </w:rPr>
      </w:pPr>
    </w:p>
    <w:p w14:paraId="1912E606" w14:textId="13292209" w:rsidR="00E9426E" w:rsidRPr="003331EF" w:rsidRDefault="00BB458F" w:rsidP="003331EF">
      <w:pPr>
        <w:spacing w:before="0"/>
        <w:rPr>
          <w:iCs/>
          <w:spacing w:val="-5"/>
          <w:lang w:eastAsia="en-US"/>
        </w:rPr>
      </w:pPr>
      <w:r w:rsidRPr="003331EF">
        <w:rPr>
          <w:iCs/>
          <w:spacing w:val="-5"/>
          <w:lang w:eastAsia="en-US"/>
        </w:rPr>
        <w:t>Käesoleva eelnõu pikaajaline mõju on kliendikaitse tugevdamine</w:t>
      </w:r>
      <w:r w:rsidR="003F5145" w:rsidRPr="003331EF">
        <w:rPr>
          <w:iCs/>
          <w:spacing w:val="-5"/>
          <w:lang w:eastAsia="en-US"/>
        </w:rPr>
        <w:t xml:space="preserve">, kuivõrd </w:t>
      </w:r>
      <w:r w:rsidR="00311A35" w:rsidRPr="003331EF">
        <w:rPr>
          <w:iCs/>
          <w:spacing w:val="-5"/>
          <w:lang w:eastAsia="en-US"/>
        </w:rPr>
        <w:t>selleks, et</w:t>
      </w:r>
      <w:r w:rsidR="003F5145" w:rsidRPr="003331EF">
        <w:rPr>
          <w:iCs/>
          <w:spacing w:val="-5"/>
          <w:lang w:eastAsia="en-US"/>
        </w:rPr>
        <w:t xml:space="preserve"> </w:t>
      </w:r>
      <w:r w:rsidR="00D4546C" w:rsidRPr="003331EF">
        <w:rPr>
          <w:iCs/>
          <w:spacing w:val="-5"/>
          <w:lang w:eastAsia="en-US"/>
        </w:rPr>
        <w:t xml:space="preserve"> </w:t>
      </w:r>
      <w:proofErr w:type="spellStart"/>
      <w:r w:rsidR="00D4546C" w:rsidRPr="003331EF">
        <w:rPr>
          <w:iCs/>
          <w:spacing w:val="-5"/>
          <w:lang w:eastAsia="en-US"/>
        </w:rPr>
        <w:t>M</w:t>
      </w:r>
      <w:r w:rsidR="0019289B">
        <w:rPr>
          <w:iCs/>
          <w:spacing w:val="-5"/>
          <w:lang w:eastAsia="en-US"/>
        </w:rPr>
        <w:t>i</w:t>
      </w:r>
      <w:r w:rsidR="00D4546C" w:rsidRPr="003331EF">
        <w:rPr>
          <w:iCs/>
          <w:spacing w:val="-5"/>
          <w:lang w:eastAsia="en-US"/>
        </w:rPr>
        <w:t>CA</w:t>
      </w:r>
      <w:proofErr w:type="spellEnd"/>
      <w:r w:rsidR="00D4546C" w:rsidRPr="003331EF">
        <w:rPr>
          <w:iCs/>
          <w:spacing w:val="-5"/>
          <w:lang w:eastAsia="en-US"/>
        </w:rPr>
        <w:t xml:space="preserve"> määruse alusel tegutsev </w:t>
      </w:r>
      <w:proofErr w:type="spellStart"/>
      <w:r w:rsidR="00D4546C" w:rsidRPr="003331EF">
        <w:rPr>
          <w:iCs/>
          <w:spacing w:val="-5"/>
          <w:lang w:eastAsia="en-US"/>
        </w:rPr>
        <w:t>krüptovarateenuse</w:t>
      </w:r>
      <w:proofErr w:type="spellEnd"/>
      <w:r w:rsidR="00D4546C" w:rsidRPr="003331EF">
        <w:rPr>
          <w:iCs/>
          <w:spacing w:val="-5"/>
          <w:lang w:eastAsia="en-US"/>
        </w:rPr>
        <w:t xml:space="preserve"> osutaja s</w:t>
      </w:r>
      <w:r w:rsidR="00311A35" w:rsidRPr="003331EF">
        <w:rPr>
          <w:iCs/>
          <w:spacing w:val="-5"/>
          <w:lang w:eastAsia="en-US"/>
        </w:rPr>
        <w:t>aaks</w:t>
      </w:r>
      <w:r w:rsidR="00D4546C" w:rsidRPr="003331EF">
        <w:rPr>
          <w:iCs/>
          <w:spacing w:val="-5"/>
          <w:lang w:eastAsia="en-US"/>
        </w:rPr>
        <w:t xml:space="preserve"> tegevust lõpetada, </w:t>
      </w:r>
      <w:r w:rsidR="00311A35" w:rsidRPr="003331EF">
        <w:rPr>
          <w:iCs/>
          <w:spacing w:val="-5"/>
          <w:lang w:eastAsia="en-US"/>
        </w:rPr>
        <w:t xml:space="preserve">peab ta </w:t>
      </w:r>
      <w:r w:rsidR="00D4546C" w:rsidRPr="003331EF">
        <w:rPr>
          <w:iCs/>
          <w:spacing w:val="-5"/>
          <w:lang w:eastAsia="en-US"/>
        </w:rPr>
        <w:t xml:space="preserve">peab saama selleks FI loa. Teenuseosutaja peab hindama enda lõpetamise mõju klientide huvidele. Samuti peab ta kinnitama, et kõik  kliendisuhted ja kliendilepingud on lõpetatud või loovutatud teisele </w:t>
      </w:r>
      <w:proofErr w:type="spellStart"/>
      <w:r w:rsidR="00D4546C" w:rsidRPr="003331EF">
        <w:rPr>
          <w:iCs/>
          <w:spacing w:val="-5"/>
          <w:lang w:eastAsia="en-US"/>
        </w:rPr>
        <w:t>krüptovarateenuse</w:t>
      </w:r>
      <w:proofErr w:type="spellEnd"/>
      <w:r w:rsidR="00D4546C" w:rsidRPr="003331EF">
        <w:rPr>
          <w:iCs/>
          <w:spacing w:val="-5"/>
          <w:lang w:eastAsia="en-US"/>
        </w:rPr>
        <w:t xml:space="preserve"> osutajale.</w:t>
      </w:r>
    </w:p>
    <w:p w14:paraId="330F056C" w14:textId="77777777" w:rsidR="00D4546C" w:rsidRPr="003331EF" w:rsidRDefault="00D4546C" w:rsidP="003331EF">
      <w:pPr>
        <w:spacing w:before="0"/>
      </w:pPr>
    </w:p>
    <w:p w14:paraId="171389F9" w14:textId="75ACB1B7" w:rsidR="00E9426E" w:rsidRPr="003331EF" w:rsidRDefault="00AF5AF6" w:rsidP="003331EF">
      <w:pPr>
        <w:spacing w:before="0"/>
        <w:rPr>
          <w:iCs/>
          <w:spacing w:val="-5"/>
          <w:lang w:eastAsia="en-US"/>
        </w:rPr>
      </w:pPr>
      <w:r w:rsidRPr="003331EF">
        <w:rPr>
          <w:iCs/>
          <w:spacing w:val="-5"/>
          <w:lang w:eastAsia="en-US"/>
        </w:rPr>
        <w:t xml:space="preserve">Seoses </w:t>
      </w:r>
      <w:r w:rsidR="00AF3A10" w:rsidRPr="003331EF">
        <w:rPr>
          <w:iCs/>
          <w:spacing w:val="-5"/>
          <w:lang w:eastAsia="en-US"/>
        </w:rPr>
        <w:t>variandiga</w:t>
      </w:r>
      <w:r w:rsidRPr="003331EF">
        <w:rPr>
          <w:iCs/>
          <w:spacing w:val="-5"/>
          <w:lang w:eastAsia="en-US"/>
        </w:rPr>
        <w:t>, et teenuse</w:t>
      </w:r>
      <w:r w:rsidR="00AF3A10" w:rsidRPr="003331EF">
        <w:rPr>
          <w:iCs/>
          <w:spacing w:val="-5"/>
          <w:lang w:eastAsia="en-US"/>
        </w:rPr>
        <w:t xml:space="preserve"> pakkujate </w:t>
      </w:r>
      <w:r w:rsidRPr="003331EF">
        <w:rPr>
          <w:iCs/>
          <w:spacing w:val="-5"/>
          <w:lang w:eastAsia="en-US"/>
        </w:rPr>
        <w:t>arv võib uute nõuete rakendumisel väheneda, siis a</w:t>
      </w:r>
      <w:r w:rsidR="00E9426E" w:rsidRPr="003331EF">
        <w:rPr>
          <w:iCs/>
          <w:spacing w:val="-5"/>
          <w:lang w:eastAsia="en-US"/>
        </w:rPr>
        <w:t xml:space="preserve">rvestades teenuste pakkujate üsna suurt hulka, ei ole alust eeldada, et uute nõuete järgimisega konkurentsi vähenemine selle teenuse turul klientide jaoks olulisi negatiivseid tagajärgi kaasa tooks. Kui </w:t>
      </w:r>
      <w:r w:rsidR="00E9426E" w:rsidRPr="003331EF">
        <w:rPr>
          <w:iCs/>
          <w:spacing w:val="-5"/>
          <w:lang w:eastAsia="en-US"/>
        </w:rPr>
        <w:lastRenderedPageBreak/>
        <w:t>teenusepakkujad vastavad senisest kõrgematele standarditele ja suudavad seeläbi paremini võimalikke riske maandada, siis on see ka tarbijate jaoks positiivne. Tavalise tarbija jaoks ei ole muudatus ulatuslik, kuna turg on rahvusvaheline ja teenuseid tarbitakse piiriüleselt ning paljud Eesti tegevusloaga teenuspakkujad ei ole suunatud Eesti turule. Seetõttu on teenuse tarbijale avalduva mõju ulatus väike.</w:t>
      </w:r>
    </w:p>
    <w:p w14:paraId="589D8827" w14:textId="77777777" w:rsidR="005508E5" w:rsidRPr="003331EF" w:rsidRDefault="005508E5" w:rsidP="003331EF">
      <w:pPr>
        <w:spacing w:before="0"/>
        <w:rPr>
          <w:i/>
          <w:iCs/>
        </w:rPr>
      </w:pPr>
    </w:p>
    <w:p w14:paraId="4677F005" w14:textId="2AC66C88" w:rsidR="005508E5" w:rsidRPr="003331EF" w:rsidRDefault="005508E5" w:rsidP="003331EF">
      <w:pPr>
        <w:spacing w:before="0"/>
        <w:rPr>
          <w:u w:val="single"/>
        </w:rPr>
      </w:pPr>
      <w:r w:rsidRPr="003331EF">
        <w:rPr>
          <w:b/>
          <w:u w:val="single"/>
        </w:rPr>
        <w:t>Mõju olulisus</w:t>
      </w:r>
      <w:r w:rsidRPr="003331EF">
        <w:rPr>
          <w:u w:val="single"/>
        </w:rPr>
        <w:t>:</w:t>
      </w:r>
      <w:r w:rsidRPr="003331EF">
        <w:t xml:space="preserve"> </w:t>
      </w:r>
      <w:r w:rsidRPr="003331EF">
        <w:rPr>
          <w:iCs/>
          <w:spacing w:val="-5"/>
          <w:lang w:eastAsia="en-US"/>
        </w:rPr>
        <w:t xml:space="preserve">Uue regulatsiooniga tõhustatakse </w:t>
      </w:r>
      <w:r w:rsidR="00A51497" w:rsidRPr="003331EF">
        <w:rPr>
          <w:iCs/>
          <w:spacing w:val="-5"/>
          <w:lang w:eastAsia="en-US"/>
        </w:rPr>
        <w:t>kli</w:t>
      </w:r>
      <w:r w:rsidR="002B32AC" w:rsidRPr="003331EF">
        <w:rPr>
          <w:iCs/>
          <w:spacing w:val="-5"/>
          <w:lang w:eastAsia="en-US"/>
        </w:rPr>
        <w:t>e</w:t>
      </w:r>
      <w:r w:rsidR="00A51497" w:rsidRPr="003331EF">
        <w:rPr>
          <w:iCs/>
          <w:spacing w:val="-5"/>
          <w:lang w:eastAsia="en-US"/>
        </w:rPr>
        <w:t>ndi</w:t>
      </w:r>
      <w:r w:rsidRPr="003331EF">
        <w:rPr>
          <w:iCs/>
          <w:spacing w:val="-5"/>
          <w:lang w:eastAsia="en-US"/>
        </w:rPr>
        <w:t>kaitse nõudeid ja mõju</w:t>
      </w:r>
      <w:r w:rsidR="00A70A34" w:rsidRPr="003331EF">
        <w:rPr>
          <w:iCs/>
          <w:spacing w:val="-5"/>
          <w:lang w:eastAsia="en-US"/>
        </w:rPr>
        <w:t xml:space="preserve"> enamike klientide puhul</w:t>
      </w:r>
      <w:r w:rsidRPr="003331EF">
        <w:rPr>
          <w:iCs/>
          <w:spacing w:val="-5"/>
          <w:lang w:eastAsia="en-US"/>
        </w:rPr>
        <w:t xml:space="preserve"> pidada positiivseks ehk mõju on selles tähenduses oluline</w:t>
      </w:r>
      <w:r w:rsidR="00E9426E" w:rsidRPr="003331EF">
        <w:rPr>
          <w:iCs/>
          <w:spacing w:val="-5"/>
          <w:lang w:eastAsia="en-US"/>
        </w:rPr>
        <w:t>.</w:t>
      </w:r>
    </w:p>
    <w:p w14:paraId="023FDC51" w14:textId="77777777" w:rsidR="005508E5" w:rsidRPr="003331EF" w:rsidRDefault="005508E5" w:rsidP="003331EF">
      <w:pPr>
        <w:spacing w:before="0"/>
        <w:rPr>
          <w:b/>
          <w:i/>
        </w:rPr>
      </w:pPr>
    </w:p>
    <w:p w14:paraId="1E25FB65" w14:textId="590BEF18" w:rsidR="00803172" w:rsidRPr="003331EF" w:rsidRDefault="00CA68EB" w:rsidP="003331EF">
      <w:pPr>
        <w:spacing w:before="0"/>
        <w:rPr>
          <w:b/>
        </w:rPr>
      </w:pPr>
      <w:r w:rsidRPr="003331EF">
        <w:rPr>
          <w:b/>
        </w:rPr>
        <w:t>6.1.</w:t>
      </w:r>
      <w:r w:rsidR="00803172" w:rsidRPr="003331EF">
        <w:rPr>
          <w:b/>
        </w:rPr>
        <w:t>4. Majanduslik mõju tegevusloata väikefondi valitseja fondi investoritele</w:t>
      </w:r>
    </w:p>
    <w:p w14:paraId="14AF6FD6" w14:textId="6C4E97E4" w:rsidR="00803172" w:rsidRPr="003331EF" w:rsidRDefault="00803172" w:rsidP="003331EF">
      <w:pPr>
        <w:spacing w:before="0"/>
        <w:rPr>
          <w:b/>
        </w:rPr>
      </w:pPr>
      <w:r w:rsidRPr="003331EF">
        <w:rPr>
          <w:b/>
        </w:rPr>
        <w:t xml:space="preserve"> </w:t>
      </w:r>
    </w:p>
    <w:p w14:paraId="296231B2" w14:textId="77777777" w:rsidR="00803172" w:rsidRPr="003331EF" w:rsidRDefault="00803172" w:rsidP="003331EF">
      <w:pPr>
        <w:spacing w:before="0"/>
        <w:rPr>
          <w:rStyle w:val="Kommentaariviide"/>
          <w:rFonts w:eastAsiaTheme="majorEastAsia"/>
          <w:sz w:val="24"/>
          <w:szCs w:val="24"/>
        </w:rPr>
      </w:pPr>
      <w:r w:rsidRPr="003331EF">
        <w:rPr>
          <w:b/>
          <w:u w:val="single"/>
        </w:rPr>
        <w:t>Sihtrühm</w:t>
      </w:r>
      <w:r w:rsidRPr="003331EF">
        <w:rPr>
          <w:u w:val="single"/>
        </w:rPr>
        <w:t>:</w:t>
      </w:r>
      <w:r w:rsidRPr="003331EF">
        <w:t xml:space="preserve"> </w:t>
      </w:r>
      <w:r w:rsidRPr="003331EF">
        <w:rPr>
          <w:iCs/>
          <w:spacing w:val="-5"/>
          <w:lang w:eastAsia="en-US"/>
        </w:rPr>
        <w:t xml:space="preserve">Kõik praegused ja tulevased kliendid. Sihtrühma suurust täpsemalt on keeruline hinnata, sest tegevusloata väikefondi valitsejad ei ole kohustatud esitama teavet oma investorite struktuuri kohta. Siiski võib pidada sihtrühma pigem väikeseks, kuna fondide mahud on piiratud. Suurem osa investoritest on kutselised investorid ja </w:t>
      </w:r>
      <w:proofErr w:type="spellStart"/>
      <w:r w:rsidRPr="003331EF">
        <w:rPr>
          <w:iCs/>
          <w:spacing w:val="-5"/>
          <w:lang w:eastAsia="en-US"/>
        </w:rPr>
        <w:t>jaeinvestorid</w:t>
      </w:r>
      <w:proofErr w:type="spellEnd"/>
      <w:r w:rsidRPr="003331EF">
        <w:rPr>
          <w:iCs/>
          <w:spacing w:val="-5"/>
          <w:lang w:eastAsia="en-US"/>
        </w:rPr>
        <w:t xml:space="preserve"> investeerivad pigem avalikesse fondidesse. Teadaolevalt on </w:t>
      </w:r>
      <w:proofErr w:type="spellStart"/>
      <w:r w:rsidRPr="003331EF">
        <w:rPr>
          <w:iCs/>
          <w:spacing w:val="-5"/>
          <w:lang w:eastAsia="en-US"/>
        </w:rPr>
        <w:t>jaeinvestorite</w:t>
      </w:r>
      <w:proofErr w:type="spellEnd"/>
      <w:r w:rsidRPr="003331EF">
        <w:rPr>
          <w:iCs/>
          <w:spacing w:val="-5"/>
          <w:lang w:eastAsia="en-US"/>
        </w:rPr>
        <w:t xml:space="preserve"> (sh nii füüsiliste kui juriidiliste isikute) osakaal tegevusloata väikefondi valitsejate fondides võrreldes nt börsiinvestoritega (avalikesse fondidesse investeerijatega) suhteliselt väike.</w:t>
      </w:r>
      <w:r w:rsidRPr="003331EF" w:rsidDel="00A309E6">
        <w:rPr>
          <w:rStyle w:val="Kommentaariviide"/>
          <w:rFonts w:eastAsiaTheme="majorEastAsia"/>
          <w:sz w:val="24"/>
          <w:szCs w:val="24"/>
        </w:rPr>
        <w:t xml:space="preserve"> </w:t>
      </w:r>
    </w:p>
    <w:p w14:paraId="6F5A2845" w14:textId="77777777" w:rsidR="00803172" w:rsidRPr="003331EF" w:rsidRDefault="00803172" w:rsidP="003331EF">
      <w:pPr>
        <w:spacing w:before="0"/>
      </w:pPr>
    </w:p>
    <w:p w14:paraId="60CD02AC" w14:textId="48708B95" w:rsidR="0026481C" w:rsidRPr="003331EF" w:rsidRDefault="00803172" w:rsidP="003331EF">
      <w:pPr>
        <w:spacing w:before="0"/>
      </w:pPr>
      <w:r w:rsidRPr="003331EF">
        <w:rPr>
          <w:b/>
          <w:bCs/>
          <w:u w:val="single"/>
        </w:rPr>
        <w:t>Mõju ulatus:</w:t>
      </w:r>
      <w:r w:rsidRPr="003331EF">
        <w:rPr>
          <w:b/>
          <w:bCs/>
        </w:rPr>
        <w:t xml:space="preserve"> </w:t>
      </w:r>
      <w:r w:rsidR="0026481C" w:rsidRPr="003331EF">
        <w:rPr>
          <w:iCs/>
          <w:spacing w:val="-5"/>
          <w:lang w:eastAsia="en-US"/>
        </w:rPr>
        <w:t>väike</w:t>
      </w:r>
      <w:r w:rsidRPr="003331EF">
        <w:rPr>
          <w:iCs/>
          <w:spacing w:val="-5"/>
          <w:lang w:eastAsia="en-US"/>
        </w:rPr>
        <w:t>. Muudatuse</w:t>
      </w:r>
      <w:r w:rsidR="0026481C" w:rsidRPr="003331EF">
        <w:rPr>
          <w:iCs/>
          <w:spacing w:val="-5"/>
          <w:lang w:eastAsia="en-US"/>
        </w:rPr>
        <w:t xml:space="preserve">d ei puuduta investoreid niivõrd otseselt. Läbi reklaaminõude paraneb investorite teadlikkus tegevusloata väikefondi valitsejate pakutavate fondide spetsiifikast (et tegemist ei ole </w:t>
      </w:r>
      <w:proofErr w:type="spellStart"/>
      <w:r w:rsidR="0026481C" w:rsidRPr="003331EF">
        <w:rPr>
          <w:iCs/>
          <w:spacing w:val="-5"/>
          <w:lang w:eastAsia="en-US"/>
        </w:rPr>
        <w:t>tegevusloastatud</w:t>
      </w:r>
      <w:proofErr w:type="spellEnd"/>
      <w:r w:rsidR="0026481C" w:rsidRPr="003331EF">
        <w:rPr>
          <w:iCs/>
          <w:spacing w:val="-5"/>
          <w:lang w:eastAsia="en-US"/>
        </w:rPr>
        <w:t xml:space="preserve"> finantsteenusega ja fondide üle ei teostata finantsjärelevalvet), mis võib eelkõige </w:t>
      </w:r>
      <w:proofErr w:type="spellStart"/>
      <w:r w:rsidR="0026481C" w:rsidRPr="003331EF">
        <w:rPr>
          <w:iCs/>
          <w:spacing w:val="-5"/>
          <w:lang w:eastAsia="en-US"/>
        </w:rPr>
        <w:t>jaeinvestorite</w:t>
      </w:r>
      <w:proofErr w:type="spellEnd"/>
      <w:r w:rsidR="0026481C" w:rsidRPr="003331EF">
        <w:rPr>
          <w:iCs/>
          <w:spacing w:val="-5"/>
          <w:lang w:eastAsia="en-US"/>
        </w:rPr>
        <w:t xml:space="preserve"> puhul panna neid otsustama mõne muu investeerimisvõimaluse kasuks. Mitteavalikud fondid, mida tegevusloata väikefondi valitsejad pakuvad,</w:t>
      </w:r>
      <w:r w:rsidRPr="003331EF">
        <w:rPr>
          <w:iCs/>
          <w:spacing w:val="-5"/>
          <w:lang w:eastAsia="en-US"/>
        </w:rPr>
        <w:t xml:space="preserve"> ei olegi</w:t>
      </w:r>
      <w:r w:rsidR="0026481C" w:rsidRPr="003331EF">
        <w:rPr>
          <w:iCs/>
          <w:spacing w:val="-5"/>
          <w:lang w:eastAsia="en-US"/>
        </w:rPr>
        <w:t xml:space="preserve"> aga olemuslikult</w:t>
      </w:r>
      <w:r w:rsidRPr="003331EF">
        <w:rPr>
          <w:iCs/>
          <w:spacing w:val="-5"/>
          <w:lang w:eastAsia="en-US"/>
        </w:rPr>
        <w:t xml:space="preserve">  </w:t>
      </w:r>
      <w:proofErr w:type="spellStart"/>
      <w:r w:rsidRPr="003331EF">
        <w:rPr>
          <w:iCs/>
          <w:spacing w:val="-5"/>
          <w:lang w:eastAsia="en-US"/>
        </w:rPr>
        <w:t>jaeinvestoritele</w:t>
      </w:r>
      <w:proofErr w:type="spellEnd"/>
      <w:r w:rsidRPr="003331EF">
        <w:rPr>
          <w:iCs/>
          <w:spacing w:val="-5"/>
          <w:lang w:eastAsia="en-US"/>
        </w:rPr>
        <w:t xml:space="preserve"> suunatud.</w:t>
      </w:r>
      <w:r w:rsidRPr="003331EF">
        <w:t xml:space="preserve"> </w:t>
      </w:r>
    </w:p>
    <w:p w14:paraId="21A6BB3B" w14:textId="77777777" w:rsidR="0026481C" w:rsidRPr="003331EF" w:rsidRDefault="0026481C" w:rsidP="003331EF">
      <w:pPr>
        <w:spacing w:before="0"/>
      </w:pPr>
    </w:p>
    <w:p w14:paraId="3719420C" w14:textId="638B28E9" w:rsidR="00803172" w:rsidRPr="003331EF" w:rsidRDefault="0026481C" w:rsidP="003331EF">
      <w:pPr>
        <w:spacing w:before="0"/>
        <w:rPr>
          <w:b/>
          <w:bCs/>
        </w:rPr>
      </w:pPr>
      <w:r w:rsidRPr="003331EF">
        <w:t xml:space="preserve">Investorite huvide kaitsest lähtuvalt on kehtestatud tegevusloata väikefondi valitsejatele ka kapitalinõue 25 000 euro suuruses summas. Selle muudatuse majanduslik mõju investoritele avaldub, kui meede suudab sektorist eemale hoida kuritahtlikel eesmärkidel tegutsevaid äriühinguid. Majanduslik mõju võib avalduda ka olukorras, kus fondivalitseja on oma tegevusega põhjustanud valitsetava fondi investoritele kahju, mida tal hüvitada tuleb. Muu hulgas on väikefondi valitsejal võimalik siis kasutada ka oma kapitali.   </w:t>
      </w:r>
      <w:r w:rsidR="00803172" w:rsidRPr="003331EF">
        <w:rPr>
          <w:b/>
          <w:bCs/>
        </w:rPr>
        <w:t xml:space="preserve"> </w:t>
      </w:r>
    </w:p>
    <w:p w14:paraId="360B2F9A" w14:textId="77777777" w:rsidR="00750FC9" w:rsidRPr="003331EF" w:rsidRDefault="00750FC9" w:rsidP="003331EF">
      <w:pPr>
        <w:spacing w:before="0"/>
        <w:rPr>
          <w:b/>
          <w:bCs/>
        </w:rPr>
      </w:pPr>
    </w:p>
    <w:p w14:paraId="5F078BAB" w14:textId="20A7B896" w:rsidR="00803172" w:rsidRPr="003331EF" w:rsidRDefault="00803172" w:rsidP="003331EF">
      <w:pPr>
        <w:spacing w:before="0"/>
      </w:pPr>
      <w:r w:rsidRPr="003331EF">
        <w:rPr>
          <w:b/>
          <w:bCs/>
          <w:u w:val="single"/>
        </w:rPr>
        <w:t>Mõju avaldumise sagedus:</w:t>
      </w:r>
      <w:r w:rsidRPr="003331EF">
        <w:t xml:space="preserve"> </w:t>
      </w:r>
      <w:r w:rsidRPr="003331EF">
        <w:rPr>
          <w:iCs/>
          <w:spacing w:val="-5"/>
          <w:lang w:eastAsia="en-US"/>
        </w:rPr>
        <w:t>väike. Laiemalt olemasolevate ja potentsiaalsete investorite kokkupuude muudatustega on harv, kuna muudatuste adressaadiks on ennekõike fondivalitsejad.</w:t>
      </w:r>
      <w:r w:rsidR="00A4059C" w:rsidRPr="003331EF">
        <w:rPr>
          <w:iCs/>
          <w:spacing w:val="-5"/>
          <w:lang w:eastAsia="en-US"/>
        </w:rPr>
        <w:t xml:space="preserve"> Klientidele avaldub</w:t>
      </w:r>
      <w:r w:rsidR="0026481C" w:rsidRPr="003331EF">
        <w:rPr>
          <w:iCs/>
          <w:spacing w:val="-5"/>
          <w:lang w:eastAsia="en-US"/>
        </w:rPr>
        <w:t xml:space="preserve"> reklaaminõudest tingitud</w:t>
      </w:r>
      <w:r w:rsidR="00A4059C" w:rsidRPr="003331EF">
        <w:rPr>
          <w:iCs/>
          <w:spacing w:val="-5"/>
          <w:lang w:eastAsia="en-US"/>
        </w:rPr>
        <w:t xml:space="preserve"> mõju eelkõige neile tehtavate pakkumiste kaudu ning sellised pakkumised omavad pigem ebaregulaarset iseloomu.</w:t>
      </w:r>
      <w:r w:rsidR="0026481C" w:rsidRPr="003331EF">
        <w:rPr>
          <w:iCs/>
          <w:spacing w:val="-5"/>
          <w:lang w:eastAsia="en-US"/>
        </w:rPr>
        <w:t xml:space="preserve"> Tegevusloata väikefondi valitseja kapitalinõudest tingitud majandusliku mõju avaldumise sagedus on samuti väike (kahju tekitamine ja hüvitamine). </w:t>
      </w:r>
      <w:r w:rsidR="00A4059C" w:rsidRPr="003331EF">
        <w:rPr>
          <w:iCs/>
          <w:spacing w:val="-5"/>
          <w:lang w:eastAsia="en-US"/>
        </w:rPr>
        <w:t xml:space="preserve"> </w:t>
      </w:r>
    </w:p>
    <w:p w14:paraId="3BC50EBB" w14:textId="77777777" w:rsidR="00803172" w:rsidRPr="003331EF" w:rsidRDefault="00803172" w:rsidP="003331EF">
      <w:pPr>
        <w:spacing w:before="0"/>
      </w:pPr>
    </w:p>
    <w:p w14:paraId="3F85F9A3" w14:textId="2831EBE0" w:rsidR="00803172" w:rsidRPr="003331EF" w:rsidRDefault="00803172" w:rsidP="003331EF">
      <w:pPr>
        <w:spacing w:before="0"/>
        <w:rPr>
          <w:iCs/>
          <w:spacing w:val="-5"/>
          <w:lang w:eastAsia="en-US"/>
        </w:rPr>
      </w:pPr>
      <w:r w:rsidRPr="003331EF">
        <w:rPr>
          <w:b/>
          <w:bCs/>
          <w:u w:val="single"/>
        </w:rPr>
        <w:t>Ebasoovitavate mõjude kaasnemise risk:</w:t>
      </w:r>
      <w:r w:rsidRPr="003331EF">
        <w:t xml:space="preserve"> </w:t>
      </w:r>
      <w:r w:rsidR="0026481C" w:rsidRPr="003331EF">
        <w:rPr>
          <w:iCs/>
          <w:spacing w:val="-5"/>
          <w:lang w:eastAsia="en-US"/>
        </w:rPr>
        <w:t>puudub</w:t>
      </w:r>
      <w:r w:rsidRPr="003331EF">
        <w:rPr>
          <w:iCs/>
          <w:spacing w:val="-5"/>
          <w:lang w:eastAsia="en-US"/>
        </w:rPr>
        <w:t>. Investoritele ei kaasne negatiivse iseloomuga (koormav, piirav) mõjusid</w:t>
      </w:r>
      <w:r w:rsidR="00A4059C" w:rsidRPr="003331EF">
        <w:rPr>
          <w:iCs/>
          <w:spacing w:val="-5"/>
          <w:lang w:eastAsia="en-US"/>
        </w:rPr>
        <w:t xml:space="preserve">. </w:t>
      </w:r>
      <w:r w:rsidR="0026481C" w:rsidRPr="003331EF">
        <w:rPr>
          <w:iCs/>
          <w:spacing w:val="-5"/>
          <w:lang w:eastAsia="en-US"/>
        </w:rPr>
        <w:t>V</w:t>
      </w:r>
      <w:r w:rsidRPr="003331EF">
        <w:rPr>
          <w:iCs/>
          <w:spacing w:val="-5"/>
          <w:lang w:eastAsia="en-US"/>
        </w:rPr>
        <w:t xml:space="preserve">astupidi – muudatuste tulemusel peaks investeerimiskeskkond kujunema üldiselt õigusselgemaks ja usaldusväärsemaks. </w:t>
      </w:r>
    </w:p>
    <w:p w14:paraId="662E32F6" w14:textId="77777777" w:rsidR="00803172" w:rsidRPr="003331EF" w:rsidRDefault="00803172" w:rsidP="003331EF">
      <w:pPr>
        <w:spacing w:before="0"/>
        <w:rPr>
          <w:iCs/>
          <w:spacing w:val="-5"/>
          <w:lang w:eastAsia="en-US"/>
        </w:rPr>
      </w:pPr>
    </w:p>
    <w:p w14:paraId="11C6A5E1" w14:textId="77777777" w:rsidR="00803172" w:rsidRPr="003331EF" w:rsidRDefault="00803172" w:rsidP="003331EF">
      <w:pPr>
        <w:spacing w:before="0"/>
        <w:rPr>
          <w:iCs/>
          <w:spacing w:val="-5"/>
          <w:lang w:eastAsia="en-US"/>
        </w:rPr>
      </w:pPr>
      <w:r w:rsidRPr="003331EF">
        <w:rPr>
          <w:iCs/>
          <w:spacing w:val="-5"/>
          <w:lang w:eastAsia="en-US"/>
        </w:rPr>
        <w:t xml:space="preserve">Seoses võimalusega, et kehtestatavate nõuete tõttu võib teenusepakkujate arv (olemasolevad ja potentsiaalsed uued) mõnevõrra väheneda, siis võttes arvesse teenusepakkujate üsna suurt hulka ei ole siiski alust eeldada, et uutest nõuetest tingitud konkurentsi vähenemine antud teenuse turul klientide jaoks olulisi negatiivseid tagajärgi kaasa tooks.   </w:t>
      </w:r>
    </w:p>
    <w:p w14:paraId="0254EAB8" w14:textId="77777777" w:rsidR="00803172" w:rsidRPr="003331EF" w:rsidRDefault="00803172" w:rsidP="003331EF">
      <w:pPr>
        <w:spacing w:before="0"/>
      </w:pPr>
    </w:p>
    <w:p w14:paraId="0CD65D0B" w14:textId="0DD41A71" w:rsidR="00803172" w:rsidRPr="003331EF" w:rsidRDefault="00803172" w:rsidP="003331EF">
      <w:pPr>
        <w:spacing w:before="0"/>
        <w:rPr>
          <w:u w:val="single"/>
        </w:rPr>
      </w:pPr>
      <w:bookmarkStart w:id="115" w:name="_Hlk152837149"/>
      <w:r w:rsidRPr="003331EF">
        <w:rPr>
          <w:b/>
          <w:u w:val="single"/>
        </w:rPr>
        <w:t>Mõju olulisus</w:t>
      </w:r>
      <w:r w:rsidRPr="003331EF">
        <w:rPr>
          <w:u w:val="single"/>
        </w:rPr>
        <w:t>:</w:t>
      </w:r>
      <w:r w:rsidRPr="003331EF">
        <w:t xml:space="preserve"> </w:t>
      </w:r>
      <w:r w:rsidRPr="003331EF">
        <w:rPr>
          <w:iCs/>
          <w:spacing w:val="-5"/>
          <w:lang w:eastAsia="en-US"/>
        </w:rPr>
        <w:t>Uue regulatsiooniga</w:t>
      </w:r>
      <w:r w:rsidR="0026481C" w:rsidRPr="003331EF">
        <w:rPr>
          <w:iCs/>
          <w:spacing w:val="-5"/>
          <w:lang w:eastAsia="en-US"/>
        </w:rPr>
        <w:t xml:space="preserve"> tõstetakse investorite teadlikkust</w:t>
      </w:r>
      <w:r w:rsidR="00933636" w:rsidRPr="003331EF">
        <w:rPr>
          <w:iCs/>
          <w:spacing w:val="-5"/>
          <w:lang w:eastAsia="en-US"/>
        </w:rPr>
        <w:t xml:space="preserve">, </w:t>
      </w:r>
      <w:r w:rsidR="00D171A1" w:rsidRPr="003331EF">
        <w:rPr>
          <w:iCs/>
          <w:spacing w:val="-5"/>
          <w:lang w:eastAsia="en-US"/>
        </w:rPr>
        <w:t>läbi nõuete mõningase karmistamise tugevdatakse sektorit  tervikuna</w:t>
      </w:r>
      <w:r w:rsidR="00933636" w:rsidRPr="003331EF">
        <w:rPr>
          <w:iCs/>
          <w:spacing w:val="-5"/>
          <w:lang w:eastAsia="en-US"/>
        </w:rPr>
        <w:t>,</w:t>
      </w:r>
      <w:r w:rsidRPr="003331EF">
        <w:rPr>
          <w:iCs/>
          <w:spacing w:val="-5"/>
          <w:lang w:eastAsia="en-US"/>
        </w:rPr>
        <w:t xml:space="preserve"> mistõttu tuleb </w:t>
      </w:r>
      <w:r w:rsidR="00D171A1" w:rsidRPr="003331EF">
        <w:rPr>
          <w:iCs/>
          <w:spacing w:val="-5"/>
          <w:lang w:eastAsia="en-US"/>
        </w:rPr>
        <w:t xml:space="preserve">muudatuste </w:t>
      </w:r>
      <w:r w:rsidR="00933636" w:rsidRPr="003331EF">
        <w:rPr>
          <w:iCs/>
          <w:spacing w:val="-5"/>
          <w:lang w:eastAsia="en-US"/>
        </w:rPr>
        <w:t xml:space="preserve">kaudset </w:t>
      </w:r>
      <w:r w:rsidRPr="003331EF">
        <w:rPr>
          <w:iCs/>
          <w:spacing w:val="-5"/>
          <w:lang w:eastAsia="en-US"/>
        </w:rPr>
        <w:t xml:space="preserve">mõju </w:t>
      </w:r>
      <w:r w:rsidR="00933636" w:rsidRPr="003331EF">
        <w:rPr>
          <w:iCs/>
          <w:spacing w:val="-5"/>
          <w:lang w:eastAsia="en-US"/>
        </w:rPr>
        <w:t xml:space="preserve">investoritele </w:t>
      </w:r>
      <w:r w:rsidR="00D171A1" w:rsidRPr="003331EF">
        <w:rPr>
          <w:iCs/>
          <w:spacing w:val="-5"/>
          <w:lang w:eastAsia="en-US"/>
        </w:rPr>
        <w:t xml:space="preserve">kokkuvõttes </w:t>
      </w:r>
      <w:r w:rsidRPr="003331EF">
        <w:rPr>
          <w:iCs/>
          <w:spacing w:val="-5"/>
          <w:lang w:eastAsia="en-US"/>
        </w:rPr>
        <w:t xml:space="preserve">pidada positiivseks ja  selles tähenduses </w:t>
      </w:r>
      <w:r w:rsidR="00933636" w:rsidRPr="003331EF">
        <w:rPr>
          <w:iCs/>
          <w:spacing w:val="-5"/>
          <w:lang w:eastAsia="en-US"/>
        </w:rPr>
        <w:t xml:space="preserve">siiski </w:t>
      </w:r>
      <w:r w:rsidRPr="003331EF">
        <w:rPr>
          <w:iCs/>
          <w:spacing w:val="-5"/>
          <w:lang w:eastAsia="en-US"/>
        </w:rPr>
        <w:t>ka oluliseks.</w:t>
      </w:r>
    </w:p>
    <w:bookmarkEnd w:id="115"/>
    <w:p w14:paraId="1FFB65EB" w14:textId="77777777" w:rsidR="00E64F39" w:rsidRPr="003331EF" w:rsidRDefault="00E64F39" w:rsidP="003331EF">
      <w:pPr>
        <w:spacing w:before="0"/>
        <w:rPr>
          <w:b/>
        </w:rPr>
      </w:pPr>
    </w:p>
    <w:p w14:paraId="2FF4DE37" w14:textId="50BEB844" w:rsidR="00E64F39" w:rsidRPr="003331EF" w:rsidRDefault="00E64F39" w:rsidP="003331EF">
      <w:pPr>
        <w:spacing w:before="0"/>
        <w:rPr>
          <w:b/>
        </w:rPr>
      </w:pPr>
      <w:r w:rsidRPr="003331EF">
        <w:rPr>
          <w:b/>
        </w:rPr>
        <w:t>6.1.5. Majanduslik mõju nn väikeemitentidele (väärtpaberiprospekti koostamise kohustuse künnise tõstmine 8 mln euroni)</w:t>
      </w:r>
    </w:p>
    <w:p w14:paraId="0A264A08" w14:textId="77777777" w:rsidR="00E64F39" w:rsidRPr="003331EF" w:rsidRDefault="00E64F39" w:rsidP="003331EF">
      <w:pPr>
        <w:spacing w:before="0"/>
        <w:rPr>
          <w:iCs/>
          <w:spacing w:val="-5"/>
          <w:lang w:eastAsia="en-US"/>
        </w:rPr>
      </w:pPr>
    </w:p>
    <w:p w14:paraId="3C4D075D" w14:textId="47E5F928" w:rsidR="00E64F39" w:rsidRPr="003331EF" w:rsidRDefault="00E64F39" w:rsidP="003331EF">
      <w:pPr>
        <w:spacing w:before="0"/>
        <w:rPr>
          <w:iCs/>
          <w:spacing w:val="-5"/>
          <w:lang w:eastAsia="en-US"/>
        </w:rPr>
      </w:pPr>
      <w:r w:rsidRPr="003331EF">
        <w:rPr>
          <w:b/>
          <w:u w:val="single"/>
        </w:rPr>
        <w:t>Sihtrühm:</w:t>
      </w:r>
      <w:r w:rsidRPr="003331EF">
        <w:t xml:space="preserve"> </w:t>
      </w:r>
      <w:r w:rsidRPr="003331EF">
        <w:rPr>
          <w:iCs/>
          <w:spacing w:val="-5"/>
          <w:lang w:eastAsia="en-US"/>
        </w:rPr>
        <w:t xml:space="preserve">Eelnõuga muudetakse lisaks ka väärtpaberituru seaduse §-i 15, mis tähendab lihtsustatult seda, et äriühingud, kes soovivad </w:t>
      </w:r>
      <w:proofErr w:type="spellStart"/>
      <w:r w:rsidRPr="003331EF">
        <w:rPr>
          <w:iCs/>
          <w:spacing w:val="-5"/>
          <w:lang w:eastAsia="en-US"/>
        </w:rPr>
        <w:t>aktisate</w:t>
      </w:r>
      <w:proofErr w:type="spellEnd"/>
      <w:r w:rsidRPr="003331EF">
        <w:rPr>
          <w:iCs/>
          <w:spacing w:val="-5"/>
          <w:lang w:eastAsia="en-US"/>
        </w:rPr>
        <w:t xml:space="preserve"> või võlakirjade kaudu avalikkuselt raha kaasata, saavad seda edaspidi lihtsamalt teha – kui seni peab üle 5 mln euro suuruste emissioonide puhul koostama EL prospektimääruse kohase prospekti, siis edaspidi saab kuni 8 mln suuruse emissiooni korraldada nii, et ei pea eelnimetatud määruse nõudeid järgima (ehk halduskoormus väheneb). Küll aga tuleb järgida Rahandusministri määrusega</w:t>
      </w:r>
      <w:r w:rsidRPr="003331EF">
        <w:rPr>
          <w:rStyle w:val="Allmrkuseviide"/>
          <w:iCs/>
          <w:spacing w:val="-5"/>
          <w:lang w:eastAsia="en-US"/>
        </w:rPr>
        <w:footnoteReference w:id="35"/>
      </w:r>
      <w:r w:rsidRPr="003331EF">
        <w:rPr>
          <w:iCs/>
          <w:spacing w:val="-5"/>
          <w:lang w:eastAsia="en-US"/>
        </w:rPr>
        <w:t xml:space="preserve"> ettenähtud teabe andmise nõudeid investoritele (mis on aga </w:t>
      </w:r>
      <w:r w:rsidR="004554CF" w:rsidRPr="003331EF">
        <w:rPr>
          <w:iCs/>
          <w:spacing w:val="-5"/>
          <w:lang w:eastAsia="en-US"/>
        </w:rPr>
        <w:t xml:space="preserve">üksjagu </w:t>
      </w:r>
      <w:r w:rsidRPr="003331EF">
        <w:rPr>
          <w:iCs/>
          <w:spacing w:val="-5"/>
          <w:lang w:eastAsia="en-US"/>
        </w:rPr>
        <w:t>vähem</w:t>
      </w:r>
      <w:r w:rsidR="004554CF" w:rsidRPr="003331EF">
        <w:rPr>
          <w:iCs/>
          <w:spacing w:val="-5"/>
          <w:lang w:eastAsia="en-US"/>
        </w:rPr>
        <w:t xml:space="preserve"> </w:t>
      </w:r>
      <w:r w:rsidRPr="003331EF">
        <w:rPr>
          <w:iCs/>
          <w:spacing w:val="-5"/>
          <w:lang w:eastAsia="en-US"/>
        </w:rPr>
        <w:t xml:space="preserve">koormavam võrreldes EL prospektimääruse kohase prospekti koostamisega). </w:t>
      </w:r>
    </w:p>
    <w:p w14:paraId="160A8F78" w14:textId="030D378F" w:rsidR="00E64F39" w:rsidRPr="003331EF" w:rsidRDefault="00E64F39" w:rsidP="003331EF">
      <w:pPr>
        <w:spacing w:before="0"/>
        <w:rPr>
          <w:iCs/>
          <w:spacing w:val="-5"/>
          <w:lang w:eastAsia="en-US"/>
        </w:rPr>
      </w:pPr>
      <w:r w:rsidRPr="003331EF">
        <w:rPr>
          <w:iCs/>
          <w:spacing w:val="-5"/>
          <w:lang w:eastAsia="en-US"/>
        </w:rPr>
        <w:t xml:space="preserve">Keeruline on aga ennustada/prognoosida, kui palju äriühinguid seda võimalust tulevikus rohkem kasutaksid – s.t. </w:t>
      </w:r>
      <w:r w:rsidR="004554CF" w:rsidRPr="003331EF">
        <w:rPr>
          <w:iCs/>
          <w:spacing w:val="-5"/>
          <w:lang w:eastAsia="en-US"/>
        </w:rPr>
        <w:t xml:space="preserve">kui palju äriühinguid </w:t>
      </w:r>
      <w:r w:rsidRPr="003331EF">
        <w:rPr>
          <w:iCs/>
          <w:spacing w:val="-5"/>
          <w:lang w:eastAsia="en-US"/>
        </w:rPr>
        <w:t>teeksid alla 8 mln euro suuruseid emissioone. Finantsinspektsiooni kodulehelt on näha, et käesoleval aastal on nö täismahus prospekti (EL prospektimääruse nõuetele vastava prospekti) koostanud ja avalikustanud 5 emitenti</w:t>
      </w:r>
      <w:r w:rsidRPr="003331EF">
        <w:rPr>
          <w:rStyle w:val="Allmrkuseviide"/>
          <w:iCs/>
          <w:spacing w:val="-5"/>
          <w:lang w:eastAsia="en-US"/>
        </w:rPr>
        <w:footnoteReference w:id="36"/>
      </w:r>
      <w:r w:rsidRPr="003331EF">
        <w:rPr>
          <w:iCs/>
          <w:spacing w:val="-5"/>
          <w:lang w:eastAsia="en-US"/>
        </w:rPr>
        <w:t xml:space="preserve">. </w:t>
      </w:r>
    </w:p>
    <w:p w14:paraId="79F2C861" w14:textId="46877E1C" w:rsidR="00E64F39" w:rsidRPr="003331EF" w:rsidRDefault="00E64F39" w:rsidP="003331EF">
      <w:pPr>
        <w:spacing w:before="0"/>
        <w:rPr>
          <w:iCs/>
          <w:spacing w:val="-5"/>
          <w:lang w:eastAsia="en-US"/>
        </w:rPr>
      </w:pPr>
      <w:r w:rsidRPr="003331EF">
        <w:rPr>
          <w:iCs/>
          <w:spacing w:val="-5"/>
          <w:lang w:eastAsia="en-US"/>
        </w:rPr>
        <w:t>Aga antud juhul on potentsiaalsete väikeemitentide arv teadmata</w:t>
      </w:r>
      <w:r w:rsidR="004554CF" w:rsidRPr="003331EF">
        <w:rPr>
          <w:iCs/>
          <w:spacing w:val="-5"/>
          <w:lang w:eastAsia="en-US"/>
        </w:rPr>
        <w:t xml:space="preserve"> – nn vastavate infodokumentide ja teabe andmise nõuete koormus väheneb, kuid ka selliste emissioonide puhul tuleb nö appi võtta professionaalne emissiooni korraldaja (pank või investeerimisühing), millega kaasneb ka vastav kulu.</w:t>
      </w:r>
    </w:p>
    <w:p w14:paraId="22450AE8" w14:textId="77777777" w:rsidR="00E64F39" w:rsidRPr="003331EF" w:rsidRDefault="00E64F39" w:rsidP="003331EF">
      <w:pPr>
        <w:spacing w:before="0"/>
        <w:rPr>
          <w:b/>
          <w:bCs/>
          <w:u w:val="single"/>
        </w:rPr>
      </w:pPr>
    </w:p>
    <w:p w14:paraId="7D5501D9" w14:textId="390B3053" w:rsidR="00E64F39" w:rsidRPr="003331EF" w:rsidRDefault="00E64F39" w:rsidP="003331EF">
      <w:pPr>
        <w:spacing w:before="0"/>
        <w:rPr>
          <w:iCs/>
          <w:spacing w:val="-5"/>
          <w:lang w:eastAsia="en-US"/>
        </w:rPr>
      </w:pPr>
      <w:commentRangeStart w:id="116"/>
      <w:r w:rsidRPr="003331EF">
        <w:rPr>
          <w:b/>
          <w:bCs/>
          <w:u w:val="single"/>
        </w:rPr>
        <w:t>Mõju ulatus:</w:t>
      </w:r>
      <w:r w:rsidRPr="003331EF">
        <w:rPr>
          <w:b/>
          <w:bCs/>
        </w:rPr>
        <w:t xml:space="preserve"> </w:t>
      </w:r>
      <w:r w:rsidRPr="003331EF">
        <w:t xml:space="preserve">tervikuna </w:t>
      </w:r>
      <w:r w:rsidRPr="003331EF">
        <w:rPr>
          <w:iCs/>
          <w:spacing w:val="-5"/>
          <w:lang w:eastAsia="en-US"/>
        </w:rPr>
        <w:t>väike (konkreetselt Eesti kapitalituru tähenduses keskmine).</w:t>
      </w:r>
      <w:commentRangeEnd w:id="116"/>
      <w:r w:rsidR="00CD0231">
        <w:rPr>
          <w:rStyle w:val="Kommentaariviide"/>
          <w:lang w:val="en-GB" w:eastAsia="en-US"/>
        </w:rPr>
        <w:commentReference w:id="116"/>
      </w:r>
    </w:p>
    <w:p w14:paraId="5965F98D" w14:textId="77777777" w:rsidR="00E64F39" w:rsidRPr="003331EF" w:rsidRDefault="00E64F39" w:rsidP="003331EF">
      <w:pPr>
        <w:spacing w:before="0"/>
        <w:rPr>
          <w:iCs/>
          <w:spacing w:val="-5"/>
          <w:lang w:eastAsia="en-US"/>
        </w:rPr>
      </w:pPr>
    </w:p>
    <w:p w14:paraId="4249EA97" w14:textId="3F7A5BEE" w:rsidR="00E64F39" w:rsidRPr="003331EF" w:rsidRDefault="00E64F39" w:rsidP="003331EF">
      <w:pPr>
        <w:spacing w:before="0"/>
        <w:rPr>
          <w:iCs/>
          <w:spacing w:val="-5"/>
          <w:lang w:eastAsia="en-US"/>
        </w:rPr>
      </w:pPr>
      <w:r w:rsidRPr="003331EF">
        <w:rPr>
          <w:b/>
          <w:bCs/>
          <w:u w:val="single"/>
        </w:rPr>
        <w:t>Mõju avaldumise sagedus:</w:t>
      </w:r>
      <w:r w:rsidRPr="003331EF">
        <w:t xml:space="preserve"> </w:t>
      </w:r>
      <w:r w:rsidRPr="003331EF">
        <w:rPr>
          <w:iCs/>
          <w:spacing w:val="-5"/>
          <w:lang w:eastAsia="en-US"/>
        </w:rPr>
        <w:t>väike. Äriühingute jaoks, kes soovivad aktsiate/võlakirjade kaudu raha kaasata lihtsustuvad nõuded teabe avaldamisele</w:t>
      </w:r>
      <w:r w:rsidR="004554CF" w:rsidRPr="003331EF">
        <w:rPr>
          <w:iCs/>
          <w:spacing w:val="-5"/>
          <w:lang w:eastAsia="en-US"/>
        </w:rPr>
        <w:t xml:space="preserve">, </w:t>
      </w:r>
      <w:commentRangeStart w:id="117"/>
      <w:r w:rsidR="004554CF" w:rsidRPr="003331EF">
        <w:rPr>
          <w:iCs/>
          <w:spacing w:val="-5"/>
          <w:lang w:eastAsia="en-US"/>
        </w:rPr>
        <w:t>kuid tõenäoliselt kasutavad seda võimalust siiski väga väike osa</w:t>
      </w:r>
      <w:commentRangeEnd w:id="117"/>
      <w:r w:rsidR="00CD0231">
        <w:rPr>
          <w:rStyle w:val="Kommentaariviide"/>
          <w:lang w:val="en-GB" w:eastAsia="en-US"/>
        </w:rPr>
        <w:commentReference w:id="117"/>
      </w:r>
      <w:r w:rsidR="004554CF" w:rsidRPr="003331EF">
        <w:rPr>
          <w:iCs/>
          <w:spacing w:val="-5"/>
          <w:lang w:eastAsia="en-US"/>
        </w:rPr>
        <w:t xml:space="preserve"> (arvestades äriühingute arvu kokku).</w:t>
      </w:r>
    </w:p>
    <w:p w14:paraId="4308838B" w14:textId="77777777" w:rsidR="00E64F39" w:rsidRPr="003331EF" w:rsidRDefault="00E64F39" w:rsidP="003331EF">
      <w:pPr>
        <w:spacing w:before="0"/>
        <w:rPr>
          <w:iCs/>
          <w:spacing w:val="-5"/>
          <w:lang w:eastAsia="en-US"/>
        </w:rPr>
      </w:pPr>
    </w:p>
    <w:p w14:paraId="18595635" w14:textId="2772B664" w:rsidR="00E64F39" w:rsidRPr="003331EF" w:rsidRDefault="00E64F39" w:rsidP="003331EF">
      <w:pPr>
        <w:spacing w:before="0"/>
        <w:rPr>
          <w:iCs/>
          <w:spacing w:val="-5"/>
          <w:lang w:eastAsia="en-US"/>
        </w:rPr>
      </w:pPr>
      <w:r w:rsidRPr="003331EF">
        <w:rPr>
          <w:b/>
          <w:bCs/>
          <w:u w:val="single"/>
        </w:rPr>
        <w:t>Ebasoovitavate mõjude kaasnemise risk:</w:t>
      </w:r>
      <w:r w:rsidRPr="003331EF">
        <w:t xml:space="preserve"> </w:t>
      </w:r>
      <w:r w:rsidRPr="003331EF">
        <w:rPr>
          <w:iCs/>
          <w:spacing w:val="-5"/>
          <w:lang w:eastAsia="en-US"/>
        </w:rPr>
        <w:t xml:space="preserve">väike. Antud emissioonide puhul (alla 8 mln euro) on investorite nn kaitse tase küll väiksem (teabe andmise nõuded ja Finantsinspektsiooni roll), kuid tervikuna ei tohiks see investoritele kaasa tuua ülemääraseid negatiivse iseloomuga riske. Oluline on, et investorid ise selliste emissioonide puhul oleksid piisavalt teadlikud ja tutvuksid neile antava teabega ning teeksid selle põhjalt õigeid järeldusi. </w:t>
      </w:r>
    </w:p>
    <w:p w14:paraId="6C9559B6" w14:textId="77777777" w:rsidR="00E64F39" w:rsidRPr="003331EF" w:rsidRDefault="00E64F39" w:rsidP="003331EF">
      <w:pPr>
        <w:spacing w:before="0"/>
        <w:rPr>
          <w:iCs/>
          <w:spacing w:val="-5"/>
          <w:lang w:eastAsia="en-US"/>
        </w:rPr>
      </w:pPr>
    </w:p>
    <w:p w14:paraId="1BA15C29" w14:textId="34423041" w:rsidR="00E64F39" w:rsidRPr="003331EF" w:rsidRDefault="00E64F39" w:rsidP="003331EF">
      <w:pPr>
        <w:spacing w:before="0"/>
        <w:rPr>
          <w:b/>
        </w:rPr>
      </w:pPr>
      <w:r w:rsidRPr="003331EF">
        <w:rPr>
          <w:b/>
          <w:u w:val="single"/>
        </w:rPr>
        <w:t>Mõju olulisus</w:t>
      </w:r>
      <w:r w:rsidRPr="003331EF">
        <w:rPr>
          <w:u w:val="single"/>
        </w:rPr>
        <w:t>:</w:t>
      </w:r>
      <w:r w:rsidRPr="003331EF">
        <w:t xml:space="preserve"> </w:t>
      </w:r>
      <w:r w:rsidRPr="003331EF">
        <w:rPr>
          <w:iCs/>
          <w:spacing w:val="-5"/>
          <w:lang w:eastAsia="en-US"/>
        </w:rPr>
        <w:t>muudatustega aidatakse üskjagu kaasa Eesti kapitalituru arengule (s.t. äriühinguid motiveeritakse lisaks traditsioonilistele rahastamisviisidele – pangalaenud jms, kaaluma ka muid alternatiive – eelkõige läbi aktsiate/võlakirjade emiteerimise).</w:t>
      </w:r>
    </w:p>
    <w:p w14:paraId="74BE36E8" w14:textId="77777777" w:rsidR="00803172" w:rsidRPr="003331EF" w:rsidRDefault="00803172" w:rsidP="003331EF">
      <w:pPr>
        <w:spacing w:before="0"/>
        <w:rPr>
          <w:b/>
          <w:i/>
          <w:iCs/>
        </w:rPr>
      </w:pPr>
    </w:p>
    <w:p w14:paraId="25107A82" w14:textId="77777777" w:rsidR="00057036" w:rsidRPr="003331EF" w:rsidRDefault="00057036" w:rsidP="003331EF">
      <w:pPr>
        <w:spacing w:before="0"/>
        <w:rPr>
          <w:b/>
        </w:rPr>
      </w:pPr>
      <w:r w:rsidRPr="003331EF">
        <w:rPr>
          <w:b/>
        </w:rPr>
        <w:t xml:space="preserve">6.3. Sotsiaalne mõju </w:t>
      </w:r>
    </w:p>
    <w:p w14:paraId="04388414" w14:textId="77777777" w:rsidR="00057036" w:rsidRPr="003331EF" w:rsidRDefault="00057036" w:rsidP="003331EF">
      <w:pPr>
        <w:spacing w:before="0"/>
        <w:rPr>
          <w:b/>
        </w:rPr>
      </w:pPr>
      <w:r w:rsidRPr="003331EF">
        <w:rPr>
          <w:b/>
        </w:rPr>
        <w:t xml:space="preserve">6.3.1. Sotsiaalne mõju </w:t>
      </w:r>
      <w:proofErr w:type="spellStart"/>
      <w:r w:rsidRPr="003331EF">
        <w:rPr>
          <w:b/>
        </w:rPr>
        <w:t>krüptovarateenuse</w:t>
      </w:r>
      <w:proofErr w:type="spellEnd"/>
      <w:r w:rsidRPr="003331EF">
        <w:rPr>
          <w:b/>
        </w:rPr>
        <w:t xml:space="preserve"> osutajale</w:t>
      </w:r>
    </w:p>
    <w:p w14:paraId="072FA53F" w14:textId="77777777" w:rsidR="00057036" w:rsidRPr="003331EF" w:rsidRDefault="00057036" w:rsidP="003331EF">
      <w:pPr>
        <w:spacing w:before="0"/>
        <w:rPr>
          <w:b/>
        </w:rPr>
      </w:pPr>
    </w:p>
    <w:p w14:paraId="49E31B48" w14:textId="77777777" w:rsidR="00057036" w:rsidRPr="003331EF" w:rsidRDefault="00057036" w:rsidP="003331EF">
      <w:pPr>
        <w:spacing w:before="0"/>
      </w:pPr>
      <w:r w:rsidRPr="003331EF">
        <w:rPr>
          <w:b/>
          <w:u w:val="single"/>
        </w:rPr>
        <w:t>Sihtrühm</w:t>
      </w:r>
      <w:r w:rsidRPr="003331EF">
        <w:t xml:space="preserve">: </w:t>
      </w:r>
      <w:commentRangeStart w:id="118"/>
      <w:r w:rsidRPr="003331EF">
        <w:rPr>
          <w:iCs/>
          <w:spacing w:val="-5"/>
          <w:lang w:eastAsia="en-US"/>
        </w:rPr>
        <w:t>Punktis 6.1.1 nimetatud sihtrühm.</w:t>
      </w:r>
      <w:commentRangeEnd w:id="118"/>
      <w:r w:rsidR="00CD0231">
        <w:rPr>
          <w:rStyle w:val="Kommentaariviide"/>
          <w:lang w:val="en-GB" w:eastAsia="en-US"/>
        </w:rPr>
        <w:commentReference w:id="118"/>
      </w:r>
    </w:p>
    <w:p w14:paraId="289A783E" w14:textId="77777777" w:rsidR="00057036" w:rsidRPr="003331EF" w:rsidRDefault="00057036" w:rsidP="003331EF">
      <w:pPr>
        <w:spacing w:before="0"/>
        <w:rPr>
          <w:i/>
          <w:iCs/>
          <w:u w:val="single"/>
        </w:rPr>
      </w:pPr>
    </w:p>
    <w:p w14:paraId="4903A941" w14:textId="4C0723D8" w:rsidR="00057036" w:rsidRPr="003331EF" w:rsidRDefault="00057036" w:rsidP="003331EF">
      <w:pPr>
        <w:spacing w:before="0"/>
        <w:rPr>
          <w:iCs/>
          <w:spacing w:val="-5"/>
          <w:lang w:eastAsia="en-US"/>
        </w:rPr>
      </w:pPr>
      <w:r w:rsidRPr="003331EF">
        <w:rPr>
          <w:b/>
          <w:u w:val="single"/>
        </w:rPr>
        <w:t>Mõju ulatus</w:t>
      </w:r>
      <w:r w:rsidRPr="003331EF">
        <w:t xml:space="preserve">: </w:t>
      </w:r>
      <w:proofErr w:type="spellStart"/>
      <w:r w:rsidRPr="003331EF">
        <w:rPr>
          <w:iCs/>
          <w:spacing w:val="-5"/>
          <w:lang w:eastAsia="en-US"/>
        </w:rPr>
        <w:t>M</w:t>
      </w:r>
      <w:r w:rsidR="0019289B">
        <w:rPr>
          <w:iCs/>
          <w:spacing w:val="-5"/>
          <w:lang w:eastAsia="en-US"/>
        </w:rPr>
        <w:t>i</w:t>
      </w:r>
      <w:r w:rsidRPr="003331EF">
        <w:rPr>
          <w:iCs/>
          <w:spacing w:val="-5"/>
          <w:lang w:eastAsia="en-US"/>
        </w:rPr>
        <w:t>CA</w:t>
      </w:r>
      <w:proofErr w:type="spellEnd"/>
      <w:r w:rsidRPr="003331EF">
        <w:rPr>
          <w:iCs/>
          <w:spacing w:val="-5"/>
          <w:lang w:eastAsia="en-US"/>
        </w:rPr>
        <w:t xml:space="preserve"> määruse ja DORA määruse rakendamine võib mõjutada </w:t>
      </w:r>
      <w:proofErr w:type="spellStart"/>
      <w:r w:rsidRPr="003331EF">
        <w:rPr>
          <w:iCs/>
          <w:spacing w:val="-5"/>
          <w:lang w:eastAsia="en-US"/>
        </w:rPr>
        <w:t>krüptovarateenuse</w:t>
      </w:r>
      <w:proofErr w:type="spellEnd"/>
      <w:r w:rsidRPr="003331EF">
        <w:rPr>
          <w:iCs/>
          <w:spacing w:val="-5"/>
          <w:lang w:eastAsia="en-US"/>
        </w:rPr>
        <w:t xml:space="preserve"> osutajate puhul sobilike ja nõuetekohaste töötajate leidmist. Oluline on märkida, et pigem on vaja piisavalt kvalifitseeritud tööjõudu (eelkõige kas juriidiliste või IT teadmistega isikuid). </w:t>
      </w:r>
    </w:p>
    <w:p w14:paraId="2C810E70" w14:textId="77777777" w:rsidR="00057036" w:rsidRPr="003331EF" w:rsidRDefault="00057036" w:rsidP="003331EF">
      <w:pPr>
        <w:spacing w:before="0"/>
        <w:rPr>
          <w:iCs/>
          <w:spacing w:val="-5"/>
          <w:lang w:eastAsia="en-US"/>
        </w:rPr>
      </w:pPr>
    </w:p>
    <w:p w14:paraId="6E13A0C6" w14:textId="77777777" w:rsidR="00057036" w:rsidRPr="003331EF" w:rsidRDefault="00057036" w:rsidP="003331EF">
      <w:pPr>
        <w:spacing w:before="0"/>
      </w:pPr>
      <w:commentRangeStart w:id="119"/>
      <w:r w:rsidRPr="003331EF">
        <w:rPr>
          <w:b/>
          <w:u w:val="single"/>
        </w:rPr>
        <w:t>Mõju avaldumise sagedus</w:t>
      </w:r>
      <w:r w:rsidRPr="003331EF">
        <w:t xml:space="preserve">: </w:t>
      </w:r>
      <w:r w:rsidRPr="003331EF">
        <w:rPr>
          <w:iCs/>
          <w:spacing w:val="-5"/>
          <w:lang w:eastAsia="en-US"/>
        </w:rPr>
        <w:t>Ilmselt selgub uute töökohtade loomise vajadus õigusaktide rakendamise alguses.</w:t>
      </w:r>
      <w:commentRangeEnd w:id="119"/>
      <w:r w:rsidR="00CD0231">
        <w:rPr>
          <w:rStyle w:val="Kommentaariviide"/>
          <w:lang w:val="en-GB" w:eastAsia="en-US"/>
        </w:rPr>
        <w:commentReference w:id="119"/>
      </w:r>
    </w:p>
    <w:p w14:paraId="020BADB7" w14:textId="77777777" w:rsidR="00057036" w:rsidRPr="003331EF" w:rsidRDefault="00057036" w:rsidP="003331EF">
      <w:pPr>
        <w:spacing w:before="0"/>
        <w:rPr>
          <w:i/>
          <w:iCs/>
          <w:u w:val="single"/>
        </w:rPr>
      </w:pPr>
    </w:p>
    <w:p w14:paraId="1513FA9C" w14:textId="77777777" w:rsidR="00057036" w:rsidRPr="003331EF" w:rsidRDefault="00057036" w:rsidP="003331EF">
      <w:pPr>
        <w:spacing w:before="0"/>
      </w:pPr>
      <w:r w:rsidRPr="003331EF">
        <w:rPr>
          <w:b/>
          <w:u w:val="single"/>
        </w:rPr>
        <w:lastRenderedPageBreak/>
        <w:t>Ebasoovitavate mõjude avaldumise risk</w:t>
      </w:r>
      <w:r w:rsidRPr="003331EF">
        <w:rPr>
          <w:u w:val="single"/>
        </w:rPr>
        <w:t>:</w:t>
      </w:r>
      <w:r w:rsidRPr="003331EF">
        <w:t xml:space="preserve"> </w:t>
      </w:r>
      <w:r w:rsidRPr="003331EF">
        <w:rPr>
          <w:iCs/>
          <w:spacing w:val="-5"/>
          <w:lang w:eastAsia="en-US"/>
        </w:rPr>
        <w:t xml:space="preserve">Eelnõu võib kaasa tuua teatud ettevõtete äritegevuse lõpetamise, kes ei ole võimelised taotlema tegevusluba, mistõttu mõjutab see negatiivselt ka tööhõivet (töötuks jäämise oht). </w:t>
      </w:r>
      <w:bookmarkStart w:id="120" w:name="_Hlk108010562"/>
      <w:r w:rsidRPr="003331EF">
        <w:rPr>
          <w:iCs/>
          <w:spacing w:val="-5"/>
          <w:lang w:eastAsia="en-US"/>
        </w:rPr>
        <w:t xml:space="preserve">Samas eeldades, et selline tööjõud on piisavalt kvalifitseeritud, siis ei tohiks olla raskusi neil (nn koondatud või töökohast ilma jäänud) isikutel uute töökohtade leidmisega (nt kasvõi mõnes teises teenuseosutajas või mõnes muus finantssektori asutuses). </w:t>
      </w:r>
      <w:bookmarkEnd w:id="120"/>
      <w:r w:rsidRPr="003331EF">
        <w:rPr>
          <w:iCs/>
          <w:spacing w:val="-5"/>
          <w:lang w:eastAsia="en-US"/>
        </w:rPr>
        <w:t>Teisest küljest võib anda tegevusluba n.ö kvaliteedimärgise, mille alusel on ettevõtjal hõlpsam oma tegevust laiendada ja seetõttu tekib vajadus ka täiendavate töökohtade loomiseks.</w:t>
      </w:r>
    </w:p>
    <w:p w14:paraId="3A81DDD5" w14:textId="77777777" w:rsidR="00057036" w:rsidRPr="003331EF" w:rsidRDefault="00057036" w:rsidP="003331EF">
      <w:pPr>
        <w:spacing w:before="0"/>
        <w:rPr>
          <w:i/>
          <w:iCs/>
        </w:rPr>
      </w:pPr>
    </w:p>
    <w:p w14:paraId="232816D6" w14:textId="77777777" w:rsidR="00057036" w:rsidRPr="003331EF" w:rsidRDefault="00057036" w:rsidP="003331EF">
      <w:pPr>
        <w:spacing w:before="0"/>
      </w:pPr>
      <w:r w:rsidRPr="003331EF">
        <w:rPr>
          <w:b/>
          <w:u w:val="single"/>
        </w:rPr>
        <w:t>Mõju olulisus:</w:t>
      </w:r>
      <w:r w:rsidRPr="003331EF">
        <w:t xml:space="preserve"> </w:t>
      </w:r>
      <w:commentRangeStart w:id="121"/>
      <w:r w:rsidRPr="003331EF">
        <w:rPr>
          <w:iCs/>
          <w:spacing w:val="-5"/>
          <w:lang w:eastAsia="en-US"/>
        </w:rPr>
        <w:t xml:space="preserve">Uute töökohtade arvu tõus </w:t>
      </w:r>
      <w:commentRangeEnd w:id="121"/>
      <w:r w:rsidR="00CD0231">
        <w:rPr>
          <w:rStyle w:val="Kommentaariviide"/>
          <w:lang w:val="en-GB" w:eastAsia="en-US"/>
        </w:rPr>
        <w:commentReference w:id="121"/>
      </w:r>
      <w:r w:rsidRPr="003331EF">
        <w:rPr>
          <w:iCs/>
          <w:spacing w:val="-5"/>
          <w:lang w:eastAsia="en-US"/>
        </w:rPr>
        <w:t>on Eesti üldise tööhõive kõrval pigem väike ehk mõju on selles tähenduses ebaoluline.</w:t>
      </w:r>
    </w:p>
    <w:p w14:paraId="31D07475" w14:textId="77777777" w:rsidR="00057036" w:rsidRPr="003331EF" w:rsidRDefault="00057036" w:rsidP="003331EF">
      <w:pPr>
        <w:spacing w:before="0"/>
        <w:rPr>
          <w:b/>
          <w:i/>
          <w:iCs/>
        </w:rPr>
      </w:pPr>
    </w:p>
    <w:p w14:paraId="077AF6B9" w14:textId="4030A045" w:rsidR="00057036" w:rsidRPr="003331EF" w:rsidRDefault="00057036" w:rsidP="003331EF">
      <w:pPr>
        <w:spacing w:before="0"/>
        <w:rPr>
          <w:b/>
        </w:rPr>
      </w:pPr>
      <w:r w:rsidRPr="003331EF">
        <w:rPr>
          <w:b/>
        </w:rPr>
        <w:t>6.3. Mõju riigiasutustele</w:t>
      </w:r>
    </w:p>
    <w:p w14:paraId="74AC31A0" w14:textId="73448443" w:rsidR="00CA68EB" w:rsidRPr="003331EF" w:rsidRDefault="00CA68EB" w:rsidP="003331EF">
      <w:pPr>
        <w:spacing w:before="0"/>
        <w:rPr>
          <w:b/>
          <w:i/>
          <w:iCs/>
        </w:rPr>
      </w:pPr>
      <w:r w:rsidRPr="003331EF">
        <w:rPr>
          <w:b/>
        </w:rPr>
        <w:t>6.</w:t>
      </w:r>
      <w:r w:rsidR="00057036" w:rsidRPr="003331EF">
        <w:rPr>
          <w:b/>
        </w:rPr>
        <w:t>3</w:t>
      </w:r>
      <w:r w:rsidRPr="003331EF">
        <w:rPr>
          <w:b/>
        </w:rPr>
        <w:t>.</w:t>
      </w:r>
      <w:r w:rsidR="00057036" w:rsidRPr="003331EF">
        <w:rPr>
          <w:b/>
        </w:rPr>
        <w:t>1</w:t>
      </w:r>
      <w:r w:rsidRPr="003331EF">
        <w:rPr>
          <w:b/>
        </w:rPr>
        <w:t xml:space="preserve">. </w:t>
      </w:r>
      <w:commentRangeStart w:id="122"/>
      <w:r w:rsidRPr="003331EF">
        <w:rPr>
          <w:b/>
        </w:rPr>
        <w:t xml:space="preserve">Majanduslik </w:t>
      </w:r>
      <w:r w:rsidR="00057036" w:rsidRPr="003331EF">
        <w:rPr>
          <w:b/>
        </w:rPr>
        <w:t xml:space="preserve">ja sotsiaalne </w:t>
      </w:r>
      <w:commentRangeEnd w:id="122"/>
      <w:r w:rsidR="00CD0231">
        <w:rPr>
          <w:rStyle w:val="Kommentaariviide"/>
          <w:lang w:val="en-GB" w:eastAsia="en-US"/>
        </w:rPr>
        <w:commentReference w:id="122"/>
      </w:r>
      <w:r w:rsidRPr="003331EF">
        <w:rPr>
          <w:b/>
        </w:rPr>
        <w:t>mõju Finantsinspektsioonile</w:t>
      </w:r>
    </w:p>
    <w:p w14:paraId="0CF8B832" w14:textId="77777777" w:rsidR="00CA68EB" w:rsidRPr="003331EF" w:rsidRDefault="00CA68EB" w:rsidP="003331EF">
      <w:pPr>
        <w:spacing w:before="0"/>
        <w:rPr>
          <w:b/>
        </w:rPr>
      </w:pPr>
    </w:p>
    <w:p w14:paraId="3CBF0D63" w14:textId="363E5DCB" w:rsidR="00CA68EB" w:rsidRPr="003331EF" w:rsidRDefault="00CA68EB" w:rsidP="003331EF">
      <w:pPr>
        <w:spacing w:before="0"/>
      </w:pPr>
      <w:r w:rsidRPr="003331EF">
        <w:rPr>
          <w:b/>
          <w:u w:val="single"/>
        </w:rPr>
        <w:t>Sihtrühm</w:t>
      </w:r>
      <w:r w:rsidRPr="003331EF">
        <w:rPr>
          <w:u w:val="single"/>
        </w:rPr>
        <w:t>:</w:t>
      </w:r>
      <w:r w:rsidRPr="003331EF">
        <w:t xml:space="preserve"> Finantsinspektsioon</w:t>
      </w:r>
      <w:r w:rsidR="006D49CE" w:rsidRPr="003331EF">
        <w:t xml:space="preserve"> – </w:t>
      </w:r>
      <w:r w:rsidRPr="003331EF">
        <w:t xml:space="preserve">2022. aasta seisuga </w:t>
      </w:r>
      <w:r w:rsidR="006D49CE" w:rsidRPr="003331EF">
        <w:t>tööta</w:t>
      </w:r>
      <w:r w:rsidR="00532FC8" w:rsidRPr="003331EF">
        <w:t>b</w:t>
      </w:r>
      <w:r w:rsidR="006D49CE" w:rsidRPr="003331EF">
        <w:t xml:space="preserve"> seal </w:t>
      </w:r>
      <w:r w:rsidRPr="003331EF">
        <w:t>122 inimest (sh 16 peatatud töölepingut)</w:t>
      </w:r>
      <w:r w:rsidR="00532FC8" w:rsidRPr="003331EF">
        <w:t>.</w:t>
      </w:r>
    </w:p>
    <w:p w14:paraId="087163CA" w14:textId="77777777" w:rsidR="00CA68EB" w:rsidRPr="003331EF" w:rsidRDefault="00CA68EB" w:rsidP="003331EF">
      <w:pPr>
        <w:spacing w:before="0"/>
        <w:rPr>
          <w:i/>
          <w:iCs/>
        </w:rPr>
      </w:pPr>
    </w:p>
    <w:p w14:paraId="010DE12D" w14:textId="4410DDD4" w:rsidR="00CA68EB" w:rsidRPr="003331EF" w:rsidRDefault="00CA68EB" w:rsidP="003331EF">
      <w:pPr>
        <w:spacing w:before="0"/>
        <w:rPr>
          <w:iCs/>
          <w:spacing w:val="-5"/>
          <w:lang w:eastAsia="en-US"/>
        </w:rPr>
      </w:pPr>
      <w:r w:rsidRPr="003331EF">
        <w:rPr>
          <w:b/>
          <w:u w:val="single"/>
        </w:rPr>
        <w:t>Mõju ulatus</w:t>
      </w:r>
      <w:r w:rsidRPr="003331EF">
        <w:rPr>
          <w:u w:val="single"/>
        </w:rPr>
        <w:t>:</w:t>
      </w:r>
      <w:r w:rsidRPr="003331EF">
        <w:t xml:space="preserve"> </w:t>
      </w:r>
      <w:r w:rsidRPr="003331EF">
        <w:rPr>
          <w:iCs/>
          <w:spacing w:val="-5"/>
          <w:lang w:eastAsia="en-US"/>
        </w:rPr>
        <w:t xml:space="preserve">Finantsinspektsiooni töökoormus </w:t>
      </w:r>
      <w:r w:rsidR="00803172" w:rsidRPr="003331EF">
        <w:rPr>
          <w:iCs/>
          <w:spacing w:val="-5"/>
          <w:lang w:eastAsia="en-US"/>
        </w:rPr>
        <w:t xml:space="preserve">võib seoses </w:t>
      </w:r>
      <w:proofErr w:type="spellStart"/>
      <w:r w:rsidR="00803172" w:rsidRPr="003331EF">
        <w:rPr>
          <w:iCs/>
          <w:spacing w:val="-5"/>
          <w:lang w:eastAsia="en-US"/>
        </w:rPr>
        <w:t>krüptovarateenuste</w:t>
      </w:r>
      <w:proofErr w:type="spellEnd"/>
      <w:r w:rsidR="00803172" w:rsidRPr="003331EF">
        <w:rPr>
          <w:iCs/>
          <w:spacing w:val="-5"/>
          <w:lang w:eastAsia="en-US"/>
        </w:rPr>
        <w:t xml:space="preserve"> osutajatega tõusta</w:t>
      </w:r>
      <w:r w:rsidRPr="003331EF">
        <w:rPr>
          <w:iCs/>
          <w:spacing w:val="-5"/>
          <w:lang w:eastAsia="en-US"/>
        </w:rPr>
        <w:t xml:space="preserve"> märkimisväärselt, kuna järelevalvesubjektide arv suureneb (vt punktide 6.1 sihtrühma suurus</w:t>
      </w:r>
      <w:r w:rsidR="008144D6" w:rsidRPr="003331EF">
        <w:rPr>
          <w:iCs/>
          <w:spacing w:val="-5"/>
          <w:lang w:eastAsia="en-US"/>
        </w:rPr>
        <w:t>, kes võivad olla edaspidi potentsiaalsed finantsjärelevalve subjektid</w:t>
      </w:r>
      <w:r w:rsidRPr="003331EF">
        <w:rPr>
          <w:iCs/>
          <w:spacing w:val="-5"/>
          <w:lang w:eastAsia="en-US"/>
        </w:rPr>
        <w:t xml:space="preserve">), mis </w:t>
      </w:r>
      <w:r w:rsidR="00DE25B8" w:rsidRPr="003331EF">
        <w:rPr>
          <w:iCs/>
          <w:spacing w:val="-5"/>
          <w:lang w:eastAsia="en-US"/>
        </w:rPr>
        <w:t>tähendab</w:t>
      </w:r>
      <w:r w:rsidRPr="003331EF">
        <w:rPr>
          <w:iCs/>
          <w:spacing w:val="-5"/>
          <w:lang w:eastAsia="en-US"/>
        </w:rPr>
        <w:t xml:space="preserve"> ka täiendavate </w:t>
      </w:r>
      <w:proofErr w:type="spellStart"/>
      <w:r w:rsidRPr="003331EF">
        <w:rPr>
          <w:iCs/>
          <w:spacing w:val="-5"/>
          <w:lang w:eastAsia="en-US"/>
        </w:rPr>
        <w:t>inim</w:t>
      </w:r>
      <w:proofErr w:type="spellEnd"/>
      <w:r w:rsidRPr="003331EF">
        <w:rPr>
          <w:iCs/>
          <w:spacing w:val="-5"/>
          <w:lang w:eastAsia="en-US"/>
        </w:rPr>
        <w:t>- ja rahaliste ressursside kaasamist Finantsinspektsiooni töösse. 202</w:t>
      </w:r>
      <w:r w:rsidR="00532FC8" w:rsidRPr="003331EF">
        <w:rPr>
          <w:iCs/>
          <w:spacing w:val="-5"/>
          <w:lang w:eastAsia="en-US"/>
        </w:rPr>
        <w:t>2</w:t>
      </w:r>
      <w:r w:rsidRPr="003331EF">
        <w:rPr>
          <w:iCs/>
          <w:spacing w:val="-5"/>
          <w:lang w:eastAsia="en-US"/>
        </w:rPr>
        <w:t>. aastal oli Finantsinspektsiooni töötaja keskmine palk 29</w:t>
      </w:r>
      <w:r w:rsidR="00532FC8" w:rsidRPr="003331EF">
        <w:rPr>
          <w:iCs/>
          <w:spacing w:val="-5"/>
          <w:lang w:eastAsia="en-US"/>
        </w:rPr>
        <w:t>20</w:t>
      </w:r>
      <w:r w:rsidRPr="003331EF">
        <w:rPr>
          <w:iCs/>
          <w:spacing w:val="-5"/>
          <w:lang w:eastAsia="en-US"/>
        </w:rPr>
        <w:t xml:space="preserve"> eurot, kuid uute töötajate mõju Finantsinspektsiooni eelarvele sõltub töötajate arvust. Hinnanguliselt võib </w:t>
      </w:r>
      <w:proofErr w:type="spellStart"/>
      <w:r w:rsidR="00185377" w:rsidRPr="003331EF">
        <w:rPr>
          <w:iCs/>
          <w:spacing w:val="-5"/>
          <w:lang w:eastAsia="en-US"/>
        </w:rPr>
        <w:t>M</w:t>
      </w:r>
      <w:r w:rsidR="0019289B">
        <w:rPr>
          <w:iCs/>
          <w:spacing w:val="-5"/>
          <w:lang w:eastAsia="en-US"/>
        </w:rPr>
        <w:t>i</w:t>
      </w:r>
      <w:r w:rsidR="00185377" w:rsidRPr="003331EF">
        <w:rPr>
          <w:iCs/>
          <w:spacing w:val="-5"/>
          <w:lang w:eastAsia="en-US"/>
        </w:rPr>
        <w:t>CA</w:t>
      </w:r>
      <w:proofErr w:type="spellEnd"/>
      <w:r w:rsidR="00185377" w:rsidRPr="003331EF">
        <w:rPr>
          <w:iCs/>
          <w:spacing w:val="-5"/>
          <w:lang w:eastAsia="en-US"/>
        </w:rPr>
        <w:t xml:space="preserve"> määruse rakendamine</w:t>
      </w:r>
      <w:r w:rsidRPr="003331EF">
        <w:rPr>
          <w:iCs/>
          <w:spacing w:val="-5"/>
          <w:lang w:eastAsia="en-US"/>
        </w:rPr>
        <w:t xml:space="preserve"> tähendada Finantsinspektsiooni jaoks ca 10–20 uue töötaja palkamist.</w:t>
      </w:r>
      <w:r w:rsidR="00DE25B8" w:rsidRPr="003331EF">
        <w:rPr>
          <w:iCs/>
          <w:spacing w:val="-5"/>
          <w:lang w:eastAsia="en-US"/>
        </w:rPr>
        <w:t xml:space="preserve"> </w:t>
      </w:r>
    </w:p>
    <w:p w14:paraId="34767C3C" w14:textId="77777777" w:rsidR="00DE25B8" w:rsidRPr="003331EF" w:rsidRDefault="00DE25B8" w:rsidP="003331EF">
      <w:pPr>
        <w:spacing w:before="0"/>
      </w:pPr>
    </w:p>
    <w:p w14:paraId="6E0A86D1" w14:textId="6168AC4A" w:rsidR="008144D6" w:rsidRPr="003331EF" w:rsidRDefault="008144D6" w:rsidP="003331EF">
      <w:pPr>
        <w:spacing w:before="0"/>
        <w:rPr>
          <w:iCs/>
          <w:spacing w:val="-5"/>
          <w:lang w:eastAsia="en-US"/>
        </w:rPr>
      </w:pPr>
      <w:proofErr w:type="spellStart"/>
      <w:r w:rsidRPr="003331EF">
        <w:rPr>
          <w:iCs/>
          <w:spacing w:val="-5"/>
          <w:lang w:eastAsia="en-US"/>
        </w:rPr>
        <w:t>M</w:t>
      </w:r>
      <w:r w:rsidR="0019289B">
        <w:rPr>
          <w:iCs/>
          <w:spacing w:val="-5"/>
          <w:lang w:eastAsia="en-US"/>
        </w:rPr>
        <w:t>i</w:t>
      </w:r>
      <w:r w:rsidRPr="003331EF">
        <w:rPr>
          <w:iCs/>
          <w:spacing w:val="-5"/>
          <w:lang w:eastAsia="en-US"/>
        </w:rPr>
        <w:t>CA</w:t>
      </w:r>
      <w:proofErr w:type="spellEnd"/>
      <w:r w:rsidRPr="003331EF">
        <w:rPr>
          <w:iCs/>
          <w:spacing w:val="-5"/>
          <w:lang w:eastAsia="en-US"/>
        </w:rPr>
        <w:t xml:space="preserve"> määruse väljatöötamisel hinnati, et liikmesriigi hinnangulised järelevalvekulud (sh töötajad, koolitus, IT-taristu ja spetsiaalsed uurimisvahendid) võivad ulatuda 350 000 eurost kuni 500 000 euroni aastas, kusjuures ühekordsed kulud on hinnanguliselt 140 000 eurot. </w:t>
      </w:r>
    </w:p>
    <w:p w14:paraId="0C8435F2" w14:textId="77777777" w:rsidR="00CA68EB" w:rsidRPr="003331EF" w:rsidRDefault="00CA68EB" w:rsidP="003331EF">
      <w:pPr>
        <w:spacing w:before="0"/>
        <w:rPr>
          <w:iCs/>
          <w:spacing w:val="-5"/>
          <w:lang w:eastAsia="en-US"/>
        </w:rPr>
      </w:pPr>
    </w:p>
    <w:p w14:paraId="1EC097A1" w14:textId="46615A59" w:rsidR="00142214" w:rsidRPr="003331EF" w:rsidRDefault="00CA68EB" w:rsidP="003331EF">
      <w:pPr>
        <w:spacing w:before="0"/>
        <w:rPr>
          <w:iCs/>
          <w:spacing w:val="-5"/>
          <w:lang w:eastAsia="en-US"/>
        </w:rPr>
      </w:pPr>
      <w:r w:rsidRPr="003331EF">
        <w:rPr>
          <w:iCs/>
          <w:spacing w:val="-5"/>
          <w:lang w:eastAsia="en-US"/>
        </w:rPr>
        <w:t xml:space="preserve">Finantsinspektsiooni eelarve kujuneb subjektide poolt makstavatest menetlustasudest ja järelevalvetasudest. See tähendab, et isikud, kes taotlevad </w:t>
      </w:r>
      <w:proofErr w:type="spellStart"/>
      <w:r w:rsidRPr="003331EF">
        <w:rPr>
          <w:iCs/>
          <w:spacing w:val="-5"/>
          <w:lang w:eastAsia="en-US"/>
        </w:rPr>
        <w:t>M</w:t>
      </w:r>
      <w:r w:rsidR="0019289B">
        <w:rPr>
          <w:iCs/>
          <w:spacing w:val="-5"/>
          <w:lang w:eastAsia="en-US"/>
        </w:rPr>
        <w:t>i</w:t>
      </w:r>
      <w:r w:rsidRPr="003331EF">
        <w:rPr>
          <w:iCs/>
          <w:spacing w:val="-5"/>
          <w:lang w:eastAsia="en-US"/>
        </w:rPr>
        <w:t>CA</w:t>
      </w:r>
      <w:proofErr w:type="spellEnd"/>
      <w:r w:rsidRPr="003331EF">
        <w:rPr>
          <w:iCs/>
          <w:spacing w:val="-5"/>
          <w:lang w:eastAsia="en-US"/>
        </w:rPr>
        <w:t xml:space="preserve"> määruse alusel väljastatava tegevusloa, peavad maksma nii ühekordse tasu (tegevusloa menetlustasu) kui </w:t>
      </w:r>
      <w:r w:rsidR="00E8042B" w:rsidRPr="003331EF">
        <w:rPr>
          <w:iCs/>
          <w:spacing w:val="-5"/>
          <w:lang w:eastAsia="en-US"/>
        </w:rPr>
        <w:t xml:space="preserve">ka </w:t>
      </w:r>
      <w:r w:rsidRPr="003331EF">
        <w:rPr>
          <w:iCs/>
          <w:spacing w:val="-5"/>
          <w:lang w:eastAsia="en-US"/>
        </w:rPr>
        <w:t xml:space="preserve">edaspidi jooksvat järelevalvetasu. </w:t>
      </w:r>
      <w:r w:rsidR="00E8042B" w:rsidRPr="003331EF">
        <w:rPr>
          <w:iCs/>
          <w:spacing w:val="-5"/>
          <w:lang w:eastAsia="en-US"/>
        </w:rPr>
        <w:t>Tegevusloa m</w:t>
      </w:r>
      <w:r w:rsidRPr="003331EF">
        <w:rPr>
          <w:iCs/>
          <w:spacing w:val="-5"/>
          <w:lang w:eastAsia="en-US"/>
        </w:rPr>
        <w:t xml:space="preserve">enetlustasu on eelnõu kohaselt </w:t>
      </w:r>
      <w:r w:rsidR="00E8042B" w:rsidRPr="003331EF">
        <w:rPr>
          <w:iCs/>
          <w:spacing w:val="-5"/>
          <w:lang w:eastAsia="en-US"/>
        </w:rPr>
        <w:t>3</w:t>
      </w:r>
      <w:r w:rsidRPr="003331EF">
        <w:rPr>
          <w:iCs/>
          <w:spacing w:val="-5"/>
          <w:lang w:eastAsia="en-US"/>
        </w:rPr>
        <w:t xml:space="preserve"> 000 euro</w:t>
      </w:r>
      <w:r w:rsidR="00E8042B" w:rsidRPr="003331EF">
        <w:rPr>
          <w:iCs/>
          <w:spacing w:val="-5"/>
          <w:lang w:eastAsia="en-US"/>
        </w:rPr>
        <w:t>t</w:t>
      </w:r>
      <w:r w:rsidR="007013A8" w:rsidRPr="003331EF">
        <w:rPr>
          <w:iCs/>
          <w:spacing w:val="-5"/>
          <w:lang w:eastAsia="en-US"/>
        </w:rPr>
        <w:t xml:space="preserve"> ehk kui hinnanguliselt jätkab </w:t>
      </w:r>
      <w:proofErr w:type="spellStart"/>
      <w:r w:rsidR="007013A8" w:rsidRPr="003331EF">
        <w:rPr>
          <w:iCs/>
          <w:spacing w:val="-5"/>
          <w:lang w:eastAsia="en-US"/>
        </w:rPr>
        <w:t>M</w:t>
      </w:r>
      <w:r w:rsidR="0019289B">
        <w:rPr>
          <w:iCs/>
          <w:spacing w:val="-5"/>
          <w:lang w:eastAsia="en-US"/>
        </w:rPr>
        <w:t>i</w:t>
      </w:r>
      <w:r w:rsidR="007013A8" w:rsidRPr="003331EF">
        <w:rPr>
          <w:iCs/>
          <w:spacing w:val="-5"/>
          <w:lang w:eastAsia="en-US"/>
        </w:rPr>
        <w:t>CA</w:t>
      </w:r>
      <w:proofErr w:type="spellEnd"/>
      <w:r w:rsidR="007013A8" w:rsidRPr="003331EF">
        <w:rPr>
          <w:iCs/>
          <w:spacing w:val="-5"/>
          <w:lang w:eastAsia="en-US"/>
        </w:rPr>
        <w:t xml:space="preserve"> määruse alusel tegutsemist umbes 40–50 teenuseosutajat, siis</w:t>
      </w:r>
      <w:r w:rsidR="005A2C8B" w:rsidRPr="003331EF">
        <w:rPr>
          <w:iCs/>
          <w:spacing w:val="-5"/>
          <w:lang w:eastAsia="en-US"/>
        </w:rPr>
        <w:t xml:space="preserve"> ühekordne</w:t>
      </w:r>
      <w:r w:rsidR="007013A8" w:rsidRPr="003331EF">
        <w:rPr>
          <w:iCs/>
          <w:spacing w:val="-5"/>
          <w:lang w:eastAsia="en-US"/>
        </w:rPr>
        <w:t xml:space="preserve"> mõju Finantsinspektsiooni eelarvele on 120</w:t>
      </w:r>
      <w:r w:rsidR="00075848" w:rsidRPr="003331EF">
        <w:rPr>
          <w:iCs/>
          <w:spacing w:val="-5"/>
          <w:lang w:eastAsia="en-US"/>
        </w:rPr>
        <w:t> </w:t>
      </w:r>
      <w:r w:rsidR="007013A8" w:rsidRPr="003331EF">
        <w:rPr>
          <w:iCs/>
          <w:spacing w:val="-5"/>
          <w:lang w:eastAsia="en-US"/>
        </w:rPr>
        <w:t>000</w:t>
      </w:r>
      <w:r w:rsidR="00075848" w:rsidRPr="003331EF">
        <w:rPr>
          <w:iCs/>
          <w:spacing w:val="-5"/>
          <w:lang w:eastAsia="en-US"/>
        </w:rPr>
        <w:t>–</w:t>
      </w:r>
      <w:r w:rsidR="007013A8" w:rsidRPr="003331EF">
        <w:rPr>
          <w:iCs/>
          <w:spacing w:val="-5"/>
          <w:lang w:eastAsia="en-US"/>
        </w:rPr>
        <w:t xml:space="preserve">150 000 eurot. </w:t>
      </w:r>
      <w:proofErr w:type="spellStart"/>
      <w:r w:rsidR="00E8042B" w:rsidRPr="003331EF">
        <w:rPr>
          <w:iCs/>
          <w:spacing w:val="-5"/>
          <w:lang w:eastAsia="en-US"/>
        </w:rPr>
        <w:t>Krüptovara</w:t>
      </w:r>
      <w:proofErr w:type="spellEnd"/>
      <w:r w:rsidR="00E8042B" w:rsidRPr="003331EF">
        <w:rPr>
          <w:iCs/>
          <w:spacing w:val="-5"/>
          <w:lang w:eastAsia="en-US"/>
        </w:rPr>
        <w:t xml:space="preserve"> emitent peab lisaks tasuma valge raamatu kinnitamise eest 2000 eurot. </w:t>
      </w:r>
    </w:p>
    <w:p w14:paraId="3ABD6EA8" w14:textId="77777777" w:rsidR="00CA68EB" w:rsidRPr="003331EF" w:rsidRDefault="00CA68EB" w:rsidP="003331EF">
      <w:pPr>
        <w:spacing w:before="0"/>
      </w:pPr>
    </w:p>
    <w:p w14:paraId="0FB91028" w14:textId="5641DB46" w:rsidR="004F2440" w:rsidRPr="003331EF" w:rsidRDefault="00697BC5" w:rsidP="003331EF">
      <w:pPr>
        <w:spacing w:before="0"/>
        <w:rPr>
          <w:iCs/>
          <w:spacing w:val="-5"/>
          <w:lang w:eastAsia="en-US"/>
        </w:rPr>
      </w:pPr>
      <w:r w:rsidRPr="003331EF">
        <w:rPr>
          <w:iCs/>
          <w:spacing w:val="-5"/>
          <w:lang w:eastAsia="en-US"/>
        </w:rPr>
        <w:t xml:space="preserve">Lisaks, kuigi </w:t>
      </w:r>
      <w:r w:rsidR="004F2440" w:rsidRPr="003331EF">
        <w:rPr>
          <w:iCs/>
          <w:spacing w:val="-5"/>
          <w:lang w:eastAsia="en-US"/>
        </w:rPr>
        <w:t xml:space="preserve">ESMA hinnangulised kulud, mis on seotud kõigi </w:t>
      </w:r>
      <w:proofErr w:type="spellStart"/>
      <w:r w:rsidR="004F2440" w:rsidRPr="003331EF">
        <w:rPr>
          <w:iCs/>
          <w:spacing w:val="-5"/>
          <w:lang w:eastAsia="en-US"/>
        </w:rPr>
        <w:t>krüptovarateenuse</w:t>
      </w:r>
      <w:proofErr w:type="spellEnd"/>
      <w:r w:rsidR="004F2440" w:rsidRPr="003331EF">
        <w:rPr>
          <w:iCs/>
          <w:spacing w:val="-5"/>
          <w:lang w:eastAsia="en-US"/>
        </w:rPr>
        <w:t xml:space="preserve"> osutajate registri loomise ja haldamisega riikide pädevatelt asutustelt ja </w:t>
      </w:r>
      <w:proofErr w:type="spellStart"/>
      <w:r w:rsidR="004F2440" w:rsidRPr="003331EF">
        <w:rPr>
          <w:iCs/>
          <w:spacing w:val="-5"/>
          <w:lang w:eastAsia="en-US"/>
        </w:rPr>
        <w:t>EBA-lt</w:t>
      </w:r>
      <w:proofErr w:type="spellEnd"/>
      <w:r w:rsidR="004F2440" w:rsidRPr="003331EF">
        <w:rPr>
          <w:iCs/>
          <w:spacing w:val="-5"/>
          <w:lang w:eastAsia="en-US"/>
        </w:rPr>
        <w:t xml:space="preserve"> saadud teabe põhjal, kaetakse tema tegevuseelarvest</w:t>
      </w:r>
      <w:r w:rsidRPr="003331EF">
        <w:rPr>
          <w:iCs/>
          <w:spacing w:val="-5"/>
          <w:lang w:eastAsia="en-US"/>
        </w:rPr>
        <w:t>, võib see tähendada liikmesriigi pädevate asutuste makstavate tasude suurenemist.</w:t>
      </w:r>
    </w:p>
    <w:p w14:paraId="5E062C2F" w14:textId="77777777" w:rsidR="00803172" w:rsidRPr="003331EF" w:rsidRDefault="00803172" w:rsidP="003331EF">
      <w:pPr>
        <w:pStyle w:val="Normaallaad3"/>
        <w:shd w:val="clear" w:color="auto" w:fill="FFFFFF"/>
        <w:spacing w:before="0" w:beforeAutospacing="0" w:after="0" w:afterAutospacing="0"/>
        <w:jc w:val="both"/>
      </w:pPr>
    </w:p>
    <w:p w14:paraId="32E1B8C8" w14:textId="51B4C6AD" w:rsidR="00933636" w:rsidRPr="003331EF" w:rsidRDefault="00803172" w:rsidP="003331EF">
      <w:pPr>
        <w:spacing w:before="0"/>
        <w:rPr>
          <w:iCs/>
          <w:spacing w:val="-5"/>
          <w:lang w:eastAsia="en-US"/>
        </w:rPr>
      </w:pPr>
      <w:r w:rsidRPr="003331EF">
        <w:rPr>
          <w:iCs/>
          <w:spacing w:val="-5"/>
          <w:lang w:eastAsia="en-US"/>
        </w:rPr>
        <w:t>Mis puudutab väikefondi valitsejatega seotud muudatusi, siis Finantsinspektsioon registreerib tegevusloata väikefondi valitsejaid ja vajadusel kustutab need registrist. Eelnõu ei too selles osas kaasa muudatusi Finantsinspektsioonis laiemalt ega vajadust muutustega kohanemisele suunatud tegevusteks. Ajutiselt võib suureneda koormus mõnele Finantsinspektsiooni osakonnale, eelkõige seoses fondivalitsejatele kehtestatud kapitali</w:t>
      </w:r>
      <w:r w:rsidR="00933636" w:rsidRPr="003331EF">
        <w:rPr>
          <w:iCs/>
          <w:spacing w:val="-5"/>
          <w:lang w:eastAsia="en-US"/>
        </w:rPr>
        <w:t>nõude</w:t>
      </w:r>
      <w:r w:rsidRPr="003331EF">
        <w:rPr>
          <w:iCs/>
          <w:spacing w:val="-5"/>
          <w:lang w:eastAsia="en-US"/>
        </w:rPr>
        <w:t xml:space="preserve"> kontrollimisega üleminekuperioodi ajal (12 kuud).</w:t>
      </w:r>
      <w:r w:rsidR="00933636" w:rsidRPr="003331EF">
        <w:rPr>
          <w:iCs/>
          <w:spacing w:val="-5"/>
          <w:lang w:eastAsia="en-US"/>
        </w:rPr>
        <w:t xml:space="preserve"> </w:t>
      </w:r>
    </w:p>
    <w:p w14:paraId="42123725" w14:textId="77777777" w:rsidR="00933636" w:rsidRPr="003331EF" w:rsidRDefault="00933636" w:rsidP="003331EF">
      <w:pPr>
        <w:spacing w:before="0"/>
        <w:rPr>
          <w:iCs/>
          <w:spacing w:val="-5"/>
          <w:lang w:eastAsia="en-US"/>
        </w:rPr>
      </w:pPr>
    </w:p>
    <w:p w14:paraId="1DF49BE2" w14:textId="3ED02FE2" w:rsidR="00803172" w:rsidRPr="003331EF" w:rsidRDefault="00933636" w:rsidP="003331EF">
      <w:pPr>
        <w:spacing w:before="0"/>
        <w:rPr>
          <w:iCs/>
          <w:spacing w:val="-5"/>
          <w:lang w:eastAsia="en-US"/>
        </w:rPr>
      </w:pPr>
      <w:r w:rsidRPr="003331EF">
        <w:rPr>
          <w:iCs/>
          <w:spacing w:val="-5"/>
          <w:lang w:eastAsia="en-US"/>
        </w:rPr>
        <w:t xml:space="preserve">Praktikas on Finantsinspektsiooni koormus väikefondi valitsejate registreerimisel ja registrist kustutamisel ning IFS § 455 lõikes 8 sätestatud ulatuses järelevalve teostamisel oluliselt mahukamaks kujunenud, kui seda vastava regulatsiooni kujundamisel algselt ette nähti. Finantsinspektsiooni kulud finantseeritakse järelevalvesubjektide poolt makstavate menetlus- ja </w:t>
      </w:r>
      <w:r w:rsidRPr="003331EF">
        <w:rPr>
          <w:iCs/>
          <w:spacing w:val="-5"/>
          <w:lang w:eastAsia="en-US"/>
        </w:rPr>
        <w:lastRenderedPageBreak/>
        <w:t xml:space="preserve">järelevalvetasude arvelt. Eelnõu suurendab Finantsinspektsiooni tulusid – väikefondi valitseja, kes on oma tegevuse Finantsinspektsioonis registreerinud, peab hakkama maksma järelevalvetasu kapitaliosa, suuruses 1% kahekordsest kapitalinõudest ehk 500 eurot aastas ning oma tegevuse registreerimisel menetlustasu 2 000 eurot, mis on praegusest tasust 1 000 euro võrra kõrgem. Arvestades praegust registrisse kantud väikefondi valitsejate arvu, teeks see järelevalvetasuna Finantsinspektsiooni täiendavat tulu 39 000 eurot aastas. </w:t>
      </w:r>
      <w:r w:rsidR="00BE3307" w:rsidRPr="003331EF">
        <w:rPr>
          <w:iCs/>
          <w:spacing w:val="-5"/>
          <w:lang w:eastAsia="en-US"/>
        </w:rPr>
        <w:t>Nagu järelevalvetasu puhul, sõltub Finantsinspektsiooni menetlustasust saadav tulu samuti subjektide arvust. Kui näiteks 2022. aastal oli menetluses kuni 30 taotlust, siis selle taotluste arvu pealt tähendaks menetlustasu tõus Finantsinspektsioonile lisatulu 30 000 eurot. Aga nagu öeldud, sõltub tegelik number taotluste arvust.</w:t>
      </w:r>
      <w:r w:rsidR="00803172" w:rsidRPr="003331EF">
        <w:rPr>
          <w:iCs/>
          <w:spacing w:val="-5"/>
          <w:lang w:eastAsia="en-US"/>
        </w:rPr>
        <w:t xml:space="preserve">    </w:t>
      </w:r>
    </w:p>
    <w:p w14:paraId="27DC684C" w14:textId="77777777" w:rsidR="00CA68EB" w:rsidRPr="003331EF" w:rsidRDefault="00CA68EB" w:rsidP="003331EF">
      <w:pPr>
        <w:spacing w:before="0"/>
        <w:rPr>
          <w:i/>
          <w:iCs/>
        </w:rPr>
      </w:pPr>
    </w:p>
    <w:p w14:paraId="4D99F8A3" w14:textId="1155516D" w:rsidR="00CA68EB" w:rsidRPr="003331EF" w:rsidRDefault="00CA68EB" w:rsidP="003331EF">
      <w:pPr>
        <w:spacing w:before="0"/>
        <w:rPr>
          <w:iCs/>
          <w:spacing w:val="-5"/>
          <w:lang w:eastAsia="en-US"/>
        </w:rPr>
      </w:pPr>
      <w:r w:rsidRPr="003331EF">
        <w:rPr>
          <w:b/>
          <w:u w:val="single"/>
        </w:rPr>
        <w:t>Mõju avaldumise sagedus</w:t>
      </w:r>
      <w:r w:rsidRPr="003331EF">
        <w:t xml:space="preserve">: </w:t>
      </w:r>
      <w:r w:rsidR="00803172" w:rsidRPr="003331EF">
        <w:rPr>
          <w:iCs/>
          <w:spacing w:val="-5"/>
          <w:lang w:eastAsia="en-US"/>
        </w:rPr>
        <w:t xml:space="preserve">Seoses </w:t>
      </w:r>
      <w:proofErr w:type="spellStart"/>
      <w:r w:rsidR="00803172" w:rsidRPr="003331EF">
        <w:rPr>
          <w:iCs/>
          <w:spacing w:val="-5"/>
          <w:lang w:eastAsia="en-US"/>
        </w:rPr>
        <w:t>krüptovarateenuse</w:t>
      </w:r>
      <w:proofErr w:type="spellEnd"/>
      <w:r w:rsidR="00803172" w:rsidRPr="003331EF">
        <w:rPr>
          <w:iCs/>
          <w:spacing w:val="-5"/>
          <w:lang w:eastAsia="en-US"/>
        </w:rPr>
        <w:t xml:space="preserve"> osutajatega s</w:t>
      </w:r>
      <w:r w:rsidRPr="003331EF">
        <w:rPr>
          <w:iCs/>
          <w:spacing w:val="-5"/>
          <w:lang w:eastAsia="en-US"/>
        </w:rPr>
        <w:t xml:space="preserve">eaduse rakendumise alguses avaldub suurem mõju, kui kõik </w:t>
      </w:r>
      <w:r w:rsidR="00750FC9" w:rsidRPr="003331EF">
        <w:rPr>
          <w:iCs/>
          <w:spacing w:val="-5"/>
          <w:lang w:eastAsia="en-US"/>
        </w:rPr>
        <w:t xml:space="preserve">käesoleva seletuskirja punktis 6.1.1 kirjeldatud </w:t>
      </w:r>
      <w:r w:rsidRPr="003331EF">
        <w:rPr>
          <w:iCs/>
          <w:spacing w:val="-5"/>
          <w:lang w:eastAsia="en-US"/>
        </w:rPr>
        <w:t>sihtrühma kuuluvad isikud hakkavad tegevusluba taotlema. Edaspidi on mõju pidev, kuna Finantsinspektsioon teostab finantsteenuste järelevalvet igapäevaselt.</w:t>
      </w:r>
    </w:p>
    <w:p w14:paraId="26E45491" w14:textId="77777777" w:rsidR="00CA68EB" w:rsidRPr="003331EF" w:rsidRDefault="00CA68EB" w:rsidP="003331EF">
      <w:pPr>
        <w:spacing w:before="0"/>
        <w:rPr>
          <w:i/>
          <w:iCs/>
          <w:u w:val="single"/>
        </w:rPr>
      </w:pPr>
    </w:p>
    <w:p w14:paraId="2FB30396" w14:textId="1E1CE938" w:rsidR="005A2C8B" w:rsidRPr="003331EF" w:rsidRDefault="00CA68EB" w:rsidP="003331EF">
      <w:pPr>
        <w:spacing w:before="0"/>
      </w:pPr>
      <w:r w:rsidRPr="003331EF">
        <w:rPr>
          <w:b/>
          <w:u w:val="single"/>
        </w:rPr>
        <w:t>Ebasoovitavate mõjude avaldumise risk</w:t>
      </w:r>
      <w:r w:rsidRPr="003331EF">
        <w:t xml:space="preserve">: </w:t>
      </w:r>
      <w:proofErr w:type="spellStart"/>
      <w:r w:rsidR="00DE25B8" w:rsidRPr="003331EF">
        <w:rPr>
          <w:iCs/>
          <w:spacing w:val="-5"/>
          <w:lang w:eastAsia="en-US"/>
        </w:rPr>
        <w:t>M</w:t>
      </w:r>
      <w:r w:rsidR="0019289B">
        <w:rPr>
          <w:iCs/>
          <w:spacing w:val="-5"/>
          <w:lang w:eastAsia="en-US"/>
        </w:rPr>
        <w:t>i</w:t>
      </w:r>
      <w:r w:rsidR="00DE25B8" w:rsidRPr="003331EF">
        <w:rPr>
          <w:iCs/>
          <w:spacing w:val="-5"/>
          <w:lang w:eastAsia="en-US"/>
        </w:rPr>
        <w:t>CA</w:t>
      </w:r>
      <w:proofErr w:type="spellEnd"/>
      <w:r w:rsidR="00DE25B8" w:rsidRPr="003331EF">
        <w:rPr>
          <w:iCs/>
          <w:spacing w:val="-5"/>
          <w:lang w:eastAsia="en-US"/>
        </w:rPr>
        <w:t xml:space="preserve"> määruse ja eelnõuga kaasnevaid kohustusi ei ole võimalik täita tänase Finantsinspektsiooni mehitatusega, kuna Finantsinspektsioonil on suurel hulgal finantssektori üleseid </w:t>
      </w:r>
      <w:proofErr w:type="spellStart"/>
      <w:r w:rsidR="00DE25B8" w:rsidRPr="003331EF">
        <w:rPr>
          <w:iCs/>
          <w:spacing w:val="-5"/>
          <w:lang w:eastAsia="en-US"/>
        </w:rPr>
        <w:t>järelevalvelisi</w:t>
      </w:r>
      <w:proofErr w:type="spellEnd"/>
      <w:r w:rsidR="00DE25B8" w:rsidRPr="003331EF">
        <w:rPr>
          <w:iCs/>
          <w:spacing w:val="-5"/>
          <w:lang w:eastAsia="en-US"/>
        </w:rPr>
        <w:t xml:space="preserve"> kohustusi ning uus raamistik suurendab olulisel määral finantsjärelevalve all olevate isikute ringi. </w:t>
      </w:r>
      <w:r w:rsidR="005A2C8B" w:rsidRPr="003331EF">
        <w:rPr>
          <w:iCs/>
          <w:spacing w:val="-5"/>
          <w:lang w:eastAsia="en-US"/>
        </w:rPr>
        <w:t>S</w:t>
      </w:r>
      <w:r w:rsidR="00803172" w:rsidRPr="003331EF">
        <w:rPr>
          <w:iCs/>
          <w:spacing w:val="-5"/>
          <w:lang w:eastAsia="en-US"/>
        </w:rPr>
        <w:t xml:space="preserve">eoses </w:t>
      </w:r>
      <w:proofErr w:type="spellStart"/>
      <w:r w:rsidR="00803172" w:rsidRPr="003331EF">
        <w:rPr>
          <w:iCs/>
          <w:spacing w:val="-5"/>
          <w:lang w:eastAsia="en-US"/>
        </w:rPr>
        <w:t>krüptovarateenuste</w:t>
      </w:r>
      <w:proofErr w:type="spellEnd"/>
      <w:r w:rsidR="00803172" w:rsidRPr="003331EF">
        <w:rPr>
          <w:iCs/>
          <w:spacing w:val="-5"/>
          <w:lang w:eastAsia="en-US"/>
        </w:rPr>
        <w:t xml:space="preserve"> osutajatega võib </w:t>
      </w:r>
      <w:r w:rsidRPr="003331EF">
        <w:rPr>
          <w:iCs/>
          <w:spacing w:val="-5"/>
          <w:lang w:eastAsia="en-US"/>
        </w:rPr>
        <w:t>näha üsna mahukat tegevuslubade väljastamise menetlust 2025. aastal</w:t>
      </w:r>
      <w:r w:rsidR="005A2C8B" w:rsidRPr="003331EF">
        <w:rPr>
          <w:iCs/>
          <w:spacing w:val="-5"/>
          <w:lang w:eastAsia="en-US"/>
        </w:rPr>
        <w:t xml:space="preserve">. Kui Finantsinspektsioon ei suuda saavutada piisavat mehitatust tegevuslubade menetlemise ajaks, võib see pikendada </w:t>
      </w:r>
      <w:proofErr w:type="spellStart"/>
      <w:r w:rsidR="005A2C8B" w:rsidRPr="003331EF">
        <w:rPr>
          <w:iCs/>
          <w:spacing w:val="-5"/>
          <w:lang w:eastAsia="en-US"/>
        </w:rPr>
        <w:t>krüptovaraturul</w:t>
      </w:r>
      <w:proofErr w:type="spellEnd"/>
      <w:r w:rsidR="005A2C8B" w:rsidRPr="003331EF">
        <w:rPr>
          <w:iCs/>
          <w:spacing w:val="-5"/>
          <w:lang w:eastAsia="en-US"/>
        </w:rPr>
        <w:t xml:space="preserve"> tegutsemiseks õiguse saamise protsessi. Samuti on oluline, et Finantsinspektsiooni oleks piisavalt ressurssi pidevaks järelevalve teostamiseks uute järelevalvesubjektide üle.</w:t>
      </w:r>
      <w:r w:rsidR="005A2C8B" w:rsidRPr="003331EF">
        <w:t xml:space="preserve"> </w:t>
      </w:r>
    </w:p>
    <w:p w14:paraId="4229CE0F" w14:textId="77777777" w:rsidR="005A2C8B" w:rsidRPr="003331EF" w:rsidRDefault="005A2C8B" w:rsidP="003331EF">
      <w:pPr>
        <w:spacing w:before="0"/>
      </w:pPr>
    </w:p>
    <w:p w14:paraId="208CFFDE" w14:textId="5F7B4352" w:rsidR="00CA68EB" w:rsidRPr="003331EF" w:rsidRDefault="009C261D" w:rsidP="003331EF">
      <w:pPr>
        <w:spacing w:before="0"/>
        <w:rPr>
          <w:iCs/>
          <w:spacing w:val="-5"/>
          <w:lang w:eastAsia="en-US"/>
        </w:rPr>
      </w:pPr>
      <w:r w:rsidRPr="003331EF">
        <w:rPr>
          <w:iCs/>
          <w:spacing w:val="-5"/>
          <w:lang w:eastAsia="en-US"/>
        </w:rPr>
        <w:t xml:space="preserve">Riski </w:t>
      </w:r>
      <w:r w:rsidR="005A2C8B" w:rsidRPr="003331EF">
        <w:rPr>
          <w:iCs/>
          <w:spacing w:val="-5"/>
          <w:lang w:eastAsia="en-US"/>
        </w:rPr>
        <w:t xml:space="preserve">osaliseks </w:t>
      </w:r>
      <w:r w:rsidRPr="003331EF">
        <w:rPr>
          <w:iCs/>
          <w:spacing w:val="-5"/>
          <w:lang w:eastAsia="en-US"/>
        </w:rPr>
        <w:t xml:space="preserve">maandamiseks on eelnõus ette nähtud, et </w:t>
      </w:r>
      <w:proofErr w:type="spellStart"/>
      <w:r w:rsidRPr="003331EF">
        <w:rPr>
          <w:iCs/>
          <w:spacing w:val="-5"/>
          <w:lang w:eastAsia="en-US"/>
        </w:rPr>
        <w:t>M</w:t>
      </w:r>
      <w:r w:rsidR="0019289B">
        <w:rPr>
          <w:iCs/>
          <w:spacing w:val="-5"/>
          <w:lang w:eastAsia="en-US"/>
        </w:rPr>
        <w:t>i</w:t>
      </w:r>
      <w:r w:rsidRPr="003331EF">
        <w:rPr>
          <w:iCs/>
          <w:spacing w:val="-5"/>
          <w:lang w:eastAsia="en-US"/>
        </w:rPr>
        <w:t>CA</w:t>
      </w:r>
      <w:proofErr w:type="spellEnd"/>
      <w:r w:rsidRPr="003331EF">
        <w:rPr>
          <w:iCs/>
          <w:spacing w:val="-5"/>
          <w:lang w:eastAsia="en-US"/>
        </w:rPr>
        <w:t xml:space="preserve"> määruse alusel tegutseda sooviv ettevõtja võib Finantsinspektsioonile tegevusloa taotluse esitada 3 kuud enne </w:t>
      </w:r>
      <w:proofErr w:type="spellStart"/>
      <w:r w:rsidRPr="003331EF">
        <w:rPr>
          <w:iCs/>
          <w:spacing w:val="-5"/>
          <w:lang w:eastAsia="en-US"/>
        </w:rPr>
        <w:t>M</w:t>
      </w:r>
      <w:r w:rsidR="0019289B">
        <w:rPr>
          <w:iCs/>
          <w:spacing w:val="-5"/>
          <w:lang w:eastAsia="en-US"/>
        </w:rPr>
        <w:t>i</w:t>
      </w:r>
      <w:r w:rsidRPr="003331EF">
        <w:rPr>
          <w:iCs/>
          <w:spacing w:val="-5"/>
          <w:lang w:eastAsia="en-US"/>
        </w:rPr>
        <w:t>CA</w:t>
      </w:r>
      <w:proofErr w:type="spellEnd"/>
      <w:r w:rsidRPr="003331EF">
        <w:rPr>
          <w:iCs/>
          <w:spacing w:val="-5"/>
          <w:lang w:eastAsia="en-US"/>
        </w:rPr>
        <w:t xml:space="preserve"> rakendamiskuupäeva, mis annab Finantsinspektsioonile paindlikkuse tutvuda taotlustega juba enne, kui </w:t>
      </w:r>
      <w:proofErr w:type="spellStart"/>
      <w:r w:rsidRPr="003331EF">
        <w:rPr>
          <w:iCs/>
          <w:spacing w:val="-5"/>
          <w:lang w:eastAsia="en-US"/>
        </w:rPr>
        <w:t>M</w:t>
      </w:r>
      <w:r w:rsidR="0019289B">
        <w:rPr>
          <w:iCs/>
          <w:spacing w:val="-5"/>
          <w:lang w:eastAsia="en-US"/>
        </w:rPr>
        <w:t>i</w:t>
      </w:r>
      <w:r w:rsidRPr="003331EF">
        <w:rPr>
          <w:iCs/>
          <w:spacing w:val="-5"/>
          <w:lang w:eastAsia="en-US"/>
        </w:rPr>
        <w:t>CA</w:t>
      </w:r>
      <w:proofErr w:type="spellEnd"/>
      <w:r w:rsidRPr="003331EF">
        <w:rPr>
          <w:iCs/>
          <w:spacing w:val="-5"/>
          <w:lang w:eastAsia="en-US"/>
        </w:rPr>
        <w:t xml:space="preserve"> </w:t>
      </w:r>
      <w:r w:rsidR="00810640" w:rsidRPr="003331EF">
        <w:rPr>
          <w:iCs/>
          <w:spacing w:val="-5"/>
          <w:lang w:eastAsia="en-US"/>
        </w:rPr>
        <w:t xml:space="preserve">määrus </w:t>
      </w:r>
      <w:r w:rsidRPr="003331EF">
        <w:rPr>
          <w:iCs/>
          <w:spacing w:val="-5"/>
          <w:lang w:eastAsia="en-US"/>
        </w:rPr>
        <w:t xml:space="preserve">rakendub. </w:t>
      </w:r>
    </w:p>
    <w:p w14:paraId="0808ECEA" w14:textId="77777777" w:rsidR="00803172" w:rsidRPr="003331EF" w:rsidRDefault="00803172" w:rsidP="003331EF">
      <w:pPr>
        <w:spacing w:before="0"/>
        <w:rPr>
          <w:iCs/>
          <w:spacing w:val="-5"/>
          <w:lang w:eastAsia="en-US"/>
        </w:rPr>
      </w:pPr>
    </w:p>
    <w:p w14:paraId="09C69E21" w14:textId="659E2945" w:rsidR="00803172" w:rsidRPr="003331EF" w:rsidRDefault="00803172" w:rsidP="003331EF">
      <w:pPr>
        <w:spacing w:before="0"/>
        <w:rPr>
          <w:iCs/>
          <w:spacing w:val="-5"/>
          <w:lang w:eastAsia="en-US"/>
        </w:rPr>
      </w:pPr>
      <w:r w:rsidRPr="003331EF">
        <w:rPr>
          <w:iCs/>
          <w:spacing w:val="-5"/>
          <w:lang w:eastAsia="en-US"/>
        </w:rPr>
        <w:t>Seoses</w:t>
      </w:r>
      <w:r w:rsidR="00D01F95" w:rsidRPr="003331EF">
        <w:rPr>
          <w:iCs/>
          <w:spacing w:val="-5"/>
          <w:lang w:eastAsia="en-US"/>
        </w:rPr>
        <w:t xml:space="preserve"> tegevusloata</w:t>
      </w:r>
      <w:r w:rsidRPr="003331EF">
        <w:rPr>
          <w:iCs/>
          <w:spacing w:val="-5"/>
          <w:lang w:eastAsia="en-US"/>
        </w:rPr>
        <w:t xml:space="preserve"> väikefondi valitsejatega seotud muudatustega seotud ebasoovitavate mõjude avaldumise risk on vähene. Negatiivse iseloomuga mõjud (lisatöö) on marginaalsed: vähesel määral ja ajutiselt suureneb töömaht, mille tingib juba turul olevate tegevusloata väikefondi valitsejate kapitalinõuete täitmise kontrollimine. Selle perioodi järgselt Finantsinspektsiooni töö muudatuste tulemusel ei suurene, sõltuvalt esitatavate registreerimise taotluste kvaliteedist võib töö mõnevõrra väheneda (õigus jätta registreerimise taotlus läbi vaatamata). Negatiivseid mõjusid ei esine.</w:t>
      </w:r>
    </w:p>
    <w:p w14:paraId="5C409C2C" w14:textId="77777777" w:rsidR="00CA68EB" w:rsidRPr="003331EF" w:rsidRDefault="00CA68EB" w:rsidP="003331EF">
      <w:pPr>
        <w:spacing w:before="0"/>
        <w:rPr>
          <w:i/>
          <w:iCs/>
          <w:highlight w:val="cyan"/>
          <w:u w:val="single"/>
        </w:rPr>
      </w:pPr>
    </w:p>
    <w:p w14:paraId="35B42A7D" w14:textId="77777777" w:rsidR="00CA68EB" w:rsidRPr="003331EF" w:rsidRDefault="00CA68EB" w:rsidP="003331EF">
      <w:pPr>
        <w:spacing w:before="0"/>
        <w:rPr>
          <w:u w:val="single"/>
        </w:rPr>
      </w:pPr>
      <w:r w:rsidRPr="003331EF">
        <w:rPr>
          <w:b/>
          <w:u w:val="single"/>
        </w:rPr>
        <w:t>Mõju olulisus</w:t>
      </w:r>
      <w:r w:rsidRPr="003331EF">
        <w:rPr>
          <w:u w:val="single"/>
        </w:rPr>
        <w:t>:</w:t>
      </w:r>
      <w:r w:rsidRPr="003331EF">
        <w:t xml:space="preserve"> </w:t>
      </w:r>
      <w:r w:rsidRPr="003331EF">
        <w:rPr>
          <w:iCs/>
          <w:spacing w:val="-5"/>
          <w:lang w:eastAsia="en-US"/>
        </w:rPr>
        <w:t>Mõju on oluline. Eelduslikult on mõju arvestades sihtrühma suurust (122 töötajaga asutus, kus vajadus tekib üle 10% uute töökohtade järele) ning mõju ulatust ehk kohanemisvajadust (nt ekspertiis ja arusaam sellistest uut tüüpi teenustest) siiski kokkuvõttes ilmselt pigem oluline.</w:t>
      </w:r>
    </w:p>
    <w:p w14:paraId="5BCEC377" w14:textId="77777777" w:rsidR="00CA68EB" w:rsidRPr="003331EF" w:rsidRDefault="00CA68EB" w:rsidP="003331EF">
      <w:pPr>
        <w:spacing w:before="0"/>
        <w:rPr>
          <w:b/>
          <w:i/>
          <w:iCs/>
        </w:rPr>
      </w:pPr>
    </w:p>
    <w:p w14:paraId="262DA611" w14:textId="3B59EBE9" w:rsidR="00CA68EB" w:rsidRPr="003331EF" w:rsidRDefault="00CA68EB" w:rsidP="003331EF">
      <w:pPr>
        <w:spacing w:before="0"/>
        <w:rPr>
          <w:b/>
        </w:rPr>
      </w:pPr>
      <w:r w:rsidRPr="003331EF">
        <w:rPr>
          <w:b/>
        </w:rPr>
        <w:t>6.</w:t>
      </w:r>
      <w:r w:rsidR="00057036" w:rsidRPr="003331EF">
        <w:rPr>
          <w:b/>
        </w:rPr>
        <w:t>3</w:t>
      </w:r>
      <w:r w:rsidRPr="003331EF">
        <w:rPr>
          <w:b/>
        </w:rPr>
        <w:t>.</w:t>
      </w:r>
      <w:r w:rsidR="00057036" w:rsidRPr="003331EF">
        <w:rPr>
          <w:b/>
        </w:rPr>
        <w:t>2</w:t>
      </w:r>
      <w:r w:rsidRPr="003331EF">
        <w:rPr>
          <w:b/>
        </w:rPr>
        <w:t xml:space="preserve">. </w:t>
      </w:r>
      <w:commentRangeStart w:id="123"/>
      <w:r w:rsidRPr="003331EF">
        <w:rPr>
          <w:b/>
        </w:rPr>
        <w:t xml:space="preserve">Majanduslik </w:t>
      </w:r>
      <w:r w:rsidR="00057036" w:rsidRPr="003331EF">
        <w:rPr>
          <w:b/>
        </w:rPr>
        <w:t xml:space="preserve">ja sotsiaalne </w:t>
      </w:r>
      <w:commentRangeEnd w:id="123"/>
      <w:r w:rsidR="00CD0231">
        <w:rPr>
          <w:rStyle w:val="Kommentaariviide"/>
          <w:lang w:val="en-GB" w:eastAsia="en-US"/>
        </w:rPr>
        <w:commentReference w:id="123"/>
      </w:r>
      <w:r w:rsidRPr="003331EF">
        <w:rPr>
          <w:b/>
        </w:rPr>
        <w:t xml:space="preserve">mõju Rahapesu Andmebüroole </w:t>
      </w:r>
    </w:p>
    <w:p w14:paraId="40489AFD" w14:textId="77777777" w:rsidR="00CA68EB" w:rsidRPr="003331EF" w:rsidRDefault="00CA68EB" w:rsidP="003331EF">
      <w:pPr>
        <w:spacing w:before="0"/>
        <w:rPr>
          <w:b/>
        </w:rPr>
      </w:pPr>
    </w:p>
    <w:p w14:paraId="3C6EBA52" w14:textId="0FFCDC00" w:rsidR="00CA68EB" w:rsidRPr="003331EF" w:rsidRDefault="00CA68EB" w:rsidP="003331EF">
      <w:pPr>
        <w:spacing w:before="0"/>
      </w:pPr>
      <w:r w:rsidRPr="003331EF">
        <w:rPr>
          <w:b/>
          <w:u w:val="single"/>
        </w:rPr>
        <w:t>Sihtrühm:</w:t>
      </w:r>
      <w:r w:rsidRPr="003331EF">
        <w:rPr>
          <w:b/>
        </w:rPr>
        <w:t xml:space="preserve"> </w:t>
      </w:r>
      <w:r w:rsidRPr="003331EF">
        <w:rPr>
          <w:iCs/>
          <w:spacing w:val="-5"/>
          <w:lang w:eastAsia="en-US"/>
        </w:rPr>
        <w:t>Rahapesu Andmebüroo (</w:t>
      </w:r>
      <w:r w:rsidR="00750FC9" w:rsidRPr="003331EF">
        <w:rPr>
          <w:iCs/>
          <w:spacing w:val="-5"/>
          <w:lang w:eastAsia="en-US"/>
        </w:rPr>
        <w:t>2022. aasta seisuga oli teenistujate arv 64</w:t>
      </w:r>
      <w:r w:rsidR="00611E4B" w:rsidRPr="003331EF">
        <w:rPr>
          <w:iCs/>
          <w:spacing w:val="-5"/>
          <w:lang w:eastAsia="en-US"/>
        </w:rPr>
        <w:t>, planeeritav kogukoosseis 102 teenistujat</w:t>
      </w:r>
      <w:r w:rsidRPr="003331EF">
        <w:rPr>
          <w:iCs/>
          <w:spacing w:val="-5"/>
          <w:lang w:eastAsia="en-US"/>
        </w:rPr>
        <w:t>).</w:t>
      </w:r>
    </w:p>
    <w:p w14:paraId="7EEEB088" w14:textId="77777777" w:rsidR="00CA68EB" w:rsidRPr="003331EF" w:rsidRDefault="00CA68EB" w:rsidP="003331EF">
      <w:pPr>
        <w:spacing w:before="0"/>
        <w:rPr>
          <w:b/>
        </w:rPr>
      </w:pPr>
    </w:p>
    <w:p w14:paraId="25F73BF5" w14:textId="1DB844B4" w:rsidR="00CA68EB" w:rsidRPr="003331EF" w:rsidRDefault="00CA68EB" w:rsidP="003331EF">
      <w:pPr>
        <w:spacing w:before="0"/>
      </w:pPr>
      <w:r w:rsidRPr="003331EF">
        <w:rPr>
          <w:b/>
          <w:u w:val="single"/>
        </w:rPr>
        <w:t>Mõju ulatus:</w:t>
      </w:r>
      <w:r w:rsidRPr="003331EF">
        <w:rPr>
          <w:b/>
        </w:rPr>
        <w:t xml:space="preserve"> </w:t>
      </w:r>
      <w:r w:rsidRPr="003331EF">
        <w:rPr>
          <w:iCs/>
          <w:spacing w:val="-5"/>
          <w:lang w:eastAsia="en-US"/>
        </w:rPr>
        <w:t xml:space="preserve">Mõju peamiseks ulatuseks tuleb pidada seda, et järelevalve teostamine </w:t>
      </w:r>
      <w:r w:rsidR="006A3E42" w:rsidRPr="003331EF">
        <w:rPr>
          <w:iCs/>
          <w:spacing w:val="-5"/>
          <w:lang w:eastAsia="en-US"/>
        </w:rPr>
        <w:t>VASP-de</w:t>
      </w:r>
      <w:r w:rsidRPr="003331EF">
        <w:rPr>
          <w:iCs/>
          <w:spacing w:val="-5"/>
          <w:lang w:eastAsia="en-US"/>
        </w:rPr>
        <w:t xml:space="preserve"> üle läheb väljapoole </w:t>
      </w:r>
      <w:r w:rsidR="005F4E70" w:rsidRPr="003331EF">
        <w:rPr>
          <w:iCs/>
          <w:spacing w:val="-5"/>
          <w:lang w:eastAsia="en-US"/>
        </w:rPr>
        <w:t xml:space="preserve">Rahapesu Andmebüroo </w:t>
      </w:r>
      <w:r w:rsidRPr="003331EF">
        <w:rPr>
          <w:iCs/>
          <w:spacing w:val="-5"/>
          <w:lang w:eastAsia="en-US"/>
        </w:rPr>
        <w:t>pädevust</w:t>
      </w:r>
      <w:r w:rsidR="00A36F4C" w:rsidRPr="003331EF">
        <w:rPr>
          <w:iCs/>
          <w:spacing w:val="-5"/>
          <w:lang w:eastAsia="en-US"/>
        </w:rPr>
        <w:t>.</w:t>
      </w:r>
      <w:r w:rsidR="00D427C9" w:rsidRPr="003331EF">
        <w:rPr>
          <w:iCs/>
          <w:spacing w:val="-5"/>
          <w:lang w:eastAsia="en-US"/>
        </w:rPr>
        <w:t xml:space="preserve"> </w:t>
      </w:r>
      <w:r w:rsidRPr="003331EF">
        <w:rPr>
          <w:iCs/>
          <w:spacing w:val="-5"/>
          <w:lang w:eastAsia="en-US"/>
        </w:rPr>
        <w:t xml:space="preserve"> Nimetatud mõju võib pidada oluliseks, kuivõrd </w:t>
      </w:r>
      <w:r w:rsidR="005F4E70" w:rsidRPr="003331EF">
        <w:rPr>
          <w:iCs/>
          <w:spacing w:val="-5"/>
          <w:lang w:eastAsia="en-US"/>
        </w:rPr>
        <w:t xml:space="preserve">Rahapesu Andmebüroo </w:t>
      </w:r>
      <w:r w:rsidRPr="003331EF">
        <w:rPr>
          <w:iCs/>
          <w:spacing w:val="-5"/>
          <w:lang w:eastAsia="en-US"/>
        </w:rPr>
        <w:t xml:space="preserve">tegevus täna on suuresti suunatud </w:t>
      </w:r>
      <w:r w:rsidR="006A3E42" w:rsidRPr="003331EF">
        <w:rPr>
          <w:iCs/>
          <w:spacing w:val="-5"/>
          <w:lang w:eastAsia="en-US"/>
        </w:rPr>
        <w:t>VASP-</w:t>
      </w:r>
      <w:proofErr w:type="spellStart"/>
      <w:r w:rsidR="006A3E42" w:rsidRPr="003331EF">
        <w:rPr>
          <w:iCs/>
          <w:spacing w:val="-5"/>
          <w:lang w:eastAsia="en-US"/>
        </w:rPr>
        <w:t>dega</w:t>
      </w:r>
      <w:proofErr w:type="spellEnd"/>
      <w:r w:rsidRPr="003331EF">
        <w:rPr>
          <w:iCs/>
          <w:spacing w:val="-5"/>
          <w:lang w:eastAsia="en-US"/>
        </w:rPr>
        <w:t xml:space="preserve"> seotud tegevuslubade menetlemisele ning vastava sektori ettevõtjate üle kontrolli teostamisele.</w:t>
      </w:r>
      <w:r w:rsidRPr="003331EF">
        <w:t xml:space="preserve"> </w:t>
      </w:r>
    </w:p>
    <w:p w14:paraId="18C3E4DF" w14:textId="77777777" w:rsidR="00CA68EB" w:rsidRPr="003331EF" w:rsidRDefault="00CA68EB" w:rsidP="003331EF">
      <w:pPr>
        <w:spacing w:before="0"/>
        <w:rPr>
          <w:i/>
          <w:iCs/>
        </w:rPr>
      </w:pPr>
    </w:p>
    <w:p w14:paraId="2E3001B3" w14:textId="64F202D2" w:rsidR="00CA68EB" w:rsidRPr="003331EF" w:rsidRDefault="00CA68EB" w:rsidP="003331EF">
      <w:pPr>
        <w:spacing w:before="0"/>
        <w:rPr>
          <w:iCs/>
          <w:spacing w:val="-5"/>
          <w:lang w:eastAsia="en-US"/>
        </w:rPr>
      </w:pPr>
      <w:r w:rsidRPr="003331EF">
        <w:rPr>
          <w:iCs/>
          <w:spacing w:val="-5"/>
          <w:lang w:eastAsia="en-US"/>
        </w:rPr>
        <w:lastRenderedPageBreak/>
        <w:t>Eelnevast tulenevalt või</w:t>
      </w:r>
      <w:r w:rsidR="006A3E42" w:rsidRPr="003331EF">
        <w:rPr>
          <w:iCs/>
          <w:spacing w:val="-5"/>
          <w:lang w:eastAsia="en-US"/>
        </w:rPr>
        <w:t>ks</w:t>
      </w:r>
      <w:r w:rsidRPr="003331EF">
        <w:rPr>
          <w:iCs/>
          <w:spacing w:val="-5"/>
          <w:lang w:eastAsia="en-US"/>
        </w:rPr>
        <w:t xml:space="preserve"> eeldada, et peamise mõjuna väheneb </w:t>
      </w:r>
      <w:r w:rsidR="005F4E70" w:rsidRPr="003331EF">
        <w:rPr>
          <w:iCs/>
          <w:spacing w:val="-5"/>
          <w:lang w:eastAsia="en-US"/>
        </w:rPr>
        <w:t xml:space="preserve">Rahapesu Andmebüroo </w:t>
      </w:r>
      <w:r w:rsidRPr="003331EF">
        <w:rPr>
          <w:iCs/>
          <w:spacing w:val="-5"/>
          <w:lang w:eastAsia="en-US"/>
        </w:rPr>
        <w:t>töökoormus</w:t>
      </w:r>
      <w:r w:rsidR="006A3E42" w:rsidRPr="003331EF">
        <w:rPr>
          <w:iCs/>
          <w:spacing w:val="-5"/>
          <w:lang w:eastAsia="en-US"/>
        </w:rPr>
        <w:t>, kuid k</w:t>
      </w:r>
      <w:r w:rsidRPr="003331EF">
        <w:rPr>
          <w:iCs/>
          <w:spacing w:val="-5"/>
          <w:lang w:eastAsia="en-US"/>
        </w:rPr>
        <w:t xml:space="preserve">äesolevaga on keeruline hinnata, kas ja kui palju võib seetõttu </w:t>
      </w:r>
      <w:r w:rsidR="005F4E70" w:rsidRPr="003331EF">
        <w:rPr>
          <w:iCs/>
          <w:spacing w:val="-5"/>
          <w:lang w:eastAsia="en-US"/>
        </w:rPr>
        <w:t xml:space="preserve">Rahapesu Andmebüroo </w:t>
      </w:r>
      <w:r w:rsidRPr="003331EF">
        <w:rPr>
          <w:iCs/>
          <w:spacing w:val="-5"/>
          <w:lang w:eastAsia="en-US"/>
        </w:rPr>
        <w:t xml:space="preserve">töötajaskond väheneda, ilmselt mingil määral kindlasti (teatud osa töötajatest võivad minna Finantsinspektsiooni tööle). Samas käesoleva eelnõuga tehtavad muudatused ei tähenda, et </w:t>
      </w:r>
      <w:r w:rsidR="005F4E70" w:rsidRPr="003331EF">
        <w:rPr>
          <w:iCs/>
          <w:spacing w:val="-5"/>
          <w:lang w:eastAsia="en-US"/>
        </w:rPr>
        <w:t>Rahapesu Andmebüroo</w:t>
      </w:r>
      <w:r w:rsidRPr="003331EF">
        <w:rPr>
          <w:iCs/>
          <w:spacing w:val="-5"/>
          <w:lang w:eastAsia="en-US"/>
        </w:rPr>
        <w:t xml:space="preserve"> enam puutumust virtuaalvääringu valdkonnaga ei oma – vastav rahapesu seire, teadete esitamise menetlus rahapesu ja terrorismi rahastamise kahtluse korral jms jääb jätkuvalt </w:t>
      </w:r>
      <w:r w:rsidR="005F4E70" w:rsidRPr="003331EF">
        <w:rPr>
          <w:iCs/>
          <w:spacing w:val="-5"/>
          <w:lang w:eastAsia="en-US"/>
        </w:rPr>
        <w:t xml:space="preserve">Rahapesu Andmebüroole </w:t>
      </w:r>
      <w:r w:rsidRPr="003331EF">
        <w:rPr>
          <w:iCs/>
          <w:spacing w:val="-5"/>
          <w:lang w:eastAsia="en-US"/>
        </w:rPr>
        <w:t>ka antud valdkonna osas.</w:t>
      </w:r>
    </w:p>
    <w:p w14:paraId="4172A7D9" w14:textId="77777777" w:rsidR="009C261D" w:rsidRPr="003331EF" w:rsidRDefault="009C261D" w:rsidP="003331EF">
      <w:pPr>
        <w:spacing w:before="0"/>
      </w:pPr>
    </w:p>
    <w:p w14:paraId="4D9931D3" w14:textId="5668DA83" w:rsidR="00CA68EB" w:rsidRPr="003331EF" w:rsidRDefault="00CA68EB" w:rsidP="003331EF">
      <w:pPr>
        <w:spacing w:before="0"/>
      </w:pPr>
      <w:r w:rsidRPr="003331EF">
        <w:rPr>
          <w:b/>
          <w:u w:val="single"/>
        </w:rPr>
        <w:t>Ebasoovitavate mõjude avaldumise risk:</w:t>
      </w:r>
      <w:r w:rsidRPr="003331EF">
        <w:rPr>
          <w:b/>
        </w:rPr>
        <w:t xml:space="preserve"> </w:t>
      </w:r>
      <w:r w:rsidRPr="003331EF">
        <w:rPr>
          <w:iCs/>
          <w:spacing w:val="-5"/>
          <w:lang w:eastAsia="en-US"/>
        </w:rPr>
        <w:t xml:space="preserve">Tööülesannete muutumise tõttu on </w:t>
      </w:r>
      <w:r w:rsidR="005F4E70" w:rsidRPr="003331EF">
        <w:rPr>
          <w:iCs/>
          <w:spacing w:val="-5"/>
          <w:lang w:eastAsia="en-US"/>
        </w:rPr>
        <w:t xml:space="preserve">Rahapesu Andmebüroo </w:t>
      </w:r>
      <w:r w:rsidRPr="003331EF">
        <w:rPr>
          <w:iCs/>
          <w:spacing w:val="-5"/>
          <w:lang w:eastAsia="en-US"/>
        </w:rPr>
        <w:t>struktuuriüksustes vajalik teha tõenäoliselt muudatusi. Siiski on keeruline hinnata, kas ja kui suures ulatuses see kokkuhoidu riigieelarve tähenduses võiks omada.</w:t>
      </w:r>
      <w:r w:rsidRPr="003331EF" w:rsidDel="0066233A">
        <w:rPr>
          <w:iCs/>
          <w:spacing w:val="-5"/>
          <w:lang w:eastAsia="en-US"/>
        </w:rPr>
        <w:t xml:space="preserve"> </w:t>
      </w:r>
      <w:r w:rsidR="009C261D" w:rsidRPr="003331EF">
        <w:rPr>
          <w:iCs/>
          <w:spacing w:val="-5"/>
          <w:lang w:eastAsia="en-US"/>
        </w:rPr>
        <w:t xml:space="preserve">Samuti ei laeku riigieelarvesse </w:t>
      </w:r>
      <w:proofErr w:type="spellStart"/>
      <w:r w:rsidR="009C261D" w:rsidRPr="003331EF">
        <w:rPr>
          <w:iCs/>
          <w:spacing w:val="-5"/>
          <w:lang w:eastAsia="en-US"/>
        </w:rPr>
        <w:t>RahaPTS</w:t>
      </w:r>
      <w:proofErr w:type="spellEnd"/>
      <w:r w:rsidR="009C261D" w:rsidRPr="003331EF">
        <w:rPr>
          <w:iCs/>
          <w:spacing w:val="-5"/>
          <w:lang w:eastAsia="en-US"/>
        </w:rPr>
        <w:t xml:space="preserve"> alusel tegevusloa taotlemisega seoses riigilõiv, mis on </w:t>
      </w:r>
      <w:r w:rsidR="00F43914" w:rsidRPr="003331EF">
        <w:rPr>
          <w:iCs/>
          <w:spacing w:val="-5"/>
          <w:lang w:eastAsia="en-US"/>
        </w:rPr>
        <w:t xml:space="preserve">ühe ettevõtja kohta </w:t>
      </w:r>
      <w:r w:rsidR="009C261D" w:rsidRPr="003331EF">
        <w:rPr>
          <w:iCs/>
          <w:spacing w:val="-5"/>
          <w:lang w:eastAsia="en-US"/>
        </w:rPr>
        <w:t>10 000 eurot tegevusloa taotluse läbivaatamise eest ja 4000 eurot tegevusloa muutmise taotluse läbivaatamise eest.</w:t>
      </w:r>
      <w:r w:rsidR="009C261D" w:rsidRPr="003331EF">
        <w:rPr>
          <w:rFonts w:ascii="Arial" w:hAnsi="Arial" w:cs="Arial"/>
          <w:shd w:val="clear" w:color="auto" w:fill="FFFFFF"/>
        </w:rPr>
        <w:t xml:space="preserve"> </w:t>
      </w:r>
    </w:p>
    <w:p w14:paraId="09193936" w14:textId="77777777" w:rsidR="00CA68EB" w:rsidRPr="003331EF" w:rsidRDefault="00CA68EB" w:rsidP="003331EF">
      <w:pPr>
        <w:spacing w:before="0"/>
        <w:rPr>
          <w:b/>
          <w:u w:val="single"/>
        </w:rPr>
      </w:pPr>
    </w:p>
    <w:p w14:paraId="298BC85A" w14:textId="244E5DE1" w:rsidR="00F43914" w:rsidRPr="003331EF" w:rsidRDefault="00CA68EB" w:rsidP="003331EF">
      <w:pPr>
        <w:spacing w:before="0"/>
      </w:pPr>
      <w:r w:rsidRPr="003331EF">
        <w:rPr>
          <w:b/>
          <w:u w:val="single"/>
        </w:rPr>
        <w:t>Mõju olulisus:</w:t>
      </w:r>
      <w:r w:rsidRPr="003331EF">
        <w:rPr>
          <w:b/>
        </w:rPr>
        <w:t xml:space="preserve"> </w:t>
      </w:r>
      <w:r w:rsidR="009C261D" w:rsidRPr="003331EF">
        <w:rPr>
          <w:iCs/>
          <w:spacing w:val="-5"/>
          <w:lang w:eastAsia="en-US"/>
        </w:rPr>
        <w:t>Mõju võib pidada keskmiseks</w:t>
      </w:r>
      <w:r w:rsidR="00F43914" w:rsidRPr="003331EF">
        <w:rPr>
          <w:iCs/>
          <w:spacing w:val="-5"/>
          <w:lang w:eastAsia="en-US"/>
        </w:rPr>
        <w:t xml:space="preserve">, kuna tegevuslubade väljastamine ei ole </w:t>
      </w:r>
      <w:r w:rsidR="005F4E70" w:rsidRPr="003331EF">
        <w:rPr>
          <w:iCs/>
          <w:spacing w:val="-5"/>
          <w:lang w:eastAsia="en-US"/>
        </w:rPr>
        <w:t xml:space="preserve">Rahapesu Andmebüroo </w:t>
      </w:r>
      <w:r w:rsidR="00F43914" w:rsidRPr="003331EF">
        <w:rPr>
          <w:iCs/>
          <w:spacing w:val="-5"/>
          <w:lang w:eastAsia="en-US"/>
        </w:rPr>
        <w:t>põhitegevus.</w:t>
      </w:r>
      <w:r w:rsidR="00F43914" w:rsidRPr="003331EF">
        <w:t xml:space="preserve"> </w:t>
      </w:r>
    </w:p>
    <w:p w14:paraId="5127AD67" w14:textId="77777777" w:rsidR="00057036" w:rsidRDefault="00057036" w:rsidP="003331EF">
      <w:pPr>
        <w:spacing w:before="0"/>
        <w:rPr>
          <w:b/>
        </w:rPr>
      </w:pPr>
    </w:p>
    <w:p w14:paraId="43CF11C9" w14:textId="77777777" w:rsidR="00143BD4" w:rsidRDefault="00143BD4" w:rsidP="003331EF">
      <w:pPr>
        <w:spacing w:before="0"/>
        <w:rPr>
          <w:b/>
        </w:rPr>
      </w:pPr>
    </w:p>
    <w:p w14:paraId="23CA1C7B" w14:textId="77777777" w:rsidR="00143BD4" w:rsidRPr="003331EF" w:rsidRDefault="00143BD4" w:rsidP="003331EF">
      <w:pPr>
        <w:spacing w:before="0"/>
        <w:rPr>
          <w:b/>
        </w:rPr>
      </w:pPr>
    </w:p>
    <w:p w14:paraId="2CEB80B4" w14:textId="7B46408F" w:rsidR="005508E5" w:rsidRPr="003331EF" w:rsidRDefault="005508E5" w:rsidP="003331EF">
      <w:pPr>
        <w:spacing w:before="0"/>
        <w:rPr>
          <w:b/>
        </w:rPr>
      </w:pPr>
      <w:r w:rsidRPr="003331EF">
        <w:rPr>
          <w:b/>
        </w:rPr>
        <w:t>6.</w:t>
      </w:r>
      <w:r w:rsidR="00057036" w:rsidRPr="003331EF">
        <w:rPr>
          <w:b/>
        </w:rPr>
        <w:t>4</w:t>
      </w:r>
      <w:r w:rsidRPr="003331EF">
        <w:rPr>
          <w:b/>
          <w:i/>
          <w:iCs/>
        </w:rPr>
        <w:t xml:space="preserve">. </w:t>
      </w:r>
      <w:r w:rsidRPr="003331EF">
        <w:rPr>
          <w:b/>
        </w:rPr>
        <w:t>Muud mõjud</w:t>
      </w:r>
    </w:p>
    <w:p w14:paraId="61B5369B" w14:textId="77777777" w:rsidR="005508E5" w:rsidRPr="003331EF" w:rsidRDefault="005508E5" w:rsidP="003331EF">
      <w:pPr>
        <w:spacing w:before="0"/>
        <w:rPr>
          <w:b/>
        </w:rPr>
      </w:pPr>
    </w:p>
    <w:p w14:paraId="7FFCC181" w14:textId="35CF5124" w:rsidR="005508E5" w:rsidRPr="003331EF" w:rsidRDefault="005508E5" w:rsidP="003331EF">
      <w:pPr>
        <w:spacing w:before="0"/>
        <w:rPr>
          <w:iCs/>
          <w:spacing w:val="-5"/>
          <w:lang w:eastAsia="en-US"/>
        </w:rPr>
      </w:pPr>
      <w:r w:rsidRPr="003331EF">
        <w:rPr>
          <w:iCs/>
          <w:spacing w:val="-5"/>
          <w:lang w:eastAsia="en-US"/>
        </w:rPr>
        <w:t>Regulatsioonil puudub mõju välissuhetele, elukeskkonnale ning regionaalarengule.</w:t>
      </w:r>
    </w:p>
    <w:p w14:paraId="7D5EA8FB" w14:textId="77777777" w:rsidR="005626DC" w:rsidRPr="003331EF" w:rsidRDefault="005626DC" w:rsidP="003331EF">
      <w:pPr>
        <w:spacing w:before="0"/>
        <w:rPr>
          <w:iCs/>
          <w:spacing w:val="-5"/>
          <w:lang w:eastAsia="en-US"/>
        </w:rPr>
      </w:pPr>
    </w:p>
    <w:p w14:paraId="5217950A" w14:textId="4E33BCFE" w:rsidR="00580DB2" w:rsidRPr="003331EF" w:rsidRDefault="00A809C8" w:rsidP="003331EF">
      <w:pPr>
        <w:spacing w:before="0"/>
        <w:rPr>
          <w:sz w:val="27"/>
          <w:szCs w:val="27"/>
          <w:shd w:val="clear" w:color="auto" w:fill="FFFFFF"/>
        </w:rPr>
      </w:pPr>
      <w:r w:rsidRPr="003331EF">
        <w:rPr>
          <w:iCs/>
          <w:spacing w:val="-5"/>
          <w:lang w:eastAsia="en-US"/>
        </w:rPr>
        <w:t xml:space="preserve">Regulatsioonil endal puudub otsene mõju keskkonnale, kuid </w:t>
      </w:r>
      <w:proofErr w:type="spellStart"/>
      <w:r w:rsidRPr="003331EF">
        <w:rPr>
          <w:iCs/>
          <w:spacing w:val="-5"/>
          <w:lang w:eastAsia="en-US"/>
        </w:rPr>
        <w:t>k</w:t>
      </w:r>
      <w:r w:rsidR="005626DC" w:rsidRPr="003331EF">
        <w:rPr>
          <w:iCs/>
          <w:spacing w:val="-5"/>
          <w:lang w:eastAsia="en-US"/>
        </w:rPr>
        <w:t>rüptovaratehingute</w:t>
      </w:r>
      <w:proofErr w:type="spellEnd"/>
      <w:r w:rsidR="005626DC" w:rsidRPr="003331EF">
        <w:rPr>
          <w:iCs/>
          <w:spacing w:val="-5"/>
          <w:lang w:eastAsia="en-US"/>
        </w:rPr>
        <w:t xml:space="preserve"> valideerimiseks kasutatavatel konsensusmehhanismidel</w:t>
      </w:r>
      <w:r w:rsidR="00C43113" w:rsidRPr="003331EF">
        <w:rPr>
          <w:rStyle w:val="Allmrkuseviide"/>
          <w:iCs/>
          <w:spacing w:val="-5"/>
          <w:lang w:eastAsia="en-US"/>
        </w:rPr>
        <w:footnoteReference w:id="37"/>
      </w:r>
      <w:r w:rsidR="005626DC" w:rsidRPr="003331EF">
        <w:rPr>
          <w:iCs/>
          <w:spacing w:val="-5"/>
          <w:lang w:eastAsia="en-US"/>
        </w:rPr>
        <w:t xml:space="preserve"> on peamine kahjulik mõju kliimale ja keskkonnale üldisemalt</w:t>
      </w:r>
      <w:r w:rsidR="00C43113" w:rsidRPr="003331EF">
        <w:rPr>
          <w:iCs/>
          <w:spacing w:val="-5"/>
          <w:lang w:eastAsia="en-US"/>
        </w:rPr>
        <w:t xml:space="preserve"> (ehk see ei tulene regulatsioonist, vaid </w:t>
      </w:r>
      <w:proofErr w:type="spellStart"/>
      <w:r w:rsidR="00123E7A" w:rsidRPr="003331EF">
        <w:rPr>
          <w:iCs/>
          <w:spacing w:val="-5"/>
          <w:lang w:eastAsia="en-US"/>
        </w:rPr>
        <w:t>krüptovaraga</w:t>
      </w:r>
      <w:proofErr w:type="spellEnd"/>
      <w:r w:rsidR="00123E7A" w:rsidRPr="003331EF">
        <w:rPr>
          <w:iCs/>
          <w:spacing w:val="-5"/>
          <w:lang w:eastAsia="en-US"/>
        </w:rPr>
        <w:t xml:space="preserve"> seotud tehnoloogia kasutab </w:t>
      </w:r>
      <w:r w:rsidR="00123E7A" w:rsidRPr="003331EF">
        <w:t>väga suurtes kogustes elektrit, mille tõttu on sellel suur keskkondlik jalajälg</w:t>
      </w:r>
      <w:r w:rsidR="00C43113" w:rsidRPr="003331EF">
        <w:rPr>
          <w:iCs/>
          <w:spacing w:val="-5"/>
          <w:lang w:eastAsia="en-US"/>
        </w:rPr>
        <w:t>)</w:t>
      </w:r>
      <w:r w:rsidR="005626DC" w:rsidRPr="003331EF">
        <w:rPr>
          <w:iCs/>
          <w:spacing w:val="-5"/>
          <w:lang w:eastAsia="en-US"/>
        </w:rPr>
        <w:t>. Sellised konsensusmehhanismid pea</w:t>
      </w:r>
      <w:r w:rsidR="00C43113" w:rsidRPr="003331EF">
        <w:rPr>
          <w:iCs/>
          <w:spacing w:val="-5"/>
          <w:lang w:eastAsia="en-US"/>
        </w:rPr>
        <w:t xml:space="preserve">ksid </w:t>
      </w:r>
      <w:r w:rsidR="005626DC" w:rsidRPr="003331EF">
        <w:rPr>
          <w:iCs/>
          <w:spacing w:val="-5"/>
          <w:lang w:eastAsia="en-US"/>
        </w:rPr>
        <w:t xml:space="preserve">seetõttu võtma kasutusele keskkonnahoidlikumad lahendused ja tagama, et </w:t>
      </w:r>
      <w:proofErr w:type="spellStart"/>
      <w:r w:rsidR="005626DC" w:rsidRPr="003331EF">
        <w:rPr>
          <w:iCs/>
          <w:spacing w:val="-5"/>
          <w:lang w:eastAsia="en-US"/>
        </w:rPr>
        <w:t>krüptovara</w:t>
      </w:r>
      <w:proofErr w:type="spellEnd"/>
      <w:r w:rsidR="005626DC" w:rsidRPr="003331EF">
        <w:rPr>
          <w:iCs/>
          <w:spacing w:val="-5"/>
          <w:lang w:eastAsia="en-US"/>
        </w:rPr>
        <w:t xml:space="preserve"> emitendid ja </w:t>
      </w:r>
      <w:proofErr w:type="spellStart"/>
      <w:r w:rsidR="005626DC" w:rsidRPr="003331EF">
        <w:rPr>
          <w:iCs/>
          <w:spacing w:val="-5"/>
          <w:lang w:eastAsia="en-US"/>
        </w:rPr>
        <w:t>krüptovarateenuse</w:t>
      </w:r>
      <w:proofErr w:type="spellEnd"/>
      <w:r w:rsidR="005626DC" w:rsidRPr="003331EF">
        <w:rPr>
          <w:iCs/>
          <w:spacing w:val="-5"/>
          <w:lang w:eastAsia="en-US"/>
        </w:rPr>
        <w:t xml:space="preserve"> osutajad tuvastavad ja avalikustavad nõuetekohaselt mis tahes peamise kahjuliku mõju, mida nad võivad kliimale avaldada, ja mis tahes muu keskkonnaga seotud kahjuliku mõju.</w:t>
      </w:r>
      <w:r w:rsidR="00580DB2" w:rsidRPr="003331EF">
        <w:rPr>
          <w:iCs/>
          <w:spacing w:val="-5"/>
          <w:lang w:eastAsia="en-US"/>
        </w:rPr>
        <w:t xml:space="preserve"> </w:t>
      </w:r>
      <w:commentRangeStart w:id="124"/>
      <w:r w:rsidR="00580DB2" w:rsidRPr="003331EF">
        <w:rPr>
          <w:iCs/>
          <w:spacing w:val="-5"/>
          <w:lang w:eastAsia="en-US"/>
        </w:rPr>
        <w:t xml:space="preserve">Euroopa Järelevalveasutustele </w:t>
      </w:r>
      <w:commentRangeEnd w:id="124"/>
      <w:r w:rsidR="00CD0231">
        <w:rPr>
          <w:rStyle w:val="Kommentaariviide"/>
          <w:lang w:val="en-GB" w:eastAsia="en-US"/>
        </w:rPr>
        <w:commentReference w:id="124"/>
      </w:r>
      <w:r w:rsidR="00580DB2" w:rsidRPr="003331EF">
        <w:rPr>
          <w:iCs/>
          <w:spacing w:val="-5"/>
          <w:lang w:eastAsia="en-US"/>
        </w:rPr>
        <w:t xml:space="preserve">antakse mandaat </w:t>
      </w:r>
      <w:commentRangeStart w:id="125"/>
      <w:r w:rsidR="00580DB2" w:rsidRPr="003331EF">
        <w:rPr>
          <w:iCs/>
          <w:spacing w:val="-5"/>
          <w:lang w:eastAsia="en-US"/>
        </w:rPr>
        <w:t xml:space="preserve">täpsustada kliimale avalduvat kahjulikku mõju ja muud keskkonnale avalduvat kahjulikku mõju käsitlevate </w:t>
      </w:r>
      <w:proofErr w:type="spellStart"/>
      <w:r w:rsidR="00580DB2" w:rsidRPr="003331EF">
        <w:rPr>
          <w:iCs/>
          <w:spacing w:val="-5"/>
          <w:lang w:eastAsia="en-US"/>
        </w:rPr>
        <w:t>kestlikkusnäitajatega</w:t>
      </w:r>
      <w:proofErr w:type="spellEnd"/>
      <w:r w:rsidR="00580DB2" w:rsidRPr="003331EF">
        <w:rPr>
          <w:iCs/>
          <w:spacing w:val="-5"/>
          <w:lang w:eastAsia="en-US"/>
        </w:rPr>
        <w:t xml:space="preserve"> seotud teabe sisu, metoodikat ja esitusviisi ning kirjeldada peamisi energianäitajaid.</w:t>
      </w:r>
      <w:r w:rsidR="00580DB2" w:rsidRPr="003331EF">
        <w:rPr>
          <w:sz w:val="27"/>
          <w:szCs w:val="27"/>
          <w:shd w:val="clear" w:color="auto" w:fill="FFFFFF"/>
        </w:rPr>
        <w:t xml:space="preserve"> </w:t>
      </w:r>
      <w:commentRangeEnd w:id="125"/>
      <w:r w:rsidR="00CD0231">
        <w:rPr>
          <w:rStyle w:val="Kommentaariviide"/>
          <w:lang w:val="en-GB" w:eastAsia="en-US"/>
        </w:rPr>
        <w:commentReference w:id="125"/>
      </w:r>
    </w:p>
    <w:p w14:paraId="4CA265CD" w14:textId="77777777" w:rsidR="00A9031F" w:rsidRPr="003331EF" w:rsidRDefault="00A9031F" w:rsidP="003331EF">
      <w:pPr>
        <w:spacing w:before="0"/>
        <w:rPr>
          <w:iCs/>
          <w:spacing w:val="-5"/>
          <w:lang w:eastAsia="en-US"/>
        </w:rPr>
      </w:pPr>
    </w:p>
    <w:p w14:paraId="5D96DB21" w14:textId="2A15A1CF" w:rsidR="00A9031F" w:rsidRPr="003331EF" w:rsidRDefault="003E659C" w:rsidP="003331EF">
      <w:pPr>
        <w:spacing w:before="0"/>
        <w:rPr>
          <w:iCs/>
          <w:spacing w:val="-5"/>
          <w:lang w:eastAsia="en-US"/>
        </w:rPr>
      </w:pPr>
      <w:r w:rsidRPr="003331EF">
        <w:rPr>
          <w:iCs/>
          <w:spacing w:val="-5"/>
          <w:lang w:eastAsia="en-US"/>
        </w:rPr>
        <w:t xml:space="preserve">Valdav enamus </w:t>
      </w:r>
      <w:proofErr w:type="spellStart"/>
      <w:r w:rsidRPr="003331EF">
        <w:rPr>
          <w:iCs/>
          <w:spacing w:val="-5"/>
          <w:lang w:eastAsia="en-US"/>
        </w:rPr>
        <w:t>krüptovaraülekandeid</w:t>
      </w:r>
      <w:proofErr w:type="spellEnd"/>
      <w:r w:rsidRPr="003331EF">
        <w:rPr>
          <w:iCs/>
          <w:spacing w:val="-5"/>
          <w:lang w:eastAsia="en-US"/>
        </w:rPr>
        <w:t xml:space="preserve"> on seaduslikud, kuid rahvusvaheline õiguskaitseasutuste praktika näitab, et järjest sagedamini kasutatakse </w:t>
      </w:r>
      <w:proofErr w:type="spellStart"/>
      <w:r w:rsidRPr="003331EF">
        <w:rPr>
          <w:iCs/>
          <w:spacing w:val="-5"/>
          <w:lang w:eastAsia="en-US"/>
        </w:rPr>
        <w:t>krüptovarasid</w:t>
      </w:r>
      <w:proofErr w:type="spellEnd"/>
      <w:r w:rsidRPr="003331EF">
        <w:rPr>
          <w:iCs/>
          <w:spacing w:val="-5"/>
          <w:lang w:eastAsia="en-US"/>
        </w:rPr>
        <w:t xml:space="preserve"> ka kuritegelikel eesmärkidel. </w:t>
      </w:r>
      <w:proofErr w:type="spellStart"/>
      <w:r w:rsidR="00A9031F" w:rsidRPr="003331EF">
        <w:rPr>
          <w:iCs/>
          <w:spacing w:val="-5"/>
          <w:lang w:eastAsia="en-US"/>
        </w:rPr>
        <w:t>Krüptovaraülekannete</w:t>
      </w:r>
      <w:proofErr w:type="spellEnd"/>
      <w:r w:rsidR="00A9031F" w:rsidRPr="003331EF">
        <w:rPr>
          <w:iCs/>
          <w:spacing w:val="-5"/>
          <w:lang w:eastAsia="en-US"/>
        </w:rPr>
        <w:t xml:space="preserve"> parem jälgitavus vähendab </w:t>
      </w:r>
      <w:proofErr w:type="spellStart"/>
      <w:r w:rsidR="00A9031F" w:rsidRPr="003331EF">
        <w:rPr>
          <w:iCs/>
          <w:spacing w:val="-5"/>
          <w:lang w:eastAsia="en-US"/>
        </w:rPr>
        <w:t>krüptovaraülekannete</w:t>
      </w:r>
      <w:proofErr w:type="spellEnd"/>
      <w:r w:rsidR="00A9031F" w:rsidRPr="003331EF">
        <w:rPr>
          <w:iCs/>
          <w:spacing w:val="-5"/>
          <w:lang w:eastAsia="en-US"/>
        </w:rPr>
        <w:t xml:space="preserve"> kasutamise atraktiivsust kurjategijate silmis ja parandab võimalusi uurida kuritegusid, mis omakorda tõstab turvatunnet ühiskonnas.</w:t>
      </w:r>
      <w:r w:rsidR="00F554F9" w:rsidRPr="003331EF">
        <w:rPr>
          <w:iCs/>
          <w:spacing w:val="-5"/>
          <w:lang w:eastAsia="en-US"/>
        </w:rPr>
        <w:t xml:space="preserve"> </w:t>
      </w:r>
      <w:proofErr w:type="spellStart"/>
      <w:r w:rsidR="00F554F9" w:rsidRPr="003331EF">
        <w:rPr>
          <w:iCs/>
          <w:spacing w:val="-5"/>
          <w:lang w:eastAsia="en-US"/>
        </w:rPr>
        <w:t>RAB</w:t>
      </w:r>
      <w:r w:rsidRPr="003331EF">
        <w:rPr>
          <w:iCs/>
          <w:spacing w:val="-5"/>
          <w:lang w:eastAsia="en-US"/>
        </w:rPr>
        <w:t>-i</w:t>
      </w:r>
      <w:proofErr w:type="spellEnd"/>
      <w:r w:rsidRPr="003331EF">
        <w:rPr>
          <w:iCs/>
          <w:spacing w:val="-5"/>
          <w:lang w:eastAsia="en-US"/>
        </w:rPr>
        <w:t xml:space="preserve"> 2022. aasta aastaraamatu ja samal aastal valminud virtuaalvääringu teenuse pakkujatega seonduvate riskide uuringu kohaselt </w:t>
      </w:r>
      <w:r w:rsidR="009C0B17" w:rsidRPr="003331EF">
        <w:rPr>
          <w:iCs/>
          <w:spacing w:val="-5"/>
          <w:lang w:eastAsia="en-US"/>
        </w:rPr>
        <w:t xml:space="preserve">Eestis </w:t>
      </w:r>
      <w:r w:rsidRPr="003331EF">
        <w:rPr>
          <w:iCs/>
          <w:spacing w:val="-5"/>
          <w:lang w:eastAsia="en-US"/>
        </w:rPr>
        <w:t xml:space="preserve">paljud kelmused pannakse toime, kasutades </w:t>
      </w:r>
      <w:proofErr w:type="spellStart"/>
      <w:r w:rsidRPr="003331EF">
        <w:rPr>
          <w:iCs/>
          <w:spacing w:val="-5"/>
          <w:lang w:eastAsia="en-US"/>
        </w:rPr>
        <w:t>krüptovara</w:t>
      </w:r>
      <w:proofErr w:type="spellEnd"/>
      <w:r w:rsidRPr="003331EF">
        <w:rPr>
          <w:iCs/>
          <w:spacing w:val="-5"/>
          <w:lang w:eastAsia="en-US"/>
        </w:rPr>
        <w:t xml:space="preserve">. Näiteks üks levinumaid telefonipettuse vorme on nö pangatöötaja-pettused, kus pettur esineb pangatöötajana, et saada ligipääsu petetava kontoandmetele või et petetav teostaks tehingu petturi kontole ülekandega või kasutades </w:t>
      </w:r>
      <w:proofErr w:type="spellStart"/>
      <w:r w:rsidRPr="003331EF">
        <w:rPr>
          <w:iCs/>
          <w:spacing w:val="-5"/>
          <w:lang w:eastAsia="en-US"/>
        </w:rPr>
        <w:t>krüptovaluuta</w:t>
      </w:r>
      <w:proofErr w:type="spellEnd"/>
      <w:r w:rsidRPr="003331EF">
        <w:rPr>
          <w:iCs/>
          <w:spacing w:val="-5"/>
          <w:lang w:eastAsia="en-US"/>
        </w:rPr>
        <w:t xml:space="preserve"> ATM-i. Sageli konverteeritakse sellise pettuse teel saadud raha </w:t>
      </w:r>
      <w:proofErr w:type="spellStart"/>
      <w:r w:rsidRPr="003331EF">
        <w:rPr>
          <w:iCs/>
          <w:spacing w:val="-5"/>
          <w:lang w:eastAsia="en-US"/>
        </w:rPr>
        <w:t>krüptovaraks</w:t>
      </w:r>
      <w:proofErr w:type="spellEnd"/>
      <w:r w:rsidRPr="003331EF">
        <w:rPr>
          <w:iCs/>
          <w:spacing w:val="-5"/>
          <w:lang w:eastAsia="en-US"/>
        </w:rPr>
        <w:t xml:space="preserve">. Teiseks levinud kuritegevuse vormiks on lunaraharünnakud, kus kurjategijad nõuavad, et kannatanud maksaksid neile virtuaalvääringus. </w:t>
      </w:r>
      <w:r w:rsidR="003A6F35" w:rsidRPr="003331EF">
        <w:rPr>
          <w:iCs/>
          <w:spacing w:val="-5"/>
          <w:lang w:eastAsia="en-US"/>
        </w:rPr>
        <w:t xml:space="preserve">Ka terrorismi rahastamine toimub mh </w:t>
      </w:r>
      <w:proofErr w:type="spellStart"/>
      <w:r w:rsidR="003A6F35" w:rsidRPr="003331EF">
        <w:rPr>
          <w:iCs/>
          <w:spacing w:val="-5"/>
          <w:lang w:eastAsia="en-US"/>
        </w:rPr>
        <w:t>krüptovaras</w:t>
      </w:r>
      <w:proofErr w:type="spellEnd"/>
      <w:r w:rsidR="003A6F35" w:rsidRPr="003331EF">
        <w:rPr>
          <w:iCs/>
          <w:spacing w:val="-5"/>
          <w:lang w:eastAsia="en-US"/>
        </w:rPr>
        <w:t xml:space="preserve">, sh näiteks terrorirühmitus </w:t>
      </w:r>
      <w:proofErr w:type="spellStart"/>
      <w:r w:rsidR="003A6F35" w:rsidRPr="003331EF">
        <w:rPr>
          <w:iCs/>
          <w:spacing w:val="-5"/>
          <w:lang w:eastAsia="en-US"/>
        </w:rPr>
        <w:t>Hamas</w:t>
      </w:r>
      <w:proofErr w:type="spellEnd"/>
      <w:r w:rsidR="003A6F35" w:rsidRPr="003331EF">
        <w:rPr>
          <w:iCs/>
          <w:spacing w:val="-5"/>
          <w:lang w:eastAsia="en-US"/>
        </w:rPr>
        <w:t xml:space="preserve"> kasutab oma tegevuse </w:t>
      </w:r>
      <w:r w:rsidR="003A6F35" w:rsidRPr="003331EF">
        <w:rPr>
          <w:iCs/>
          <w:spacing w:val="-5"/>
          <w:lang w:eastAsia="en-US"/>
        </w:rPr>
        <w:lastRenderedPageBreak/>
        <w:t xml:space="preserve">finantseerimiseks </w:t>
      </w:r>
      <w:proofErr w:type="spellStart"/>
      <w:r w:rsidR="003A6F35" w:rsidRPr="003331EF">
        <w:rPr>
          <w:iCs/>
          <w:spacing w:val="-5"/>
          <w:lang w:eastAsia="en-US"/>
        </w:rPr>
        <w:t>krüptovara</w:t>
      </w:r>
      <w:proofErr w:type="spellEnd"/>
      <w:r w:rsidR="003A6F35" w:rsidRPr="003331EF">
        <w:rPr>
          <w:iCs/>
          <w:spacing w:val="-5"/>
          <w:lang w:eastAsia="en-US"/>
        </w:rPr>
        <w:t xml:space="preserve">. </w:t>
      </w:r>
      <w:proofErr w:type="spellStart"/>
      <w:r w:rsidR="003A6F35" w:rsidRPr="003331EF">
        <w:rPr>
          <w:iCs/>
          <w:spacing w:val="-5"/>
          <w:lang w:eastAsia="en-US"/>
        </w:rPr>
        <w:t>Krüptovara</w:t>
      </w:r>
      <w:proofErr w:type="spellEnd"/>
      <w:r w:rsidR="003A6F35" w:rsidRPr="003331EF">
        <w:rPr>
          <w:iCs/>
          <w:spacing w:val="-5"/>
          <w:lang w:eastAsia="en-US"/>
        </w:rPr>
        <w:t xml:space="preserve"> eest saab tumeveebist tellida peaaegu kõike: narkootikume, mõrvu, tulirelvasid, lapspornot, süvavõltsingu (</w:t>
      </w:r>
      <w:proofErr w:type="spellStart"/>
      <w:r w:rsidR="003A6F35" w:rsidRPr="003331EF">
        <w:rPr>
          <w:i/>
          <w:spacing w:val="-5"/>
          <w:lang w:eastAsia="en-US"/>
        </w:rPr>
        <w:t>deepfake</w:t>
      </w:r>
      <w:proofErr w:type="spellEnd"/>
      <w:r w:rsidR="003A6F35" w:rsidRPr="003331EF">
        <w:rPr>
          <w:iCs/>
          <w:spacing w:val="-5"/>
          <w:lang w:eastAsia="en-US"/>
        </w:rPr>
        <w:t>) väljapressimis, krediitkaardiandmeid, kasutajatunnuseid ja salasõnasid ja muud.</w:t>
      </w:r>
      <w:r w:rsidR="00E16A37" w:rsidRPr="003331EF">
        <w:rPr>
          <w:rStyle w:val="Allmrkuseviide"/>
          <w:iCs/>
          <w:spacing w:val="-5"/>
          <w:lang w:eastAsia="en-US"/>
        </w:rPr>
        <w:footnoteReference w:id="38"/>
      </w:r>
      <w:r w:rsidR="00E16A37" w:rsidRPr="003331EF">
        <w:rPr>
          <w:iCs/>
          <w:spacing w:val="-5"/>
          <w:lang w:eastAsia="en-US"/>
        </w:rPr>
        <w:t xml:space="preserve"> Kelmuste ja lunavararünnakute vastane võitlus vähendab otseselt edukalt läbi viidud kuritegude hulka Eestis, kus ohvriks on Eesti resident. Lisaks vähendab </w:t>
      </w:r>
      <w:proofErr w:type="spellStart"/>
      <w:r w:rsidR="00E16A37" w:rsidRPr="003331EF">
        <w:rPr>
          <w:iCs/>
          <w:spacing w:val="-5"/>
          <w:lang w:eastAsia="en-US"/>
        </w:rPr>
        <w:t>krüptovaraülekannete</w:t>
      </w:r>
      <w:proofErr w:type="spellEnd"/>
      <w:r w:rsidR="00E16A37" w:rsidRPr="003331EF">
        <w:rPr>
          <w:iCs/>
          <w:spacing w:val="-5"/>
          <w:lang w:eastAsia="en-US"/>
        </w:rPr>
        <w:t xml:space="preserve"> parem jälgitavus võimalust, et Eesti </w:t>
      </w:r>
      <w:proofErr w:type="spellStart"/>
      <w:r w:rsidR="00E16A37" w:rsidRPr="003331EF">
        <w:rPr>
          <w:iCs/>
          <w:spacing w:val="-5"/>
          <w:lang w:eastAsia="en-US"/>
        </w:rPr>
        <w:t>krüptovara</w:t>
      </w:r>
      <w:proofErr w:type="spellEnd"/>
      <w:r w:rsidR="00E16A37" w:rsidRPr="003331EF">
        <w:rPr>
          <w:iCs/>
          <w:spacing w:val="-5"/>
          <w:lang w:eastAsia="en-US"/>
        </w:rPr>
        <w:t xml:space="preserve"> teenuse pakkujaid kasutatakse kurjategijate poolt erinevate rahapesu faaside teostamisel. </w:t>
      </w:r>
    </w:p>
    <w:p w14:paraId="59D59FBE" w14:textId="77777777" w:rsidR="006374B1" w:rsidRPr="003331EF" w:rsidRDefault="006374B1" w:rsidP="003331EF">
      <w:pPr>
        <w:pStyle w:val="Considrant"/>
        <w:numPr>
          <w:ilvl w:val="0"/>
          <w:numId w:val="0"/>
        </w:numPr>
        <w:spacing w:before="0" w:after="0"/>
        <w:rPr>
          <w:lang w:val="et-EE" w:eastAsia="et-EE"/>
        </w:rPr>
      </w:pPr>
    </w:p>
    <w:p w14:paraId="7B2BFFE9" w14:textId="7D483DB0" w:rsidR="006374B1" w:rsidRPr="003331EF" w:rsidRDefault="006374B1" w:rsidP="003331EF">
      <w:pPr>
        <w:pStyle w:val="Considrant"/>
        <w:numPr>
          <w:ilvl w:val="0"/>
          <w:numId w:val="0"/>
        </w:numPr>
        <w:spacing w:before="0" w:after="0"/>
        <w:rPr>
          <w:b/>
          <w:bCs/>
          <w:lang w:val="et-EE" w:eastAsia="et-EE"/>
        </w:rPr>
      </w:pPr>
      <w:r w:rsidRPr="003331EF">
        <w:rPr>
          <w:b/>
          <w:bCs/>
          <w:lang w:val="et-EE" w:eastAsia="et-EE"/>
        </w:rPr>
        <w:t>6.4. Mõjude kokkuvõte</w:t>
      </w:r>
    </w:p>
    <w:p w14:paraId="0569C6F3" w14:textId="77777777" w:rsidR="006374B1" w:rsidRPr="003331EF" w:rsidRDefault="006374B1" w:rsidP="003331EF">
      <w:pPr>
        <w:pStyle w:val="Considrant"/>
        <w:numPr>
          <w:ilvl w:val="0"/>
          <w:numId w:val="0"/>
        </w:numPr>
        <w:spacing w:before="0" w:after="0"/>
        <w:rPr>
          <w:lang w:val="et-EE" w:eastAsia="et-EE"/>
        </w:rPr>
      </w:pPr>
    </w:p>
    <w:p w14:paraId="52B82B0E" w14:textId="25D68BB8" w:rsidR="006374B1" w:rsidRPr="003331EF" w:rsidRDefault="006374B1" w:rsidP="003331EF">
      <w:pPr>
        <w:spacing w:before="0"/>
        <w:rPr>
          <w:iCs/>
          <w:spacing w:val="-5"/>
          <w:lang w:eastAsia="en-US"/>
        </w:rPr>
      </w:pPr>
      <w:proofErr w:type="spellStart"/>
      <w:r w:rsidRPr="003331EF">
        <w:rPr>
          <w:iCs/>
          <w:spacing w:val="-5"/>
          <w:lang w:eastAsia="en-US"/>
        </w:rPr>
        <w:t>Krüptovarateenuse</w:t>
      </w:r>
      <w:proofErr w:type="spellEnd"/>
      <w:r w:rsidRPr="003331EF">
        <w:rPr>
          <w:iCs/>
          <w:spacing w:val="-5"/>
          <w:lang w:eastAsia="en-US"/>
        </w:rPr>
        <w:t xml:space="preserve"> osutajatel, sh </w:t>
      </w:r>
      <w:proofErr w:type="spellStart"/>
      <w:r w:rsidR="006F6642" w:rsidRPr="003331EF">
        <w:rPr>
          <w:iCs/>
          <w:spacing w:val="-5"/>
          <w:lang w:eastAsia="en-US"/>
        </w:rPr>
        <w:t>VASPidel</w:t>
      </w:r>
      <w:proofErr w:type="spellEnd"/>
      <w:r w:rsidRPr="003331EF">
        <w:rPr>
          <w:iCs/>
          <w:spacing w:val="-5"/>
          <w:lang w:eastAsia="en-US"/>
        </w:rPr>
        <w:t xml:space="preserve"> on vaja ilmselt täiendavat tööjõudu ja kapitali, et oma tegevus viia kooskõlla õigusaktides sätestatud nõuetega. Samas 2022. a. 15. juunil jõustunud rahapesu ja terrorismi rahastamise tõkestamise seaduse muudatused nägid juba ette kõrgendatud nõuded selles sektoris tegutsemiseks, mistõttu on ka need teenuseosutajad pidanud astuma samme, et olla kooskõlas nõuetega, mis on kohati üsna samaväärsed </w:t>
      </w:r>
      <w:proofErr w:type="spellStart"/>
      <w:r w:rsidRPr="003331EF">
        <w:rPr>
          <w:iCs/>
          <w:spacing w:val="-5"/>
          <w:lang w:eastAsia="en-US"/>
        </w:rPr>
        <w:t>M</w:t>
      </w:r>
      <w:r w:rsidR="0019289B">
        <w:rPr>
          <w:iCs/>
          <w:spacing w:val="-5"/>
          <w:lang w:eastAsia="en-US"/>
        </w:rPr>
        <w:t>i</w:t>
      </w:r>
      <w:r w:rsidRPr="003331EF">
        <w:rPr>
          <w:iCs/>
          <w:spacing w:val="-5"/>
          <w:lang w:eastAsia="en-US"/>
        </w:rPr>
        <w:t>CA</w:t>
      </w:r>
      <w:proofErr w:type="spellEnd"/>
      <w:r w:rsidRPr="003331EF">
        <w:rPr>
          <w:iCs/>
          <w:spacing w:val="-5"/>
          <w:lang w:eastAsia="en-US"/>
        </w:rPr>
        <w:t xml:space="preserve"> määruse nõuetega (nt kapitalinõuded, nõuded juhtide usaldusväärsusele jms). Kokkuvõtvalt -  </w:t>
      </w:r>
      <w:proofErr w:type="spellStart"/>
      <w:r w:rsidRPr="003331EF">
        <w:rPr>
          <w:iCs/>
          <w:spacing w:val="-5"/>
          <w:lang w:eastAsia="en-US"/>
        </w:rPr>
        <w:t>krüptovara</w:t>
      </w:r>
      <w:proofErr w:type="spellEnd"/>
      <w:r w:rsidRPr="003331EF">
        <w:rPr>
          <w:iCs/>
          <w:spacing w:val="-5"/>
          <w:lang w:eastAsia="en-US"/>
        </w:rPr>
        <w:t xml:space="preserve"> teenuseosutajate halduskoormus suureneb.</w:t>
      </w:r>
    </w:p>
    <w:p w14:paraId="7E589179" w14:textId="77777777" w:rsidR="006374B1" w:rsidRPr="003331EF" w:rsidRDefault="006374B1" w:rsidP="003331EF">
      <w:pPr>
        <w:spacing w:before="0"/>
        <w:rPr>
          <w:iCs/>
          <w:spacing w:val="-5"/>
          <w:lang w:eastAsia="en-US"/>
        </w:rPr>
      </w:pPr>
    </w:p>
    <w:p w14:paraId="26D1C38C" w14:textId="77777777" w:rsidR="006374B1" w:rsidRPr="003331EF" w:rsidRDefault="006374B1" w:rsidP="003331EF">
      <w:pPr>
        <w:spacing w:before="0"/>
        <w:rPr>
          <w:iCs/>
          <w:spacing w:val="-5"/>
          <w:lang w:eastAsia="en-US"/>
        </w:rPr>
      </w:pPr>
      <w:proofErr w:type="spellStart"/>
      <w:r w:rsidRPr="003331EF">
        <w:rPr>
          <w:iCs/>
          <w:spacing w:val="-5"/>
          <w:lang w:eastAsia="en-US"/>
        </w:rPr>
        <w:t>Krüptovarateenuse</w:t>
      </w:r>
      <w:proofErr w:type="spellEnd"/>
      <w:r w:rsidRPr="003331EF">
        <w:rPr>
          <w:iCs/>
          <w:spacing w:val="-5"/>
          <w:lang w:eastAsia="en-US"/>
        </w:rPr>
        <w:t xml:space="preserve"> klientide ja </w:t>
      </w:r>
      <w:proofErr w:type="spellStart"/>
      <w:r w:rsidRPr="003331EF">
        <w:rPr>
          <w:iCs/>
          <w:spacing w:val="-5"/>
          <w:lang w:eastAsia="en-US"/>
        </w:rPr>
        <w:t>krüptovara</w:t>
      </w:r>
      <w:proofErr w:type="spellEnd"/>
      <w:r w:rsidRPr="003331EF">
        <w:rPr>
          <w:iCs/>
          <w:spacing w:val="-5"/>
          <w:lang w:eastAsia="en-US"/>
        </w:rPr>
        <w:t xml:space="preserve"> omanike jaoks suureneb eelkõige läbipaistvus ja usaldusväärsus </w:t>
      </w:r>
      <w:proofErr w:type="spellStart"/>
      <w:r w:rsidRPr="003331EF">
        <w:rPr>
          <w:iCs/>
          <w:spacing w:val="-5"/>
          <w:lang w:eastAsia="en-US"/>
        </w:rPr>
        <w:t>krüptovaraturu</w:t>
      </w:r>
      <w:proofErr w:type="spellEnd"/>
      <w:r w:rsidRPr="003331EF">
        <w:rPr>
          <w:iCs/>
          <w:spacing w:val="-5"/>
          <w:lang w:eastAsia="en-US"/>
        </w:rPr>
        <w:t xml:space="preserve"> vastu.</w:t>
      </w:r>
    </w:p>
    <w:p w14:paraId="58479D9C" w14:textId="77777777" w:rsidR="006374B1" w:rsidRPr="003331EF" w:rsidRDefault="006374B1" w:rsidP="003331EF">
      <w:pPr>
        <w:spacing w:before="0"/>
        <w:rPr>
          <w:iCs/>
          <w:spacing w:val="-5"/>
          <w:lang w:eastAsia="en-US"/>
        </w:rPr>
      </w:pPr>
    </w:p>
    <w:p w14:paraId="084824CB" w14:textId="712C805F" w:rsidR="006374B1" w:rsidRPr="003331EF" w:rsidRDefault="006374B1" w:rsidP="003331EF">
      <w:pPr>
        <w:spacing w:before="0"/>
        <w:rPr>
          <w:iCs/>
          <w:spacing w:val="-5"/>
          <w:lang w:eastAsia="en-US"/>
        </w:rPr>
      </w:pPr>
      <w:r w:rsidRPr="003331EF">
        <w:rPr>
          <w:iCs/>
          <w:spacing w:val="-5"/>
          <w:lang w:eastAsia="en-US"/>
        </w:rPr>
        <w:t xml:space="preserve">Finantsinspektsiooni </w:t>
      </w:r>
      <w:r w:rsidR="000A3DBE" w:rsidRPr="003331EF">
        <w:rPr>
          <w:iCs/>
          <w:spacing w:val="-5"/>
          <w:lang w:eastAsia="en-US"/>
        </w:rPr>
        <w:t>töökoormus</w:t>
      </w:r>
      <w:r w:rsidRPr="003331EF">
        <w:rPr>
          <w:iCs/>
          <w:spacing w:val="-5"/>
          <w:lang w:eastAsia="en-US"/>
        </w:rPr>
        <w:t xml:space="preserve"> suureneb oluliselt. Rahapesu Andmebüroo </w:t>
      </w:r>
      <w:r w:rsidR="000A3DBE" w:rsidRPr="003331EF">
        <w:rPr>
          <w:iCs/>
          <w:spacing w:val="-5"/>
          <w:lang w:eastAsia="en-US"/>
        </w:rPr>
        <w:t>töö</w:t>
      </w:r>
      <w:r w:rsidRPr="003331EF">
        <w:rPr>
          <w:iCs/>
          <w:spacing w:val="-5"/>
          <w:lang w:eastAsia="en-US"/>
        </w:rPr>
        <w:t xml:space="preserve">koormus väheneb selle arvelt, et edaspidi nad ei pea kulutama ressursse </w:t>
      </w:r>
      <w:proofErr w:type="spellStart"/>
      <w:r w:rsidR="006F6642" w:rsidRPr="003331EF">
        <w:rPr>
          <w:iCs/>
          <w:spacing w:val="-5"/>
          <w:lang w:eastAsia="en-US"/>
        </w:rPr>
        <w:t>VASP</w:t>
      </w:r>
      <w:r w:rsidR="00964008" w:rsidRPr="003331EF">
        <w:rPr>
          <w:iCs/>
          <w:spacing w:val="-5"/>
          <w:lang w:eastAsia="en-US"/>
        </w:rPr>
        <w:t>-ide</w:t>
      </w:r>
      <w:proofErr w:type="spellEnd"/>
      <w:r w:rsidR="00964008" w:rsidRPr="003331EF">
        <w:rPr>
          <w:iCs/>
          <w:spacing w:val="-5"/>
          <w:lang w:eastAsia="en-US"/>
        </w:rPr>
        <w:t xml:space="preserve"> </w:t>
      </w:r>
      <w:r w:rsidRPr="003331EF">
        <w:rPr>
          <w:iCs/>
          <w:spacing w:val="-5"/>
          <w:lang w:eastAsia="en-US"/>
        </w:rPr>
        <w:t>tegevusloa ja tegevusnõuete täitmisega seotud järelevalvele, v.a rahapesuriskiga seotud järelevalve.</w:t>
      </w:r>
    </w:p>
    <w:p w14:paraId="2528B855" w14:textId="6205818F" w:rsidR="005626DC" w:rsidRPr="003331EF" w:rsidRDefault="005626DC" w:rsidP="003331EF">
      <w:pPr>
        <w:pStyle w:val="Considrant"/>
        <w:numPr>
          <w:ilvl w:val="0"/>
          <w:numId w:val="0"/>
        </w:numPr>
        <w:spacing w:before="0" w:after="0"/>
        <w:rPr>
          <w:lang w:val="et-EE" w:eastAsia="et-EE"/>
        </w:rPr>
      </w:pPr>
      <w:r w:rsidRPr="003331EF">
        <w:rPr>
          <w:lang w:val="et-EE" w:eastAsia="et-EE"/>
        </w:rPr>
        <w:t xml:space="preserve"> </w:t>
      </w:r>
    </w:p>
    <w:p w14:paraId="28AEDBBD" w14:textId="77777777" w:rsidR="005508E5" w:rsidRPr="003331EF" w:rsidRDefault="005508E5" w:rsidP="003331EF">
      <w:pPr>
        <w:pStyle w:val="Pealkiri1"/>
        <w:numPr>
          <w:ilvl w:val="0"/>
          <w:numId w:val="19"/>
        </w:numPr>
        <w:ind w:left="567" w:hanging="567"/>
        <w:rPr>
          <w:caps/>
          <w:color w:val="auto"/>
          <w:sz w:val="24"/>
          <w:lang w:val="et-EE"/>
        </w:rPr>
      </w:pPr>
      <w:r w:rsidRPr="003331EF">
        <w:rPr>
          <w:caps/>
          <w:color w:val="auto"/>
          <w:sz w:val="24"/>
          <w:lang w:val="et-EE"/>
        </w:rPr>
        <w:t>Seaduse rakendamisega seotud riigi ja kohaliku omavalitsuse tegevused, eeldatavad kulud ja tulud</w:t>
      </w:r>
    </w:p>
    <w:p w14:paraId="5730A88B" w14:textId="77777777" w:rsidR="005508E5" w:rsidRPr="003331EF" w:rsidRDefault="005508E5" w:rsidP="003331EF">
      <w:pPr>
        <w:spacing w:before="0"/>
        <w:ind w:right="71"/>
        <w:rPr>
          <w:lang w:eastAsia="en-US"/>
        </w:rPr>
      </w:pPr>
    </w:p>
    <w:p w14:paraId="00BEAFE5" w14:textId="7A30F20E" w:rsidR="005508E5" w:rsidRPr="003331EF" w:rsidRDefault="005508E5" w:rsidP="003331EF">
      <w:pPr>
        <w:spacing w:before="0"/>
        <w:rPr>
          <w:iCs/>
          <w:spacing w:val="-5"/>
          <w:lang w:eastAsia="en-US"/>
        </w:rPr>
      </w:pPr>
      <w:r w:rsidRPr="003331EF">
        <w:rPr>
          <w:iCs/>
          <w:spacing w:val="-5"/>
          <w:lang w:eastAsia="en-US"/>
        </w:rPr>
        <w:t xml:space="preserve">Seaduse rakendamisel puuduvad mõjud kohaliku omavalitsuste tegevustele. </w:t>
      </w:r>
    </w:p>
    <w:p w14:paraId="2E6E9E0A" w14:textId="77777777" w:rsidR="005508E5" w:rsidRPr="003331EF" w:rsidRDefault="005508E5" w:rsidP="003331EF">
      <w:pPr>
        <w:spacing w:before="0"/>
        <w:rPr>
          <w:iCs/>
          <w:spacing w:val="-5"/>
          <w:lang w:eastAsia="en-US"/>
        </w:rPr>
      </w:pPr>
    </w:p>
    <w:p w14:paraId="64B1A1CD" w14:textId="74839599" w:rsidR="005508E5" w:rsidRPr="003331EF" w:rsidRDefault="005508E5" w:rsidP="003331EF">
      <w:pPr>
        <w:spacing w:before="0"/>
        <w:rPr>
          <w:iCs/>
          <w:spacing w:val="-5"/>
          <w:lang w:eastAsia="en-US"/>
        </w:rPr>
      </w:pPr>
      <w:r w:rsidRPr="003331EF">
        <w:rPr>
          <w:iCs/>
          <w:spacing w:val="-5"/>
          <w:lang w:eastAsia="en-US"/>
        </w:rPr>
        <w:t>Seda</w:t>
      </w:r>
      <w:r w:rsidR="00632D74" w:rsidRPr="003331EF">
        <w:rPr>
          <w:iCs/>
          <w:spacing w:val="-5"/>
          <w:lang w:eastAsia="en-US"/>
        </w:rPr>
        <w:t>,</w:t>
      </w:r>
      <w:r w:rsidRPr="003331EF">
        <w:rPr>
          <w:iCs/>
          <w:spacing w:val="-5"/>
          <w:lang w:eastAsia="en-US"/>
        </w:rPr>
        <w:t xml:space="preserve"> kas seaduse vastuvõtmise </w:t>
      </w:r>
      <w:r w:rsidR="00632D74" w:rsidRPr="003331EF">
        <w:rPr>
          <w:iCs/>
          <w:spacing w:val="-5"/>
          <w:lang w:eastAsia="en-US"/>
        </w:rPr>
        <w:t xml:space="preserve">ja </w:t>
      </w:r>
      <w:proofErr w:type="spellStart"/>
      <w:r w:rsidR="00632D74" w:rsidRPr="003331EF">
        <w:rPr>
          <w:iCs/>
          <w:spacing w:val="-5"/>
          <w:lang w:eastAsia="en-US"/>
        </w:rPr>
        <w:t>M</w:t>
      </w:r>
      <w:r w:rsidR="007F6494" w:rsidRPr="003331EF">
        <w:rPr>
          <w:iCs/>
          <w:spacing w:val="-5"/>
          <w:lang w:eastAsia="en-US"/>
        </w:rPr>
        <w:t>i</w:t>
      </w:r>
      <w:r w:rsidR="00632D74" w:rsidRPr="003331EF">
        <w:rPr>
          <w:iCs/>
          <w:spacing w:val="-5"/>
          <w:lang w:eastAsia="en-US"/>
        </w:rPr>
        <w:t>CA</w:t>
      </w:r>
      <w:proofErr w:type="spellEnd"/>
      <w:r w:rsidR="00632D74" w:rsidRPr="003331EF">
        <w:rPr>
          <w:iCs/>
          <w:spacing w:val="-5"/>
          <w:lang w:eastAsia="en-US"/>
        </w:rPr>
        <w:t xml:space="preserve"> määruse rakendamise </w:t>
      </w:r>
      <w:r w:rsidRPr="003331EF">
        <w:rPr>
          <w:iCs/>
          <w:spacing w:val="-5"/>
          <w:lang w:eastAsia="en-US"/>
        </w:rPr>
        <w:t>tulemusena tekib kulude kokkuhoid riigieelarve tähenduses</w:t>
      </w:r>
      <w:r w:rsidR="007F6494" w:rsidRPr="003331EF">
        <w:rPr>
          <w:iCs/>
          <w:spacing w:val="-5"/>
          <w:lang w:eastAsia="en-US"/>
        </w:rPr>
        <w:t xml:space="preserve"> (seoses sellega, et </w:t>
      </w:r>
      <w:proofErr w:type="spellStart"/>
      <w:r w:rsidR="007F6494" w:rsidRPr="003331EF">
        <w:rPr>
          <w:iCs/>
          <w:spacing w:val="-5"/>
          <w:lang w:eastAsia="en-US"/>
        </w:rPr>
        <w:t>VASPide</w:t>
      </w:r>
      <w:proofErr w:type="spellEnd"/>
      <w:r w:rsidR="007F6494" w:rsidRPr="003331EF">
        <w:rPr>
          <w:iCs/>
          <w:spacing w:val="-5"/>
          <w:lang w:eastAsia="en-US"/>
        </w:rPr>
        <w:t xml:space="preserve"> järelevalve läheb </w:t>
      </w:r>
      <w:proofErr w:type="spellStart"/>
      <w:r w:rsidR="007F6494" w:rsidRPr="003331EF">
        <w:rPr>
          <w:iCs/>
          <w:spacing w:val="-5"/>
          <w:lang w:eastAsia="en-US"/>
        </w:rPr>
        <w:t>RABilit</w:t>
      </w:r>
      <w:proofErr w:type="spellEnd"/>
      <w:r w:rsidR="007F6494" w:rsidRPr="003331EF">
        <w:rPr>
          <w:iCs/>
          <w:spacing w:val="-5"/>
          <w:lang w:eastAsia="en-US"/>
        </w:rPr>
        <w:t xml:space="preserve"> Finantsinspektsioonile)</w:t>
      </w:r>
      <w:r w:rsidR="00632D74" w:rsidRPr="003331EF">
        <w:rPr>
          <w:iCs/>
          <w:spacing w:val="-5"/>
          <w:lang w:eastAsia="en-US"/>
        </w:rPr>
        <w:t>,</w:t>
      </w:r>
      <w:r w:rsidRPr="003331EF">
        <w:rPr>
          <w:iCs/>
          <w:spacing w:val="-5"/>
          <w:lang w:eastAsia="en-US"/>
        </w:rPr>
        <w:t xml:space="preserve"> on keeruline hinnata (vt eespool märgitut). </w:t>
      </w:r>
      <w:commentRangeStart w:id="126"/>
      <w:r w:rsidRPr="003331EF">
        <w:rPr>
          <w:iCs/>
          <w:spacing w:val="-5"/>
          <w:lang w:eastAsia="en-US"/>
        </w:rPr>
        <w:t xml:space="preserve">Tõenäoliselt riigieelarve mõttes kulud </w:t>
      </w:r>
      <w:r w:rsidR="00632D74" w:rsidRPr="003331EF">
        <w:rPr>
          <w:iCs/>
          <w:spacing w:val="-5"/>
          <w:lang w:eastAsia="en-US"/>
        </w:rPr>
        <w:t xml:space="preserve">oluliselt </w:t>
      </w:r>
      <w:r w:rsidRPr="003331EF">
        <w:rPr>
          <w:iCs/>
          <w:spacing w:val="-5"/>
          <w:lang w:eastAsia="en-US"/>
        </w:rPr>
        <w:t xml:space="preserve">ei vähene </w:t>
      </w:r>
      <w:r w:rsidR="005A3DDB" w:rsidRPr="003331EF">
        <w:rPr>
          <w:iCs/>
          <w:spacing w:val="-5"/>
          <w:lang w:eastAsia="en-US"/>
        </w:rPr>
        <w:t>ega ka suurene.</w:t>
      </w:r>
      <w:commentRangeEnd w:id="126"/>
      <w:r w:rsidR="00CD0231">
        <w:rPr>
          <w:rStyle w:val="Kommentaariviide"/>
          <w:lang w:val="en-GB" w:eastAsia="en-US"/>
        </w:rPr>
        <w:commentReference w:id="126"/>
      </w:r>
    </w:p>
    <w:bookmarkEnd w:id="112"/>
    <w:p w14:paraId="26989862" w14:textId="77777777" w:rsidR="008876BD" w:rsidRPr="003331EF" w:rsidRDefault="008876BD" w:rsidP="003331EF">
      <w:pPr>
        <w:spacing w:before="0"/>
        <w:rPr>
          <w:lang w:eastAsia="en-US"/>
        </w:rPr>
      </w:pPr>
    </w:p>
    <w:p w14:paraId="28186CBF" w14:textId="6DB19173" w:rsidR="008C3E70" w:rsidRPr="003331EF" w:rsidRDefault="00B9578A" w:rsidP="003331EF">
      <w:pPr>
        <w:pStyle w:val="Pealkiri1"/>
        <w:numPr>
          <w:ilvl w:val="0"/>
          <w:numId w:val="19"/>
        </w:numPr>
        <w:ind w:left="567" w:hanging="567"/>
        <w:rPr>
          <w:caps/>
          <w:color w:val="auto"/>
          <w:sz w:val="24"/>
          <w:lang w:val="et-EE"/>
        </w:rPr>
      </w:pPr>
      <w:bookmarkStart w:id="127" w:name="_Toc55577757"/>
      <w:r w:rsidRPr="003331EF">
        <w:rPr>
          <w:caps/>
          <w:color w:val="auto"/>
          <w:sz w:val="24"/>
          <w:lang w:val="et-EE"/>
        </w:rPr>
        <w:t>Rakendusaktid</w:t>
      </w:r>
      <w:bookmarkEnd w:id="127"/>
    </w:p>
    <w:p w14:paraId="4C10906F" w14:textId="77777777" w:rsidR="008C3E70" w:rsidRPr="003331EF" w:rsidRDefault="008C3E70" w:rsidP="003331EF">
      <w:pPr>
        <w:spacing w:before="0"/>
        <w:jc w:val="left"/>
        <w:rPr>
          <w:lang w:eastAsia="en-US"/>
        </w:rPr>
      </w:pPr>
    </w:p>
    <w:p w14:paraId="7045F01F" w14:textId="28E15AF3" w:rsidR="00B343BA" w:rsidRPr="003331EF" w:rsidRDefault="006A5CF3" w:rsidP="003331EF">
      <w:pPr>
        <w:spacing w:before="0"/>
        <w:rPr>
          <w:iCs/>
          <w:spacing w:val="-5"/>
          <w:lang w:eastAsia="en-US"/>
        </w:rPr>
      </w:pPr>
      <w:r w:rsidRPr="003331EF">
        <w:rPr>
          <w:iCs/>
          <w:spacing w:val="-5"/>
          <w:lang w:eastAsia="en-US"/>
        </w:rPr>
        <w:t>Valdkonna eest vastutav minister </w:t>
      </w:r>
      <w:r w:rsidR="00B343BA" w:rsidRPr="003331EF">
        <w:rPr>
          <w:iCs/>
          <w:spacing w:val="-5"/>
          <w:lang w:eastAsia="en-US"/>
        </w:rPr>
        <w:t xml:space="preserve">võib </w:t>
      </w:r>
      <w:r w:rsidRPr="003331EF">
        <w:rPr>
          <w:iCs/>
          <w:spacing w:val="-5"/>
          <w:lang w:eastAsia="en-US"/>
        </w:rPr>
        <w:t>kehtestab</w:t>
      </w:r>
      <w:r w:rsidR="00B343BA" w:rsidRPr="003331EF">
        <w:rPr>
          <w:iCs/>
          <w:spacing w:val="-5"/>
          <w:lang w:eastAsia="en-US"/>
        </w:rPr>
        <w:t>:</w:t>
      </w:r>
    </w:p>
    <w:p w14:paraId="209ADF48" w14:textId="46219F11" w:rsidR="009541A7" w:rsidRPr="003331EF" w:rsidRDefault="006A5CF3" w:rsidP="003331EF">
      <w:pPr>
        <w:pStyle w:val="Loendilik"/>
        <w:numPr>
          <w:ilvl w:val="0"/>
          <w:numId w:val="31"/>
        </w:numPr>
        <w:jc w:val="both"/>
        <w:rPr>
          <w:lang w:eastAsia="et-EE"/>
        </w:rPr>
      </w:pPr>
      <w:r w:rsidRPr="003331EF">
        <w:rPr>
          <w:iCs/>
          <w:spacing w:val="-5"/>
        </w:rPr>
        <w:t>Finantsinspektsioonile esitavate aruannete sisu, vormid, koostamise metoodika ja esitamise korra</w:t>
      </w:r>
      <w:r w:rsidR="00A355EA" w:rsidRPr="003331EF">
        <w:rPr>
          <w:iCs/>
          <w:spacing w:val="-5"/>
        </w:rPr>
        <w:t xml:space="preserve"> (eelnõu § 1</w:t>
      </w:r>
      <w:r w:rsidR="009541A7" w:rsidRPr="003331EF">
        <w:rPr>
          <w:iCs/>
          <w:spacing w:val="-5"/>
        </w:rPr>
        <w:t>5</w:t>
      </w:r>
      <w:r w:rsidR="00A355EA" w:rsidRPr="003331EF">
        <w:rPr>
          <w:iCs/>
          <w:spacing w:val="-5"/>
        </w:rPr>
        <w:t xml:space="preserve"> lg 8</w:t>
      </w:r>
      <w:r w:rsidR="008F795F" w:rsidRPr="003331EF">
        <w:rPr>
          <w:iCs/>
          <w:spacing w:val="-5"/>
        </w:rPr>
        <w:t>, kavand esitatud käesoleva seletuskirja lisas 2</w:t>
      </w:r>
      <w:r w:rsidR="00A355EA" w:rsidRPr="003331EF">
        <w:rPr>
          <w:iCs/>
          <w:spacing w:val="-5"/>
        </w:rPr>
        <w:t>)</w:t>
      </w:r>
      <w:r w:rsidR="009541A7" w:rsidRPr="003331EF">
        <w:rPr>
          <w:iCs/>
          <w:spacing w:val="-5"/>
        </w:rPr>
        <w:t xml:space="preserve"> </w:t>
      </w:r>
      <w:r w:rsidR="00FA38F5" w:rsidRPr="003331EF">
        <w:rPr>
          <w:iCs/>
          <w:spacing w:val="-5"/>
        </w:rPr>
        <w:t xml:space="preserve">– </w:t>
      </w:r>
      <w:r w:rsidR="009541A7" w:rsidRPr="003331EF">
        <w:rPr>
          <w:iCs/>
          <w:spacing w:val="-5"/>
        </w:rPr>
        <w:t xml:space="preserve">kuna </w:t>
      </w:r>
      <w:proofErr w:type="spellStart"/>
      <w:r w:rsidR="009541A7" w:rsidRPr="003331EF">
        <w:rPr>
          <w:iCs/>
          <w:spacing w:val="-5"/>
        </w:rPr>
        <w:t>M</w:t>
      </w:r>
      <w:r w:rsidR="0019289B">
        <w:rPr>
          <w:iCs/>
          <w:spacing w:val="-5"/>
        </w:rPr>
        <w:t>i</w:t>
      </w:r>
      <w:r w:rsidR="009541A7" w:rsidRPr="003331EF">
        <w:rPr>
          <w:iCs/>
          <w:spacing w:val="-5"/>
        </w:rPr>
        <w:t>CA</w:t>
      </w:r>
      <w:proofErr w:type="spellEnd"/>
      <w:r w:rsidR="009541A7" w:rsidRPr="003331EF">
        <w:rPr>
          <w:iCs/>
          <w:spacing w:val="-5"/>
        </w:rPr>
        <w:t xml:space="preserve"> määrus ei reguleeri </w:t>
      </w:r>
      <w:proofErr w:type="spellStart"/>
      <w:r w:rsidR="009541A7" w:rsidRPr="003331EF">
        <w:rPr>
          <w:iCs/>
          <w:spacing w:val="-5"/>
        </w:rPr>
        <w:t>krüptovarateenuse</w:t>
      </w:r>
      <w:proofErr w:type="spellEnd"/>
      <w:r w:rsidR="009541A7" w:rsidRPr="003331EF">
        <w:rPr>
          <w:iCs/>
          <w:spacing w:val="-5"/>
        </w:rPr>
        <w:t xml:space="preserve"> osutajate järelevalvelist aruandlust ega ka lepinguriigi filiaalidega seotud aruandlust, on oluline tagada, et Finantsinspektsioonil on järelevalve teostamiseks olemaks vajalik teave, mistõttu volitatakse ministrit vajadusel kehtestama regulaarsete järelevalveliste aruannete sisu, vormid, koostamise metoodika ja esitamise kord.</w:t>
      </w:r>
    </w:p>
    <w:p w14:paraId="15830AA3" w14:textId="5A622738" w:rsidR="00B67A9A" w:rsidRPr="003331EF" w:rsidRDefault="009D2267" w:rsidP="003331EF">
      <w:pPr>
        <w:pStyle w:val="Loendilik"/>
        <w:numPr>
          <w:ilvl w:val="0"/>
          <w:numId w:val="31"/>
        </w:numPr>
        <w:jc w:val="both"/>
        <w:rPr>
          <w:iCs/>
          <w:spacing w:val="-5"/>
        </w:rPr>
      </w:pPr>
      <w:r w:rsidRPr="003331EF">
        <w:rPr>
          <w:iCs/>
          <w:spacing w:val="-5"/>
        </w:rPr>
        <w:t>määruse, milles täpsustatakse</w:t>
      </w:r>
      <w:r w:rsidR="000E501F" w:rsidRPr="003331EF">
        <w:rPr>
          <w:iCs/>
          <w:spacing w:val="-5"/>
        </w:rPr>
        <w:t xml:space="preserve"> nõudeid selliste isikute teadmistele ja oskustele, kes annavad seoses</w:t>
      </w:r>
      <w:r w:rsidRPr="003331EF">
        <w:rPr>
          <w:iCs/>
          <w:spacing w:val="-5"/>
        </w:rPr>
        <w:t xml:space="preserve"> </w:t>
      </w:r>
      <w:proofErr w:type="spellStart"/>
      <w:r w:rsidR="000E501F" w:rsidRPr="003331EF">
        <w:rPr>
          <w:iCs/>
          <w:spacing w:val="-5"/>
        </w:rPr>
        <w:t>krüptovaraga</w:t>
      </w:r>
      <w:proofErr w:type="spellEnd"/>
      <w:r w:rsidR="000E501F" w:rsidRPr="003331EF">
        <w:rPr>
          <w:iCs/>
          <w:spacing w:val="-5"/>
        </w:rPr>
        <w:t xml:space="preserve"> nõu </w:t>
      </w:r>
      <w:r w:rsidR="00B82ABA" w:rsidRPr="003331EF">
        <w:rPr>
          <w:iCs/>
          <w:spacing w:val="-5"/>
        </w:rPr>
        <w:t>(</w:t>
      </w:r>
      <w:r w:rsidR="00A355EA" w:rsidRPr="003331EF">
        <w:rPr>
          <w:iCs/>
          <w:spacing w:val="-5"/>
        </w:rPr>
        <w:t xml:space="preserve">eelnõu </w:t>
      </w:r>
      <w:r w:rsidR="00B82ABA" w:rsidRPr="003331EF">
        <w:rPr>
          <w:iCs/>
          <w:spacing w:val="-5"/>
        </w:rPr>
        <w:t xml:space="preserve">§ </w:t>
      </w:r>
      <w:r w:rsidR="00A355EA" w:rsidRPr="003331EF">
        <w:rPr>
          <w:iCs/>
          <w:spacing w:val="-5"/>
        </w:rPr>
        <w:t>7</w:t>
      </w:r>
      <w:r w:rsidR="00B82ABA" w:rsidRPr="003331EF">
        <w:rPr>
          <w:iCs/>
          <w:spacing w:val="-5"/>
        </w:rPr>
        <w:t xml:space="preserve"> lg </w:t>
      </w:r>
      <w:r w:rsidR="000E501F" w:rsidRPr="003331EF">
        <w:rPr>
          <w:iCs/>
          <w:spacing w:val="-5"/>
        </w:rPr>
        <w:t>2</w:t>
      </w:r>
      <w:r w:rsidR="00B82ABA" w:rsidRPr="003331EF">
        <w:rPr>
          <w:iCs/>
          <w:spacing w:val="-5"/>
        </w:rPr>
        <w:t>)</w:t>
      </w:r>
      <w:r w:rsidR="009541A7" w:rsidRPr="003331EF">
        <w:rPr>
          <w:iCs/>
          <w:spacing w:val="-5"/>
        </w:rPr>
        <w:t xml:space="preserve"> – </w:t>
      </w:r>
      <w:proofErr w:type="spellStart"/>
      <w:r w:rsidR="009541A7" w:rsidRPr="003331EF">
        <w:rPr>
          <w:iCs/>
          <w:spacing w:val="-5"/>
        </w:rPr>
        <w:t>volitisnorm</w:t>
      </w:r>
      <w:proofErr w:type="spellEnd"/>
      <w:r w:rsidR="009541A7" w:rsidRPr="003331EF">
        <w:rPr>
          <w:iCs/>
          <w:spacing w:val="-5"/>
        </w:rPr>
        <w:t xml:space="preserve"> annab võimaluse täpsustada nõudeid </w:t>
      </w:r>
      <w:proofErr w:type="spellStart"/>
      <w:r w:rsidR="009541A7" w:rsidRPr="003331EF">
        <w:rPr>
          <w:iCs/>
          <w:spacing w:val="-5"/>
        </w:rPr>
        <w:t>krüptovara</w:t>
      </w:r>
      <w:proofErr w:type="spellEnd"/>
      <w:r w:rsidR="009541A7" w:rsidRPr="003331EF">
        <w:rPr>
          <w:iCs/>
          <w:spacing w:val="-5"/>
        </w:rPr>
        <w:t xml:space="preserve"> kohta nõu </w:t>
      </w:r>
      <w:proofErr w:type="spellStart"/>
      <w:r w:rsidR="009541A7" w:rsidRPr="003331EF">
        <w:rPr>
          <w:iCs/>
          <w:spacing w:val="-5"/>
        </w:rPr>
        <w:t>andavate</w:t>
      </w:r>
      <w:proofErr w:type="spellEnd"/>
      <w:r w:rsidR="009541A7" w:rsidRPr="003331EF">
        <w:rPr>
          <w:iCs/>
          <w:spacing w:val="-5"/>
        </w:rPr>
        <w:t xml:space="preserve"> isikute teadmistele (analoogne määrus on kehtestatud krediidiandjatele ja -vahendajatele</w:t>
      </w:r>
      <w:r w:rsidR="009541A7" w:rsidRPr="003331EF">
        <w:rPr>
          <w:rStyle w:val="Allmrkuseviide"/>
          <w:iCs/>
          <w:spacing w:val="-5"/>
        </w:rPr>
        <w:footnoteReference w:id="39"/>
      </w:r>
      <w:r w:rsidR="009541A7" w:rsidRPr="003331EF">
        <w:rPr>
          <w:iCs/>
          <w:spacing w:val="-5"/>
        </w:rPr>
        <w:t xml:space="preserve">);  </w:t>
      </w:r>
    </w:p>
    <w:p w14:paraId="75AAABFC" w14:textId="6DCDF5DA" w:rsidR="006A5CF3" w:rsidRPr="0019289B" w:rsidRDefault="00B67A9A" w:rsidP="003331EF">
      <w:pPr>
        <w:pStyle w:val="Loendilik"/>
        <w:numPr>
          <w:ilvl w:val="0"/>
          <w:numId w:val="31"/>
        </w:numPr>
        <w:jc w:val="both"/>
        <w:rPr>
          <w:lang w:eastAsia="et-EE"/>
        </w:rPr>
      </w:pPr>
      <w:r w:rsidRPr="003331EF">
        <w:rPr>
          <w:iCs/>
          <w:spacing w:val="-5"/>
        </w:rPr>
        <w:lastRenderedPageBreak/>
        <w:t xml:space="preserve">nõuded </w:t>
      </w:r>
      <w:proofErr w:type="spellStart"/>
      <w:r w:rsidRPr="003331EF">
        <w:rPr>
          <w:iCs/>
          <w:spacing w:val="-5"/>
        </w:rPr>
        <w:t>krüptovara</w:t>
      </w:r>
      <w:proofErr w:type="spellEnd"/>
      <w:r w:rsidRPr="003331EF">
        <w:rPr>
          <w:iCs/>
          <w:spacing w:val="-5"/>
        </w:rPr>
        <w:t xml:space="preserve"> registreerimisele ja nendega tehingute tegemisele </w:t>
      </w:r>
      <w:proofErr w:type="spellStart"/>
      <w:r w:rsidRPr="003331EF">
        <w:rPr>
          <w:iCs/>
          <w:spacing w:val="-5"/>
        </w:rPr>
        <w:t>keskdepositooriumis</w:t>
      </w:r>
      <w:proofErr w:type="spellEnd"/>
      <w:r w:rsidR="00A355EA" w:rsidRPr="003331EF">
        <w:rPr>
          <w:iCs/>
          <w:spacing w:val="-5"/>
        </w:rPr>
        <w:t xml:space="preserve"> (eelnõu § 58 punkt 2, EVKS § 2 lg</w:t>
      </w:r>
      <w:r w:rsidR="00A355EA" w:rsidRPr="003331EF">
        <w:rPr>
          <w:lang w:eastAsia="et-EE"/>
        </w:rPr>
        <w:t xml:space="preserve"> 4</w:t>
      </w:r>
      <w:r w:rsidR="00A355EA" w:rsidRPr="003331EF">
        <w:rPr>
          <w:vertAlign w:val="superscript"/>
          <w:lang w:eastAsia="et-EE"/>
        </w:rPr>
        <w:t>2</w:t>
      </w:r>
      <w:r w:rsidR="00A355EA" w:rsidRPr="003331EF">
        <w:rPr>
          <w:lang w:eastAsia="et-EE"/>
        </w:rPr>
        <w:t>)</w:t>
      </w:r>
      <w:r w:rsidR="004554CF" w:rsidRPr="003331EF">
        <w:t xml:space="preserve"> – </w:t>
      </w:r>
      <w:r w:rsidR="004554CF" w:rsidRPr="0019289B">
        <w:rPr>
          <w:iCs/>
          <w:spacing w:val="-5"/>
        </w:rPr>
        <w:t>kehtiv väärtpaberite registri pidamise seadus näeb ette nõuded väärtpaberite (aktsiate, võlakirjade jm) registreerimisele</w:t>
      </w:r>
      <w:r w:rsidR="002C7C8C" w:rsidRPr="0019289B">
        <w:rPr>
          <w:iCs/>
          <w:spacing w:val="-5"/>
        </w:rPr>
        <w:t>/</w:t>
      </w:r>
      <w:r w:rsidR="004554CF" w:rsidRPr="0019289B">
        <w:rPr>
          <w:iCs/>
          <w:spacing w:val="-5"/>
        </w:rPr>
        <w:t>hoidmisele</w:t>
      </w:r>
      <w:r w:rsidR="002C7C8C" w:rsidRPr="0019289B">
        <w:rPr>
          <w:iCs/>
          <w:spacing w:val="-5"/>
        </w:rPr>
        <w:t xml:space="preserve"> ja tehingute tegemisele</w:t>
      </w:r>
      <w:r w:rsidR="004554CF" w:rsidRPr="0019289B">
        <w:rPr>
          <w:iCs/>
          <w:spacing w:val="-5"/>
        </w:rPr>
        <w:t xml:space="preserve">. Kuna käesoleva eelnõuga nähakse ette registripidajale võimalus registreerida/hoida ka </w:t>
      </w:r>
      <w:proofErr w:type="spellStart"/>
      <w:r w:rsidR="004554CF" w:rsidRPr="0019289B">
        <w:rPr>
          <w:iCs/>
          <w:spacing w:val="-5"/>
        </w:rPr>
        <w:t>krüptovara</w:t>
      </w:r>
      <w:proofErr w:type="spellEnd"/>
      <w:r w:rsidR="004554CF" w:rsidRPr="0019289B">
        <w:rPr>
          <w:iCs/>
          <w:spacing w:val="-5"/>
        </w:rPr>
        <w:t xml:space="preserve">, siis võib olla vajadus näha sellisele </w:t>
      </w:r>
      <w:proofErr w:type="spellStart"/>
      <w:r w:rsidR="004554CF" w:rsidRPr="0019289B">
        <w:rPr>
          <w:iCs/>
          <w:spacing w:val="-5"/>
        </w:rPr>
        <w:t>eriliigilisele</w:t>
      </w:r>
      <w:proofErr w:type="spellEnd"/>
      <w:r w:rsidR="004554CF" w:rsidRPr="0019289B">
        <w:rPr>
          <w:iCs/>
          <w:spacing w:val="-5"/>
        </w:rPr>
        <w:t xml:space="preserve"> varaklassile (s.t. </w:t>
      </w:r>
      <w:proofErr w:type="spellStart"/>
      <w:r w:rsidR="004554CF" w:rsidRPr="0019289B">
        <w:rPr>
          <w:iCs/>
          <w:spacing w:val="-5"/>
        </w:rPr>
        <w:t>krüptovaradele</w:t>
      </w:r>
      <w:proofErr w:type="spellEnd"/>
      <w:r w:rsidR="004554CF" w:rsidRPr="0019289B">
        <w:rPr>
          <w:iCs/>
          <w:spacing w:val="-5"/>
        </w:rPr>
        <w:t>) spetsiifilisemad nõuded nende registreerimisele erinevalt väärtpaberitest.</w:t>
      </w:r>
    </w:p>
    <w:p w14:paraId="597690E2" w14:textId="328A1ECE" w:rsidR="0019289B" w:rsidRPr="003331EF" w:rsidRDefault="0019289B" w:rsidP="0019289B">
      <w:r>
        <w:t>Eelnõuga olemasolevaid rakendusakte ei muudeta.</w:t>
      </w:r>
    </w:p>
    <w:p w14:paraId="6B7A1355" w14:textId="77777777" w:rsidR="00B67A9A" w:rsidRPr="003331EF" w:rsidRDefault="00B67A9A" w:rsidP="003331EF">
      <w:pPr>
        <w:pStyle w:val="Loendilik"/>
        <w:ind w:left="360"/>
      </w:pPr>
    </w:p>
    <w:p w14:paraId="1346A30A" w14:textId="484F9DC1" w:rsidR="0057540C" w:rsidRPr="003331EF" w:rsidRDefault="0057540C" w:rsidP="003331EF">
      <w:pPr>
        <w:pStyle w:val="Pealkiri1"/>
        <w:numPr>
          <w:ilvl w:val="0"/>
          <w:numId w:val="20"/>
        </w:numPr>
        <w:rPr>
          <w:caps/>
          <w:color w:val="auto"/>
          <w:sz w:val="24"/>
          <w:lang w:val="et-EE"/>
        </w:rPr>
      </w:pPr>
      <w:bookmarkStart w:id="128" w:name="_Toc55577759"/>
      <w:r w:rsidRPr="003331EF">
        <w:rPr>
          <w:caps/>
          <w:color w:val="auto"/>
          <w:sz w:val="24"/>
          <w:lang w:val="et-EE"/>
        </w:rPr>
        <w:t>SEADUSE JÕUSTUMINE</w:t>
      </w:r>
    </w:p>
    <w:p w14:paraId="3163CFB4" w14:textId="77777777" w:rsidR="0057540C" w:rsidRPr="003331EF" w:rsidRDefault="0057540C" w:rsidP="003331EF">
      <w:pPr>
        <w:spacing w:before="0"/>
      </w:pPr>
    </w:p>
    <w:p w14:paraId="6BB13A2C" w14:textId="77777777" w:rsidR="00BF58F7" w:rsidRPr="003331EF" w:rsidRDefault="00BF58F7" w:rsidP="003331EF">
      <w:pPr>
        <w:spacing w:before="0"/>
        <w:rPr>
          <w:iCs/>
          <w:spacing w:val="-5"/>
          <w:lang w:eastAsia="en-US"/>
        </w:rPr>
      </w:pPr>
      <w:r w:rsidRPr="003331EF">
        <w:rPr>
          <w:iCs/>
          <w:spacing w:val="-5"/>
          <w:lang w:eastAsia="en-US"/>
        </w:rPr>
        <w:t>Jõustumise ja rakendamise kuupäevad:</w:t>
      </w:r>
    </w:p>
    <w:p w14:paraId="0911A46C" w14:textId="784EE813" w:rsidR="00BF58F7" w:rsidRPr="003331EF" w:rsidRDefault="00BF58F7" w:rsidP="003331EF">
      <w:pPr>
        <w:numPr>
          <w:ilvl w:val="0"/>
          <w:numId w:val="12"/>
        </w:numPr>
        <w:spacing w:before="0"/>
        <w:ind w:left="284" w:hanging="284"/>
        <w:contextualSpacing/>
        <w:rPr>
          <w:bCs/>
          <w:iCs/>
          <w:spacing w:val="-5"/>
          <w:lang w:eastAsia="en-US"/>
        </w:rPr>
      </w:pPr>
      <w:r w:rsidRPr="003331EF">
        <w:rPr>
          <w:bCs/>
          <w:iCs/>
          <w:spacing w:val="-5"/>
          <w:lang w:eastAsia="en-US"/>
        </w:rPr>
        <w:t>seadus jõustub üldises korras (sh IFS</w:t>
      </w:r>
      <w:r w:rsidR="004D3D0C" w:rsidRPr="003331EF">
        <w:rPr>
          <w:bCs/>
          <w:iCs/>
          <w:spacing w:val="-5"/>
          <w:lang w:eastAsia="en-US"/>
        </w:rPr>
        <w:t>, FIS</w:t>
      </w:r>
      <w:r w:rsidRPr="003331EF">
        <w:rPr>
          <w:bCs/>
          <w:iCs/>
          <w:spacing w:val="-5"/>
          <w:lang w:eastAsia="en-US"/>
        </w:rPr>
        <w:t xml:space="preserve"> ja </w:t>
      </w:r>
      <w:proofErr w:type="spellStart"/>
      <w:r w:rsidRPr="003331EF">
        <w:rPr>
          <w:bCs/>
          <w:iCs/>
          <w:spacing w:val="-5"/>
          <w:lang w:eastAsia="en-US"/>
        </w:rPr>
        <w:t>VpTS</w:t>
      </w:r>
      <w:proofErr w:type="spellEnd"/>
      <w:r w:rsidRPr="003331EF">
        <w:rPr>
          <w:bCs/>
          <w:iCs/>
          <w:spacing w:val="-5"/>
          <w:lang w:eastAsia="en-US"/>
        </w:rPr>
        <w:t xml:space="preserve"> täiendavad muudatused);</w:t>
      </w:r>
    </w:p>
    <w:p w14:paraId="04DD6F39" w14:textId="0096CEEB" w:rsidR="00BF58F7" w:rsidRPr="003331EF" w:rsidRDefault="00BF58F7" w:rsidP="003331EF">
      <w:pPr>
        <w:numPr>
          <w:ilvl w:val="0"/>
          <w:numId w:val="12"/>
        </w:numPr>
        <w:spacing w:before="0"/>
        <w:ind w:left="284" w:hanging="284"/>
        <w:contextualSpacing/>
        <w:rPr>
          <w:bCs/>
          <w:iCs/>
          <w:spacing w:val="-5"/>
          <w:lang w:eastAsia="en-US"/>
        </w:rPr>
      </w:pPr>
      <w:proofErr w:type="spellStart"/>
      <w:r w:rsidRPr="003331EF">
        <w:rPr>
          <w:bCs/>
          <w:iCs/>
          <w:spacing w:val="-5"/>
          <w:lang w:eastAsia="en-US"/>
        </w:rPr>
        <w:t>RahaPTS</w:t>
      </w:r>
      <w:proofErr w:type="spellEnd"/>
      <w:r w:rsidRPr="003331EF">
        <w:rPr>
          <w:bCs/>
          <w:iCs/>
          <w:spacing w:val="-5"/>
          <w:lang w:eastAsia="en-US"/>
        </w:rPr>
        <w:t xml:space="preserve"> muudatused jõustuvad kahes etapis – 2024. aasta 30. </w:t>
      </w:r>
      <w:r w:rsidR="0031557F" w:rsidRPr="003331EF">
        <w:rPr>
          <w:bCs/>
          <w:iCs/>
          <w:spacing w:val="-5"/>
          <w:lang w:eastAsia="en-US"/>
        </w:rPr>
        <w:t>detsembril</w:t>
      </w:r>
      <w:r w:rsidRPr="003331EF">
        <w:rPr>
          <w:bCs/>
          <w:iCs/>
          <w:spacing w:val="-5"/>
          <w:lang w:eastAsia="en-US"/>
        </w:rPr>
        <w:t xml:space="preserve"> ja 202</w:t>
      </w:r>
      <w:r w:rsidR="006E10AB" w:rsidRPr="003331EF">
        <w:rPr>
          <w:bCs/>
          <w:iCs/>
          <w:spacing w:val="-5"/>
          <w:lang w:eastAsia="en-US"/>
        </w:rPr>
        <w:t>6</w:t>
      </w:r>
      <w:r w:rsidRPr="003331EF">
        <w:rPr>
          <w:bCs/>
          <w:iCs/>
          <w:spacing w:val="-5"/>
          <w:lang w:eastAsia="en-US"/>
        </w:rPr>
        <w:t>. aasta 1. j</w:t>
      </w:r>
      <w:r w:rsidR="006E10AB" w:rsidRPr="003331EF">
        <w:rPr>
          <w:bCs/>
          <w:iCs/>
          <w:spacing w:val="-5"/>
          <w:lang w:eastAsia="en-US"/>
        </w:rPr>
        <w:t>aanuar</w:t>
      </w:r>
      <w:r w:rsidRPr="003331EF">
        <w:rPr>
          <w:bCs/>
          <w:iCs/>
          <w:spacing w:val="-5"/>
          <w:lang w:eastAsia="en-US"/>
        </w:rPr>
        <w:t>il;</w:t>
      </w:r>
    </w:p>
    <w:p w14:paraId="3E0082B9" w14:textId="289C55A2" w:rsidR="00BF58F7" w:rsidRPr="003331EF" w:rsidRDefault="00BF58F7" w:rsidP="003331EF">
      <w:pPr>
        <w:numPr>
          <w:ilvl w:val="0"/>
          <w:numId w:val="12"/>
        </w:numPr>
        <w:spacing w:before="0"/>
        <w:ind w:left="284" w:hanging="284"/>
        <w:contextualSpacing/>
        <w:rPr>
          <w:bCs/>
          <w:iCs/>
          <w:spacing w:val="-5"/>
          <w:lang w:eastAsia="en-US"/>
        </w:rPr>
      </w:pPr>
      <w:proofErr w:type="spellStart"/>
      <w:r w:rsidRPr="003331EF">
        <w:rPr>
          <w:bCs/>
          <w:iCs/>
        </w:rPr>
        <w:t>RSanS</w:t>
      </w:r>
      <w:proofErr w:type="spellEnd"/>
      <w:r w:rsidR="004D3D0C" w:rsidRPr="003331EF">
        <w:rPr>
          <w:bCs/>
          <w:iCs/>
        </w:rPr>
        <w:t xml:space="preserve"> </w:t>
      </w:r>
      <w:r w:rsidRPr="003331EF">
        <w:rPr>
          <w:bCs/>
          <w:iCs/>
        </w:rPr>
        <w:t>muudatused jõustuvad 202</w:t>
      </w:r>
      <w:r w:rsidR="006E10AB" w:rsidRPr="003331EF">
        <w:rPr>
          <w:bCs/>
          <w:iCs/>
        </w:rPr>
        <w:t>6</w:t>
      </w:r>
      <w:r w:rsidRPr="003331EF">
        <w:rPr>
          <w:bCs/>
          <w:iCs/>
        </w:rPr>
        <w:t>. aasta 1. j</w:t>
      </w:r>
      <w:r w:rsidR="006E10AB" w:rsidRPr="003331EF">
        <w:rPr>
          <w:bCs/>
          <w:iCs/>
        </w:rPr>
        <w:t>aanuar</w:t>
      </w:r>
      <w:r w:rsidRPr="003331EF">
        <w:rPr>
          <w:bCs/>
          <w:iCs/>
        </w:rPr>
        <w:t>il;</w:t>
      </w:r>
    </w:p>
    <w:p w14:paraId="34A3C2B5" w14:textId="69BBBC2F" w:rsidR="00BF58F7" w:rsidRPr="003331EF" w:rsidRDefault="00BF58F7" w:rsidP="003331EF">
      <w:pPr>
        <w:numPr>
          <w:ilvl w:val="0"/>
          <w:numId w:val="12"/>
        </w:numPr>
        <w:spacing w:before="0"/>
        <w:ind w:left="284" w:hanging="284"/>
        <w:contextualSpacing/>
        <w:rPr>
          <w:bCs/>
          <w:iCs/>
          <w:spacing w:val="-5"/>
          <w:lang w:eastAsia="en-US"/>
        </w:rPr>
      </w:pPr>
      <w:r w:rsidRPr="003331EF">
        <w:rPr>
          <w:bCs/>
          <w:iCs/>
          <w:shd w:val="clear" w:color="auto" w:fill="FFFFFF"/>
        </w:rPr>
        <w:t xml:space="preserve">RLS </w:t>
      </w:r>
      <w:r w:rsidRPr="003331EF">
        <w:rPr>
          <w:bCs/>
          <w:iCs/>
          <w:spacing w:val="-5"/>
          <w:lang w:eastAsia="en-US"/>
        </w:rPr>
        <w:t>muudatused jõustuvad 2024. aasta 30. detsembril;</w:t>
      </w:r>
    </w:p>
    <w:p w14:paraId="097168E2" w14:textId="0D7C65D9" w:rsidR="00BF58F7" w:rsidRPr="003331EF" w:rsidRDefault="00BF58F7" w:rsidP="003331EF">
      <w:pPr>
        <w:numPr>
          <w:ilvl w:val="0"/>
          <w:numId w:val="12"/>
        </w:numPr>
        <w:spacing w:before="0"/>
        <w:ind w:left="284" w:hanging="284"/>
        <w:contextualSpacing/>
        <w:rPr>
          <w:bCs/>
          <w:iCs/>
          <w:spacing w:val="-5"/>
          <w:lang w:eastAsia="en-US"/>
        </w:rPr>
      </w:pPr>
      <w:r w:rsidRPr="003331EF">
        <w:rPr>
          <w:bCs/>
          <w:iCs/>
          <w:spacing w:val="-5"/>
          <w:lang w:eastAsia="en-US"/>
        </w:rPr>
        <w:t xml:space="preserve">varapõhise </w:t>
      </w:r>
      <w:proofErr w:type="spellStart"/>
      <w:r w:rsidRPr="003331EF">
        <w:rPr>
          <w:bCs/>
          <w:iCs/>
          <w:spacing w:val="-5"/>
          <w:lang w:eastAsia="en-US"/>
        </w:rPr>
        <w:t>tokeni</w:t>
      </w:r>
      <w:proofErr w:type="spellEnd"/>
      <w:r w:rsidRPr="003331EF">
        <w:rPr>
          <w:bCs/>
          <w:iCs/>
          <w:spacing w:val="-5"/>
          <w:lang w:eastAsia="en-US"/>
        </w:rPr>
        <w:t xml:space="preserve"> emitent ja e-raha </w:t>
      </w:r>
      <w:proofErr w:type="spellStart"/>
      <w:r w:rsidRPr="003331EF">
        <w:rPr>
          <w:bCs/>
          <w:iCs/>
          <w:spacing w:val="-5"/>
          <w:lang w:eastAsia="en-US"/>
        </w:rPr>
        <w:t>tokeni</w:t>
      </w:r>
      <w:proofErr w:type="spellEnd"/>
      <w:r w:rsidRPr="003331EF">
        <w:rPr>
          <w:bCs/>
          <w:iCs/>
          <w:spacing w:val="-5"/>
          <w:lang w:eastAsia="en-US"/>
        </w:rPr>
        <w:t xml:space="preserve"> emitent peab </w:t>
      </w:r>
      <w:proofErr w:type="spellStart"/>
      <w:r w:rsidRPr="003331EF">
        <w:rPr>
          <w:bCs/>
          <w:iCs/>
          <w:spacing w:val="-5"/>
          <w:lang w:eastAsia="en-US"/>
        </w:rPr>
        <w:t>M</w:t>
      </w:r>
      <w:r w:rsidR="00BE697A">
        <w:rPr>
          <w:bCs/>
          <w:iCs/>
          <w:spacing w:val="-5"/>
          <w:lang w:eastAsia="en-US"/>
        </w:rPr>
        <w:t>i</w:t>
      </w:r>
      <w:r w:rsidRPr="003331EF">
        <w:rPr>
          <w:bCs/>
          <w:iCs/>
          <w:spacing w:val="-5"/>
          <w:lang w:eastAsia="en-US"/>
        </w:rPr>
        <w:t>CA</w:t>
      </w:r>
      <w:proofErr w:type="spellEnd"/>
      <w:r w:rsidRPr="003331EF">
        <w:rPr>
          <w:bCs/>
          <w:iCs/>
          <w:spacing w:val="-5"/>
          <w:lang w:eastAsia="en-US"/>
        </w:rPr>
        <w:t xml:space="preserve"> määruses sätestatud nõudeid rakendama hakkama alates 2024. aasta 30. juunist;</w:t>
      </w:r>
    </w:p>
    <w:p w14:paraId="5ED15262" w14:textId="58082F99" w:rsidR="00BF58F7" w:rsidRPr="003331EF" w:rsidRDefault="00BF58F7" w:rsidP="003331EF">
      <w:pPr>
        <w:numPr>
          <w:ilvl w:val="0"/>
          <w:numId w:val="12"/>
        </w:numPr>
        <w:spacing w:before="0"/>
        <w:ind w:left="284" w:hanging="284"/>
        <w:contextualSpacing/>
        <w:rPr>
          <w:bCs/>
          <w:iCs/>
          <w:spacing w:val="-5"/>
          <w:lang w:eastAsia="en-US"/>
        </w:rPr>
      </w:pPr>
      <w:proofErr w:type="spellStart"/>
      <w:r w:rsidRPr="003331EF">
        <w:rPr>
          <w:bCs/>
          <w:iCs/>
          <w:spacing w:val="-5"/>
          <w:lang w:eastAsia="en-US"/>
        </w:rPr>
        <w:t>krüptovarateenuse</w:t>
      </w:r>
      <w:proofErr w:type="spellEnd"/>
      <w:r w:rsidRPr="003331EF">
        <w:rPr>
          <w:bCs/>
          <w:iCs/>
          <w:spacing w:val="-5"/>
          <w:lang w:eastAsia="en-US"/>
        </w:rPr>
        <w:t xml:space="preserve"> osutaja peab </w:t>
      </w:r>
      <w:proofErr w:type="spellStart"/>
      <w:r w:rsidRPr="003331EF">
        <w:rPr>
          <w:bCs/>
          <w:iCs/>
          <w:spacing w:val="-5"/>
          <w:lang w:eastAsia="en-US"/>
        </w:rPr>
        <w:t>M</w:t>
      </w:r>
      <w:r w:rsidR="00BE697A">
        <w:rPr>
          <w:bCs/>
          <w:iCs/>
          <w:spacing w:val="-5"/>
          <w:lang w:eastAsia="en-US"/>
        </w:rPr>
        <w:t>i</w:t>
      </w:r>
      <w:r w:rsidRPr="003331EF">
        <w:rPr>
          <w:bCs/>
          <w:iCs/>
          <w:spacing w:val="-5"/>
          <w:lang w:eastAsia="en-US"/>
        </w:rPr>
        <w:t>CA</w:t>
      </w:r>
      <w:proofErr w:type="spellEnd"/>
      <w:r w:rsidRPr="003331EF">
        <w:rPr>
          <w:bCs/>
          <w:iCs/>
          <w:spacing w:val="-5"/>
          <w:lang w:eastAsia="en-US"/>
        </w:rPr>
        <w:t xml:space="preserve"> määruses ja TFR määruses sätestatud nõudeid rakendama hakkama alates 2024. aasta 30. detsembrist (ette on nähtud üleminekuperiood </w:t>
      </w:r>
      <w:proofErr w:type="spellStart"/>
      <w:r w:rsidRPr="003331EF">
        <w:rPr>
          <w:bCs/>
          <w:iCs/>
          <w:spacing w:val="-5"/>
          <w:lang w:eastAsia="en-US"/>
        </w:rPr>
        <w:t>M</w:t>
      </w:r>
      <w:r w:rsidR="00BE697A">
        <w:rPr>
          <w:bCs/>
          <w:iCs/>
          <w:spacing w:val="-5"/>
          <w:lang w:eastAsia="en-US"/>
        </w:rPr>
        <w:t>i</w:t>
      </w:r>
      <w:r w:rsidRPr="003331EF">
        <w:rPr>
          <w:bCs/>
          <w:iCs/>
          <w:spacing w:val="-5"/>
          <w:lang w:eastAsia="en-US"/>
        </w:rPr>
        <w:t>CA</w:t>
      </w:r>
      <w:proofErr w:type="spellEnd"/>
      <w:r w:rsidRPr="003331EF">
        <w:rPr>
          <w:bCs/>
          <w:iCs/>
          <w:spacing w:val="-5"/>
          <w:lang w:eastAsia="en-US"/>
        </w:rPr>
        <w:t xml:space="preserve"> rakendamiseks</w:t>
      </w:r>
      <w:r w:rsidR="004D3D0C" w:rsidRPr="003331EF">
        <w:rPr>
          <w:bCs/>
          <w:iCs/>
          <w:spacing w:val="-5"/>
          <w:lang w:eastAsia="en-US"/>
        </w:rPr>
        <w:t xml:space="preserve"> kuni 2025. aasta 1. juulini</w:t>
      </w:r>
      <w:r w:rsidRPr="003331EF">
        <w:rPr>
          <w:bCs/>
          <w:iCs/>
          <w:spacing w:val="-5"/>
          <w:lang w:eastAsia="en-US"/>
        </w:rPr>
        <w:t>);</w:t>
      </w:r>
    </w:p>
    <w:p w14:paraId="01BC97F6" w14:textId="77777777" w:rsidR="00F731B3" w:rsidRPr="003331EF" w:rsidRDefault="00BF58F7" w:rsidP="003331EF">
      <w:pPr>
        <w:numPr>
          <w:ilvl w:val="0"/>
          <w:numId w:val="12"/>
        </w:numPr>
        <w:spacing w:before="0"/>
        <w:ind w:left="284" w:hanging="284"/>
        <w:contextualSpacing/>
        <w:rPr>
          <w:bCs/>
          <w:iCs/>
          <w:spacing w:val="-5"/>
          <w:lang w:eastAsia="en-US"/>
        </w:rPr>
      </w:pPr>
      <w:r w:rsidRPr="003331EF">
        <w:rPr>
          <w:rFonts w:eastAsiaTheme="minorHAnsi"/>
          <w:bCs/>
          <w:spacing w:val="-5"/>
        </w:rPr>
        <w:t xml:space="preserve">varapõhise </w:t>
      </w:r>
      <w:proofErr w:type="spellStart"/>
      <w:r w:rsidRPr="003331EF">
        <w:rPr>
          <w:rFonts w:eastAsiaTheme="minorHAnsi"/>
          <w:bCs/>
          <w:spacing w:val="-5"/>
        </w:rPr>
        <w:t>tokeni</w:t>
      </w:r>
      <w:proofErr w:type="spellEnd"/>
      <w:r w:rsidRPr="003331EF">
        <w:rPr>
          <w:rFonts w:eastAsiaTheme="minorHAnsi"/>
          <w:bCs/>
          <w:spacing w:val="-5"/>
        </w:rPr>
        <w:t xml:space="preserve"> emitent ja </w:t>
      </w:r>
      <w:proofErr w:type="spellStart"/>
      <w:r w:rsidRPr="003331EF">
        <w:rPr>
          <w:rFonts w:eastAsiaTheme="minorHAnsi"/>
          <w:bCs/>
          <w:spacing w:val="-5"/>
        </w:rPr>
        <w:t>krüptovarateenuse</w:t>
      </w:r>
      <w:proofErr w:type="spellEnd"/>
      <w:r w:rsidRPr="003331EF">
        <w:rPr>
          <w:rFonts w:eastAsiaTheme="minorHAnsi"/>
          <w:bCs/>
          <w:spacing w:val="-5"/>
        </w:rPr>
        <w:t xml:space="preserve"> osutaja peab DORA määruses sätestatud nõudeid rakendama hakkama 2025. aasta 17. jaanuarist.</w:t>
      </w:r>
    </w:p>
    <w:p w14:paraId="4D35BB66" w14:textId="77777777" w:rsidR="00F731B3" w:rsidRPr="003331EF" w:rsidRDefault="00F731B3" w:rsidP="003331EF">
      <w:pPr>
        <w:spacing w:before="0"/>
        <w:contextualSpacing/>
        <w:rPr>
          <w:rFonts w:eastAsiaTheme="minorHAnsi"/>
          <w:bCs/>
          <w:spacing w:val="-5"/>
        </w:rPr>
      </w:pPr>
    </w:p>
    <w:p w14:paraId="40E32314" w14:textId="4EA354AE" w:rsidR="00805B32" w:rsidRPr="003331EF" w:rsidRDefault="00805B32" w:rsidP="003331EF">
      <w:pPr>
        <w:spacing w:before="0"/>
        <w:contextualSpacing/>
        <w:rPr>
          <w:rFonts w:eastAsiaTheme="minorHAnsi"/>
          <w:bCs/>
          <w:spacing w:val="-5"/>
        </w:rPr>
      </w:pPr>
      <w:r w:rsidRPr="003331EF">
        <w:rPr>
          <w:rFonts w:eastAsiaTheme="minorHAnsi"/>
          <w:bCs/>
          <w:spacing w:val="-5"/>
        </w:rPr>
        <w:t>Seadus (</w:t>
      </w:r>
      <w:proofErr w:type="spellStart"/>
      <w:r w:rsidRPr="003331EF">
        <w:rPr>
          <w:rFonts w:eastAsiaTheme="minorHAnsi"/>
          <w:bCs/>
          <w:spacing w:val="-5"/>
        </w:rPr>
        <w:t>KrÜTS</w:t>
      </w:r>
      <w:proofErr w:type="spellEnd"/>
      <w:r w:rsidRPr="003331EF">
        <w:rPr>
          <w:rFonts w:eastAsiaTheme="minorHAnsi"/>
          <w:bCs/>
          <w:spacing w:val="-5"/>
        </w:rPr>
        <w:t>) jõustub küll üldises korras, kuid seda hakatakse rakendama erinevates etappides, tagades seeläbi huvirühmadele piisava aja eeltöödeks ja normidega tutvumiseks.  IFS muudatused jõustuvad üldises</w:t>
      </w:r>
      <w:r w:rsidR="0031557F" w:rsidRPr="003331EF">
        <w:rPr>
          <w:rFonts w:eastAsiaTheme="minorHAnsi"/>
          <w:bCs/>
          <w:spacing w:val="-5"/>
        </w:rPr>
        <w:t xml:space="preserve"> </w:t>
      </w:r>
      <w:r w:rsidRPr="003331EF">
        <w:rPr>
          <w:rFonts w:eastAsiaTheme="minorHAnsi"/>
          <w:bCs/>
          <w:spacing w:val="-5"/>
        </w:rPr>
        <w:t xml:space="preserve">korras, kuna muudatused ei eelda üleminekuperioodi. Vaid kapitalinõude kehtestamisele on ette nähtud rakendamissätted, et anda fondilatsejatele aega uute nõuetega kooskõlla viimiseks. </w:t>
      </w:r>
      <w:proofErr w:type="spellStart"/>
      <w:r w:rsidRPr="003331EF">
        <w:rPr>
          <w:rFonts w:eastAsiaTheme="minorHAnsi"/>
          <w:bCs/>
          <w:spacing w:val="-5"/>
        </w:rPr>
        <w:t>VpTS</w:t>
      </w:r>
      <w:proofErr w:type="spellEnd"/>
      <w:r w:rsidRPr="003331EF">
        <w:rPr>
          <w:rFonts w:eastAsiaTheme="minorHAnsi"/>
          <w:bCs/>
          <w:spacing w:val="-5"/>
        </w:rPr>
        <w:t xml:space="preserve"> muudatused jõustuvad </w:t>
      </w:r>
      <w:r w:rsidR="0031557F" w:rsidRPr="003331EF">
        <w:rPr>
          <w:rFonts w:eastAsiaTheme="minorHAnsi"/>
          <w:bCs/>
          <w:spacing w:val="-5"/>
        </w:rPr>
        <w:t xml:space="preserve">samuti </w:t>
      </w:r>
      <w:r w:rsidRPr="003331EF">
        <w:rPr>
          <w:rFonts w:eastAsiaTheme="minorHAnsi"/>
          <w:bCs/>
          <w:spacing w:val="-5"/>
        </w:rPr>
        <w:t xml:space="preserve">üldises korras, kuna muudatused ei eelda üleminekuperioodi. </w:t>
      </w:r>
      <w:proofErr w:type="spellStart"/>
      <w:r w:rsidR="0031557F" w:rsidRPr="003331EF">
        <w:rPr>
          <w:rFonts w:eastAsiaTheme="minorHAnsi"/>
          <w:bCs/>
          <w:spacing w:val="-5"/>
        </w:rPr>
        <w:t>RahaPTS</w:t>
      </w:r>
      <w:proofErr w:type="spellEnd"/>
      <w:r w:rsidR="0031557F" w:rsidRPr="003331EF">
        <w:rPr>
          <w:rFonts w:eastAsiaTheme="minorHAnsi"/>
          <w:bCs/>
          <w:spacing w:val="-5"/>
        </w:rPr>
        <w:t xml:space="preserve"> ja </w:t>
      </w:r>
      <w:proofErr w:type="spellStart"/>
      <w:r w:rsidR="0031557F" w:rsidRPr="003331EF">
        <w:rPr>
          <w:rFonts w:eastAsiaTheme="minorHAnsi"/>
          <w:bCs/>
          <w:spacing w:val="-5"/>
        </w:rPr>
        <w:t>RSanS</w:t>
      </w:r>
      <w:proofErr w:type="spellEnd"/>
      <w:r w:rsidR="0031557F" w:rsidRPr="003331EF">
        <w:rPr>
          <w:rFonts w:eastAsiaTheme="minorHAnsi"/>
          <w:bCs/>
          <w:spacing w:val="-5"/>
        </w:rPr>
        <w:t xml:space="preserve"> muudatuste jõustumine on seotud TFR määruse ülevõtmise ja rakendamisega. </w:t>
      </w:r>
      <w:r w:rsidR="0031557F" w:rsidRPr="003331EF">
        <w:rPr>
          <w:bCs/>
          <w:iCs/>
          <w:spacing w:val="-5"/>
          <w:lang w:eastAsia="en-US"/>
        </w:rPr>
        <w:t xml:space="preserve">2024. aasta 30. detsembrist lisanduvad </w:t>
      </w:r>
      <w:proofErr w:type="spellStart"/>
      <w:r w:rsidR="0031557F" w:rsidRPr="003331EF">
        <w:rPr>
          <w:bCs/>
          <w:iCs/>
          <w:spacing w:val="-5"/>
          <w:lang w:eastAsia="en-US"/>
        </w:rPr>
        <w:t>RahaPTS</w:t>
      </w:r>
      <w:proofErr w:type="spellEnd"/>
      <w:r w:rsidR="0031557F" w:rsidRPr="003331EF">
        <w:rPr>
          <w:bCs/>
          <w:iCs/>
          <w:spacing w:val="-5"/>
          <w:lang w:eastAsia="en-US"/>
        </w:rPr>
        <w:t xml:space="preserve"> reguleerimisalasse </w:t>
      </w:r>
      <w:proofErr w:type="spellStart"/>
      <w:r w:rsidR="0031557F" w:rsidRPr="003331EF">
        <w:rPr>
          <w:bCs/>
          <w:iCs/>
          <w:spacing w:val="-5"/>
          <w:lang w:eastAsia="en-US"/>
        </w:rPr>
        <w:t>MiCA</w:t>
      </w:r>
      <w:proofErr w:type="spellEnd"/>
      <w:r w:rsidR="0031557F" w:rsidRPr="003331EF">
        <w:rPr>
          <w:bCs/>
          <w:iCs/>
          <w:spacing w:val="-5"/>
          <w:lang w:eastAsia="en-US"/>
        </w:rPr>
        <w:t xml:space="preserve"> määruse alusel tegutsevad </w:t>
      </w:r>
      <w:proofErr w:type="spellStart"/>
      <w:r w:rsidR="0031557F" w:rsidRPr="003331EF">
        <w:rPr>
          <w:bCs/>
          <w:iCs/>
          <w:spacing w:val="-5"/>
          <w:lang w:eastAsia="en-US"/>
        </w:rPr>
        <w:t>krüptovarateenuse</w:t>
      </w:r>
      <w:proofErr w:type="spellEnd"/>
      <w:r w:rsidR="0031557F" w:rsidRPr="003331EF">
        <w:rPr>
          <w:bCs/>
          <w:iCs/>
          <w:spacing w:val="-5"/>
          <w:lang w:eastAsia="en-US"/>
        </w:rPr>
        <w:t xml:space="preserve"> osutajad ning kuni 2026. aasta 1. jaanuarini jäävad </w:t>
      </w:r>
      <w:proofErr w:type="spellStart"/>
      <w:r w:rsidR="0031557F" w:rsidRPr="003331EF">
        <w:rPr>
          <w:bCs/>
          <w:iCs/>
          <w:spacing w:val="-5"/>
          <w:lang w:eastAsia="en-US"/>
        </w:rPr>
        <w:t>RahaPTS</w:t>
      </w:r>
      <w:proofErr w:type="spellEnd"/>
      <w:r w:rsidR="0031557F" w:rsidRPr="003331EF">
        <w:rPr>
          <w:bCs/>
          <w:iCs/>
          <w:spacing w:val="-5"/>
          <w:lang w:eastAsia="en-US"/>
        </w:rPr>
        <w:t xml:space="preserve"> </w:t>
      </w:r>
      <w:proofErr w:type="spellStart"/>
      <w:r w:rsidR="0031557F" w:rsidRPr="003331EF">
        <w:rPr>
          <w:bCs/>
          <w:iCs/>
          <w:spacing w:val="-5"/>
          <w:lang w:eastAsia="en-US"/>
        </w:rPr>
        <w:t>regulaarimisalasse</w:t>
      </w:r>
      <w:proofErr w:type="spellEnd"/>
      <w:r w:rsidR="0031557F" w:rsidRPr="003331EF">
        <w:rPr>
          <w:bCs/>
          <w:iCs/>
          <w:spacing w:val="-5"/>
          <w:lang w:eastAsia="en-US"/>
        </w:rPr>
        <w:t xml:space="preserve"> ka </w:t>
      </w:r>
      <w:proofErr w:type="spellStart"/>
      <w:r w:rsidR="0031557F" w:rsidRPr="003331EF">
        <w:rPr>
          <w:bCs/>
          <w:iCs/>
          <w:spacing w:val="-5"/>
          <w:lang w:eastAsia="en-US"/>
        </w:rPr>
        <w:t>VASPid</w:t>
      </w:r>
      <w:proofErr w:type="spellEnd"/>
      <w:r w:rsidR="00D4438C" w:rsidRPr="003331EF">
        <w:rPr>
          <w:bCs/>
          <w:iCs/>
          <w:spacing w:val="-5"/>
          <w:lang w:eastAsia="en-US"/>
        </w:rPr>
        <w:t xml:space="preserve"> (ehk paralleelselt nii </w:t>
      </w:r>
      <w:proofErr w:type="spellStart"/>
      <w:r w:rsidR="00D4438C" w:rsidRPr="003331EF">
        <w:rPr>
          <w:bCs/>
          <w:iCs/>
          <w:spacing w:val="-5"/>
          <w:lang w:eastAsia="en-US"/>
        </w:rPr>
        <w:t>krüptovarateenuse</w:t>
      </w:r>
      <w:proofErr w:type="spellEnd"/>
      <w:r w:rsidR="00D4438C" w:rsidRPr="003331EF">
        <w:rPr>
          <w:bCs/>
          <w:iCs/>
          <w:spacing w:val="-5"/>
          <w:lang w:eastAsia="en-US"/>
        </w:rPr>
        <w:t xml:space="preserve"> osutajad kui ka </w:t>
      </w:r>
      <w:proofErr w:type="spellStart"/>
      <w:r w:rsidR="00D4438C" w:rsidRPr="003331EF">
        <w:rPr>
          <w:bCs/>
          <w:iCs/>
          <w:spacing w:val="-5"/>
          <w:lang w:eastAsia="en-US"/>
        </w:rPr>
        <w:t>VASPid</w:t>
      </w:r>
      <w:proofErr w:type="spellEnd"/>
      <w:r w:rsidR="00D4438C" w:rsidRPr="003331EF">
        <w:rPr>
          <w:bCs/>
          <w:iCs/>
          <w:spacing w:val="-5"/>
          <w:lang w:eastAsia="en-US"/>
        </w:rPr>
        <w:t>)</w:t>
      </w:r>
      <w:r w:rsidR="0031557F" w:rsidRPr="003331EF">
        <w:rPr>
          <w:bCs/>
          <w:iCs/>
          <w:spacing w:val="-5"/>
          <w:lang w:eastAsia="en-US"/>
        </w:rPr>
        <w:t xml:space="preserve">. 2026. aasta 1. jaanuaril jõustuvad muudatused, mille kohaselt </w:t>
      </w:r>
      <w:proofErr w:type="spellStart"/>
      <w:r w:rsidR="0031557F" w:rsidRPr="003331EF">
        <w:rPr>
          <w:bCs/>
          <w:iCs/>
          <w:spacing w:val="-5"/>
          <w:lang w:eastAsia="en-US"/>
        </w:rPr>
        <w:t>VASPid</w:t>
      </w:r>
      <w:proofErr w:type="spellEnd"/>
      <w:r w:rsidR="0031557F" w:rsidRPr="003331EF">
        <w:rPr>
          <w:bCs/>
          <w:iCs/>
          <w:spacing w:val="-5"/>
          <w:lang w:eastAsia="en-US"/>
        </w:rPr>
        <w:t xml:space="preserve"> enam </w:t>
      </w:r>
      <w:proofErr w:type="spellStart"/>
      <w:r w:rsidR="0031557F" w:rsidRPr="003331EF">
        <w:rPr>
          <w:bCs/>
          <w:iCs/>
          <w:spacing w:val="-5"/>
          <w:lang w:eastAsia="en-US"/>
        </w:rPr>
        <w:t>RahaPTS</w:t>
      </w:r>
      <w:proofErr w:type="spellEnd"/>
      <w:r w:rsidR="0031557F" w:rsidRPr="003331EF">
        <w:rPr>
          <w:bCs/>
          <w:iCs/>
          <w:spacing w:val="-5"/>
          <w:lang w:eastAsia="en-US"/>
        </w:rPr>
        <w:t xml:space="preserve"> reguleerimisalasse ei kuulu. </w:t>
      </w:r>
    </w:p>
    <w:p w14:paraId="503AD9B0" w14:textId="77777777" w:rsidR="00805B32" w:rsidRPr="003331EF" w:rsidRDefault="00805B32" w:rsidP="003331EF">
      <w:pPr>
        <w:spacing w:before="0"/>
        <w:contextualSpacing/>
        <w:rPr>
          <w:rFonts w:eastAsiaTheme="minorHAnsi"/>
          <w:bCs/>
          <w:spacing w:val="-5"/>
        </w:rPr>
      </w:pPr>
    </w:p>
    <w:p w14:paraId="5C013CDB" w14:textId="37DF798B" w:rsidR="005B2696" w:rsidRPr="003331EF" w:rsidRDefault="00B9578A" w:rsidP="003331EF">
      <w:pPr>
        <w:pStyle w:val="Pealkiri1"/>
        <w:numPr>
          <w:ilvl w:val="0"/>
          <w:numId w:val="20"/>
        </w:numPr>
        <w:rPr>
          <w:caps/>
          <w:color w:val="auto"/>
          <w:sz w:val="24"/>
          <w:lang w:val="et-EE"/>
        </w:rPr>
      </w:pPr>
      <w:r w:rsidRPr="003331EF">
        <w:rPr>
          <w:caps/>
          <w:color w:val="auto"/>
          <w:sz w:val="24"/>
          <w:lang w:val="et-EE"/>
        </w:rPr>
        <w:t>Eelnõu kooskõlastamine, huvirühmade kaasamine</w:t>
      </w:r>
      <w:bookmarkEnd w:id="128"/>
      <w:r w:rsidRPr="003331EF">
        <w:rPr>
          <w:caps/>
          <w:color w:val="auto"/>
          <w:sz w:val="24"/>
          <w:lang w:val="et-EE"/>
        </w:rPr>
        <w:t xml:space="preserve"> ja avalik konsultatsioon</w:t>
      </w:r>
    </w:p>
    <w:p w14:paraId="19A02484" w14:textId="77777777" w:rsidR="008C3E70" w:rsidRPr="003331EF" w:rsidRDefault="008C3E70" w:rsidP="003331EF">
      <w:pPr>
        <w:spacing w:before="0"/>
        <w:jc w:val="left"/>
        <w:rPr>
          <w:lang w:eastAsia="en-US"/>
        </w:rPr>
      </w:pPr>
    </w:p>
    <w:p w14:paraId="5B217804" w14:textId="472E8483" w:rsidR="00630488" w:rsidRPr="003331EF" w:rsidRDefault="00630488" w:rsidP="003331EF">
      <w:pPr>
        <w:pStyle w:val="Pealkiri2"/>
        <w:shd w:val="clear" w:color="auto" w:fill="FFFFFF"/>
        <w:spacing w:before="0"/>
        <w:jc w:val="both"/>
        <w:rPr>
          <w:bCs w:val="0"/>
          <w:iCs/>
          <w:color w:val="auto"/>
          <w:spacing w:val="-5"/>
        </w:rPr>
      </w:pPr>
      <w:r w:rsidRPr="003331EF">
        <w:rPr>
          <w:rFonts w:eastAsia="Times New Roman"/>
          <w:b w:val="0"/>
          <w:iCs/>
          <w:color w:val="auto"/>
          <w:spacing w:val="-5"/>
          <w:sz w:val="24"/>
          <w:szCs w:val="24"/>
        </w:rPr>
        <w:t xml:space="preserve">Eelnõu </w:t>
      </w:r>
      <w:proofErr w:type="spellStart"/>
      <w:r w:rsidR="000E501F" w:rsidRPr="003331EF">
        <w:rPr>
          <w:rFonts w:eastAsia="Times New Roman"/>
          <w:b w:val="0"/>
          <w:iCs/>
          <w:color w:val="auto"/>
          <w:spacing w:val="-5"/>
          <w:sz w:val="24"/>
          <w:szCs w:val="24"/>
        </w:rPr>
        <w:t>esitata</w:t>
      </w:r>
      <w:r w:rsidR="00D341B7" w:rsidRPr="003331EF">
        <w:rPr>
          <w:rFonts w:eastAsia="Times New Roman"/>
          <w:b w:val="0"/>
          <w:iCs/>
          <w:color w:val="auto"/>
          <w:spacing w:val="-5"/>
          <w:sz w:val="24"/>
          <w:szCs w:val="24"/>
        </w:rPr>
        <w:t>ti</w:t>
      </w:r>
      <w:proofErr w:type="spellEnd"/>
      <w:r w:rsidR="007965D6" w:rsidRPr="003331EF">
        <w:rPr>
          <w:rFonts w:eastAsia="Times New Roman"/>
          <w:b w:val="0"/>
          <w:iCs/>
          <w:color w:val="auto"/>
          <w:spacing w:val="-5"/>
          <w:sz w:val="24"/>
          <w:szCs w:val="24"/>
        </w:rPr>
        <w:t xml:space="preserve"> </w:t>
      </w:r>
      <w:r w:rsidRPr="003331EF">
        <w:rPr>
          <w:rFonts w:eastAsia="Times New Roman"/>
          <w:b w:val="0"/>
          <w:iCs/>
          <w:color w:val="auto"/>
          <w:spacing w:val="-5"/>
          <w:sz w:val="24"/>
          <w:szCs w:val="24"/>
        </w:rPr>
        <w:t xml:space="preserve">kooskõlastamiseks </w:t>
      </w:r>
      <w:r w:rsidR="00EA1F5A" w:rsidRPr="003331EF">
        <w:rPr>
          <w:rFonts w:eastAsia="Times New Roman"/>
          <w:b w:val="0"/>
          <w:iCs/>
          <w:color w:val="auto"/>
          <w:spacing w:val="-5"/>
          <w:sz w:val="24"/>
          <w:szCs w:val="24"/>
        </w:rPr>
        <w:t>Justiitsministeeriumile</w:t>
      </w:r>
      <w:r w:rsidR="008C63BC" w:rsidRPr="003331EF">
        <w:rPr>
          <w:rFonts w:eastAsia="Times New Roman"/>
          <w:b w:val="0"/>
          <w:iCs/>
          <w:color w:val="auto"/>
          <w:spacing w:val="-5"/>
          <w:sz w:val="24"/>
          <w:szCs w:val="24"/>
        </w:rPr>
        <w:t xml:space="preserve"> ja</w:t>
      </w:r>
      <w:r w:rsidR="005A3DDB" w:rsidRPr="003331EF">
        <w:rPr>
          <w:rFonts w:eastAsia="Times New Roman"/>
          <w:b w:val="0"/>
          <w:iCs/>
          <w:color w:val="auto"/>
          <w:spacing w:val="-5"/>
          <w:sz w:val="24"/>
          <w:szCs w:val="24"/>
        </w:rPr>
        <w:t xml:space="preserve"> Majandus- ja kommunikatsiooniministeeriumile, Siseministeeriumile</w:t>
      </w:r>
      <w:r w:rsidR="008C63BC" w:rsidRPr="003331EF">
        <w:rPr>
          <w:rFonts w:eastAsia="Times New Roman"/>
          <w:b w:val="0"/>
          <w:iCs/>
          <w:color w:val="auto"/>
          <w:spacing w:val="-5"/>
          <w:sz w:val="24"/>
          <w:szCs w:val="24"/>
        </w:rPr>
        <w:t xml:space="preserve"> </w:t>
      </w:r>
      <w:r w:rsidR="005E50A0" w:rsidRPr="003331EF">
        <w:rPr>
          <w:rFonts w:eastAsia="Times New Roman"/>
          <w:b w:val="0"/>
          <w:iCs/>
          <w:color w:val="auto"/>
          <w:spacing w:val="-5"/>
          <w:sz w:val="24"/>
          <w:szCs w:val="24"/>
        </w:rPr>
        <w:t>ja arvamuse avaldamiseks</w:t>
      </w:r>
      <w:r w:rsidRPr="003331EF">
        <w:rPr>
          <w:rFonts w:eastAsia="Times New Roman"/>
          <w:b w:val="0"/>
          <w:iCs/>
          <w:color w:val="auto"/>
          <w:spacing w:val="-5"/>
          <w:sz w:val="24"/>
          <w:szCs w:val="24"/>
        </w:rPr>
        <w:t xml:space="preserve"> Finantsinspek</w:t>
      </w:r>
      <w:r w:rsidR="00B82ABA" w:rsidRPr="003331EF">
        <w:rPr>
          <w:rFonts w:eastAsia="Times New Roman"/>
          <w:b w:val="0"/>
          <w:iCs/>
          <w:color w:val="auto"/>
          <w:spacing w:val="-5"/>
          <w:sz w:val="24"/>
          <w:szCs w:val="24"/>
        </w:rPr>
        <w:t>t</w:t>
      </w:r>
      <w:r w:rsidRPr="003331EF">
        <w:rPr>
          <w:rFonts w:eastAsia="Times New Roman"/>
          <w:b w:val="0"/>
          <w:iCs/>
          <w:color w:val="auto"/>
          <w:spacing w:val="-5"/>
          <w:sz w:val="24"/>
          <w:szCs w:val="24"/>
        </w:rPr>
        <w:t xml:space="preserve">sioonile, Eesti Pangale, </w:t>
      </w:r>
      <w:r w:rsidR="00EC6EE1" w:rsidRPr="003331EF">
        <w:rPr>
          <w:rFonts w:eastAsia="Times New Roman"/>
          <w:b w:val="0"/>
          <w:iCs/>
          <w:color w:val="auto"/>
          <w:spacing w:val="-5"/>
          <w:sz w:val="24"/>
          <w:szCs w:val="24"/>
        </w:rPr>
        <w:t>Rahapesu Andmebüroole,</w:t>
      </w:r>
      <w:r w:rsidR="00527EFB" w:rsidRPr="003331EF">
        <w:rPr>
          <w:rFonts w:eastAsia="Times New Roman"/>
          <w:b w:val="0"/>
          <w:iCs/>
          <w:color w:val="auto"/>
          <w:spacing w:val="-5"/>
          <w:sz w:val="24"/>
          <w:szCs w:val="24"/>
        </w:rPr>
        <w:t xml:space="preserve"> </w:t>
      </w:r>
      <w:r w:rsidR="00EC6EE1" w:rsidRPr="003331EF">
        <w:rPr>
          <w:rFonts w:eastAsia="Times New Roman"/>
          <w:b w:val="0"/>
          <w:iCs/>
          <w:color w:val="auto"/>
          <w:spacing w:val="-5"/>
          <w:sz w:val="24"/>
          <w:szCs w:val="24"/>
        </w:rPr>
        <w:t>Kaitsepolitsei</w:t>
      </w:r>
      <w:r w:rsidR="00EC7E39" w:rsidRPr="003331EF">
        <w:rPr>
          <w:rFonts w:eastAsia="Times New Roman"/>
          <w:b w:val="0"/>
          <w:iCs/>
          <w:color w:val="auto"/>
          <w:spacing w:val="-5"/>
          <w:sz w:val="24"/>
          <w:szCs w:val="24"/>
        </w:rPr>
        <w:t>a</w:t>
      </w:r>
      <w:r w:rsidR="00EC6EE1" w:rsidRPr="003331EF">
        <w:rPr>
          <w:rFonts w:eastAsia="Times New Roman"/>
          <w:b w:val="0"/>
          <w:iCs/>
          <w:color w:val="auto"/>
          <w:spacing w:val="-5"/>
          <w:sz w:val="24"/>
          <w:szCs w:val="24"/>
        </w:rPr>
        <w:t xml:space="preserve">metile, </w:t>
      </w:r>
      <w:r w:rsidR="00B82ABA" w:rsidRPr="003331EF">
        <w:rPr>
          <w:rFonts w:eastAsia="Times New Roman"/>
          <w:b w:val="0"/>
          <w:iCs/>
          <w:color w:val="auto"/>
          <w:spacing w:val="-5"/>
          <w:sz w:val="24"/>
          <w:szCs w:val="24"/>
        </w:rPr>
        <w:t xml:space="preserve">MTÜ </w:t>
      </w:r>
      <w:proofErr w:type="spellStart"/>
      <w:r w:rsidRPr="003331EF">
        <w:rPr>
          <w:rFonts w:eastAsia="Times New Roman"/>
          <w:b w:val="0"/>
          <w:iCs/>
          <w:color w:val="auto"/>
          <w:spacing w:val="-5"/>
          <w:sz w:val="24"/>
          <w:szCs w:val="24"/>
        </w:rPr>
        <w:t>FinanceEstonia</w:t>
      </w:r>
      <w:r w:rsidR="00B82ABA" w:rsidRPr="003331EF">
        <w:rPr>
          <w:rFonts w:eastAsia="Times New Roman"/>
          <w:b w:val="0"/>
          <w:iCs/>
          <w:color w:val="auto"/>
          <w:spacing w:val="-5"/>
          <w:sz w:val="24"/>
          <w:szCs w:val="24"/>
        </w:rPr>
        <w:t>’</w:t>
      </w:r>
      <w:r w:rsidRPr="003331EF">
        <w:rPr>
          <w:rFonts w:eastAsia="Times New Roman"/>
          <w:b w:val="0"/>
          <w:iCs/>
          <w:color w:val="auto"/>
          <w:spacing w:val="-5"/>
          <w:sz w:val="24"/>
          <w:szCs w:val="24"/>
        </w:rPr>
        <w:t>le</w:t>
      </w:r>
      <w:proofErr w:type="spellEnd"/>
      <w:r w:rsidRPr="003331EF">
        <w:rPr>
          <w:rFonts w:eastAsia="Times New Roman"/>
          <w:b w:val="0"/>
          <w:iCs/>
          <w:color w:val="auto"/>
          <w:spacing w:val="-5"/>
          <w:sz w:val="24"/>
          <w:szCs w:val="24"/>
        </w:rPr>
        <w:t xml:space="preserve">, </w:t>
      </w:r>
      <w:r w:rsidR="002C75A9" w:rsidRPr="003331EF">
        <w:rPr>
          <w:rFonts w:eastAsia="Times New Roman"/>
          <w:b w:val="0"/>
          <w:iCs/>
          <w:color w:val="auto"/>
          <w:spacing w:val="-5"/>
          <w:sz w:val="24"/>
          <w:szCs w:val="24"/>
        </w:rPr>
        <w:t xml:space="preserve">Eesti </w:t>
      </w:r>
      <w:r w:rsidRPr="003331EF">
        <w:rPr>
          <w:rFonts w:eastAsia="Times New Roman"/>
          <w:b w:val="0"/>
          <w:iCs/>
          <w:color w:val="auto"/>
          <w:spacing w:val="-5"/>
          <w:sz w:val="24"/>
          <w:szCs w:val="24"/>
        </w:rPr>
        <w:t xml:space="preserve">Pangaliidule, </w:t>
      </w:r>
      <w:r w:rsidR="00527E6F" w:rsidRPr="003331EF">
        <w:rPr>
          <w:rFonts w:eastAsia="Times New Roman"/>
          <w:b w:val="0"/>
          <w:iCs/>
          <w:color w:val="auto"/>
          <w:spacing w:val="-5"/>
          <w:sz w:val="24"/>
          <w:szCs w:val="24"/>
        </w:rPr>
        <w:t xml:space="preserve">Eesti Kindlustusseltside Liidule, Tarbija ja Tehnilise Järelevalve Ametile, </w:t>
      </w:r>
      <w:r w:rsidRPr="003331EF">
        <w:rPr>
          <w:rFonts w:eastAsia="Times New Roman"/>
          <w:b w:val="0"/>
          <w:iCs/>
          <w:color w:val="auto"/>
          <w:spacing w:val="-5"/>
          <w:sz w:val="24"/>
          <w:szCs w:val="24"/>
        </w:rPr>
        <w:t xml:space="preserve">Politsei- ja Piirivalveametile, </w:t>
      </w:r>
      <w:proofErr w:type="spellStart"/>
      <w:r w:rsidRPr="003331EF">
        <w:rPr>
          <w:rFonts w:eastAsia="Times New Roman"/>
          <w:b w:val="0"/>
          <w:iCs/>
          <w:color w:val="auto"/>
          <w:spacing w:val="-5"/>
          <w:sz w:val="24"/>
          <w:szCs w:val="24"/>
        </w:rPr>
        <w:t>Nasdaq</w:t>
      </w:r>
      <w:proofErr w:type="spellEnd"/>
      <w:r w:rsidRPr="003331EF">
        <w:rPr>
          <w:rFonts w:eastAsia="Times New Roman"/>
          <w:b w:val="0"/>
          <w:iCs/>
          <w:color w:val="auto"/>
          <w:spacing w:val="-5"/>
          <w:sz w:val="24"/>
          <w:szCs w:val="24"/>
        </w:rPr>
        <w:t xml:space="preserve"> Tallinna Börsile, </w:t>
      </w:r>
      <w:proofErr w:type="spellStart"/>
      <w:r w:rsidR="005A3DDB" w:rsidRPr="003331EF">
        <w:rPr>
          <w:rFonts w:eastAsia="Times New Roman"/>
          <w:b w:val="0"/>
          <w:iCs/>
          <w:color w:val="auto"/>
          <w:spacing w:val="-5"/>
          <w:sz w:val="24"/>
          <w:szCs w:val="24"/>
        </w:rPr>
        <w:t>Nasdaq</w:t>
      </w:r>
      <w:proofErr w:type="spellEnd"/>
      <w:r w:rsidR="005A3DDB" w:rsidRPr="003331EF">
        <w:rPr>
          <w:rFonts w:eastAsia="Times New Roman"/>
          <w:b w:val="0"/>
          <w:iCs/>
          <w:color w:val="auto"/>
          <w:spacing w:val="-5"/>
          <w:sz w:val="24"/>
          <w:szCs w:val="24"/>
        </w:rPr>
        <w:t xml:space="preserve"> Tallinn Aktsiaseltsile, </w:t>
      </w:r>
      <w:hyperlink r:id="rId19" w:history="1">
        <w:proofErr w:type="spellStart"/>
        <w:r w:rsidR="005A3DDB" w:rsidRPr="003331EF">
          <w:rPr>
            <w:rFonts w:eastAsia="Times New Roman"/>
            <w:b w:val="0"/>
            <w:iCs/>
            <w:color w:val="auto"/>
            <w:spacing w:val="-5"/>
            <w:sz w:val="24"/>
            <w:szCs w:val="24"/>
          </w:rPr>
          <w:t>Nasdaq</w:t>
        </w:r>
        <w:proofErr w:type="spellEnd"/>
        <w:r w:rsidR="005A3DDB" w:rsidRPr="003331EF">
          <w:rPr>
            <w:rFonts w:eastAsia="Times New Roman"/>
            <w:b w:val="0"/>
            <w:iCs/>
            <w:color w:val="auto"/>
            <w:spacing w:val="-5"/>
            <w:sz w:val="24"/>
            <w:szCs w:val="24"/>
          </w:rPr>
          <w:t xml:space="preserve"> CSD SE Eesti filiaal</w:t>
        </w:r>
      </w:hyperlink>
      <w:r w:rsidR="005A3DDB" w:rsidRPr="003331EF">
        <w:rPr>
          <w:rFonts w:eastAsia="Times New Roman"/>
          <w:b w:val="0"/>
          <w:iCs/>
          <w:color w:val="auto"/>
          <w:spacing w:val="-5"/>
          <w:sz w:val="24"/>
          <w:szCs w:val="24"/>
        </w:rPr>
        <w:t xml:space="preserve">ile, Eesti Era- ja Riskikapitali Assotsiatsioonile, </w:t>
      </w:r>
      <w:r w:rsidRPr="003331EF">
        <w:rPr>
          <w:rFonts w:eastAsia="Times New Roman"/>
          <w:b w:val="0"/>
          <w:iCs/>
          <w:color w:val="auto"/>
          <w:spacing w:val="-5"/>
          <w:sz w:val="24"/>
          <w:szCs w:val="24"/>
        </w:rPr>
        <w:t>Eesti Advokatuurile</w:t>
      </w:r>
      <w:r w:rsidR="00EC6EE1" w:rsidRPr="003331EF">
        <w:rPr>
          <w:rFonts w:eastAsia="Times New Roman"/>
          <w:b w:val="0"/>
          <w:iCs/>
          <w:color w:val="auto"/>
          <w:spacing w:val="-5"/>
          <w:sz w:val="24"/>
          <w:szCs w:val="24"/>
        </w:rPr>
        <w:t xml:space="preserve">, </w:t>
      </w:r>
      <w:r w:rsidRPr="003331EF">
        <w:rPr>
          <w:rFonts w:eastAsia="Times New Roman"/>
          <w:b w:val="0"/>
          <w:iCs/>
          <w:color w:val="auto"/>
          <w:spacing w:val="-5"/>
          <w:sz w:val="24"/>
          <w:szCs w:val="24"/>
        </w:rPr>
        <w:t xml:space="preserve">Eesti </w:t>
      </w:r>
      <w:r w:rsidR="008C63BC" w:rsidRPr="003331EF">
        <w:rPr>
          <w:rFonts w:eastAsia="Times New Roman"/>
          <w:b w:val="0"/>
          <w:iCs/>
          <w:color w:val="auto"/>
          <w:spacing w:val="-5"/>
          <w:sz w:val="24"/>
          <w:szCs w:val="24"/>
        </w:rPr>
        <w:t>Web3</w:t>
      </w:r>
      <w:r w:rsidRPr="003331EF">
        <w:rPr>
          <w:rFonts w:eastAsia="Times New Roman"/>
          <w:b w:val="0"/>
          <w:iCs/>
          <w:color w:val="auto"/>
          <w:spacing w:val="-5"/>
          <w:sz w:val="24"/>
          <w:szCs w:val="24"/>
        </w:rPr>
        <w:t xml:space="preserve"> </w:t>
      </w:r>
      <w:r w:rsidR="008C63BC" w:rsidRPr="003331EF">
        <w:rPr>
          <w:rFonts w:eastAsia="Times New Roman"/>
          <w:b w:val="0"/>
          <w:iCs/>
          <w:color w:val="auto"/>
          <w:spacing w:val="-5"/>
          <w:sz w:val="24"/>
          <w:szCs w:val="24"/>
        </w:rPr>
        <w:t>Kojale</w:t>
      </w:r>
      <w:r w:rsidR="00EC6EE1" w:rsidRPr="003331EF">
        <w:rPr>
          <w:rFonts w:eastAsia="Times New Roman"/>
          <w:b w:val="0"/>
          <w:iCs/>
          <w:color w:val="auto"/>
          <w:spacing w:val="-5"/>
          <w:sz w:val="24"/>
          <w:szCs w:val="24"/>
        </w:rPr>
        <w:t xml:space="preserve">, </w:t>
      </w:r>
      <w:r w:rsidR="00323322" w:rsidRPr="003331EF">
        <w:rPr>
          <w:rFonts w:eastAsia="Times New Roman"/>
          <w:b w:val="0"/>
          <w:iCs/>
          <w:color w:val="auto"/>
          <w:spacing w:val="-5"/>
          <w:sz w:val="24"/>
          <w:szCs w:val="24"/>
        </w:rPr>
        <w:t xml:space="preserve">Eesti </w:t>
      </w:r>
      <w:r w:rsidR="00EC6EE1" w:rsidRPr="003331EF">
        <w:rPr>
          <w:rFonts w:eastAsia="Times New Roman"/>
          <w:b w:val="0"/>
          <w:iCs/>
          <w:color w:val="auto"/>
          <w:spacing w:val="-5"/>
          <w:sz w:val="24"/>
          <w:szCs w:val="24"/>
        </w:rPr>
        <w:t>Kaubandus-Tööstuskojale, Notarite Kojale</w:t>
      </w:r>
      <w:r w:rsidR="00A355EA" w:rsidRPr="003331EF">
        <w:rPr>
          <w:rFonts w:eastAsia="Times New Roman"/>
          <w:b w:val="0"/>
          <w:iCs/>
          <w:color w:val="auto"/>
          <w:spacing w:val="-5"/>
          <w:sz w:val="24"/>
          <w:szCs w:val="24"/>
        </w:rPr>
        <w:t>,</w:t>
      </w:r>
      <w:r w:rsidR="00797E91" w:rsidRPr="003331EF">
        <w:rPr>
          <w:rFonts w:eastAsia="Times New Roman"/>
          <w:b w:val="0"/>
          <w:iCs/>
          <w:color w:val="auto"/>
          <w:spacing w:val="-5"/>
          <w:sz w:val="24"/>
          <w:szCs w:val="24"/>
        </w:rPr>
        <w:t xml:space="preserve"> Eesti Väike- ja Keskmiste Ettevõtjate Assotsiatsioonile</w:t>
      </w:r>
      <w:r w:rsidR="00A355EA" w:rsidRPr="003331EF">
        <w:rPr>
          <w:rFonts w:eastAsia="Times New Roman"/>
          <w:b w:val="0"/>
          <w:iCs/>
          <w:color w:val="auto"/>
          <w:spacing w:val="-5"/>
          <w:sz w:val="24"/>
          <w:szCs w:val="24"/>
        </w:rPr>
        <w:t>,</w:t>
      </w:r>
      <w:r w:rsidR="005A3DDB" w:rsidRPr="003331EF">
        <w:rPr>
          <w:rFonts w:eastAsia="Times New Roman"/>
          <w:b w:val="0"/>
          <w:iCs/>
          <w:color w:val="auto"/>
          <w:spacing w:val="-5"/>
          <w:sz w:val="24"/>
          <w:szCs w:val="24"/>
        </w:rPr>
        <w:t xml:space="preserve"> Eesti Digivara Liidule</w:t>
      </w:r>
      <w:r w:rsidR="00A355EA" w:rsidRPr="003331EF">
        <w:rPr>
          <w:rFonts w:eastAsia="Times New Roman"/>
          <w:b w:val="0"/>
          <w:iCs/>
          <w:color w:val="auto"/>
          <w:spacing w:val="-5"/>
          <w:sz w:val="24"/>
          <w:szCs w:val="24"/>
        </w:rPr>
        <w:t xml:space="preserve"> ning </w:t>
      </w:r>
      <w:r w:rsidR="00BB3788" w:rsidRPr="003331EF">
        <w:rPr>
          <w:rFonts w:eastAsia="Times New Roman"/>
          <w:b w:val="0"/>
          <w:iCs/>
          <w:color w:val="auto"/>
          <w:spacing w:val="-5"/>
          <w:sz w:val="24"/>
          <w:szCs w:val="24"/>
        </w:rPr>
        <w:t>makseasutustele, e-raha asutustele</w:t>
      </w:r>
      <w:r w:rsidR="0033540A" w:rsidRPr="003331EF">
        <w:rPr>
          <w:rFonts w:eastAsia="Times New Roman"/>
          <w:b w:val="0"/>
          <w:iCs/>
          <w:color w:val="auto"/>
          <w:spacing w:val="-5"/>
          <w:sz w:val="24"/>
          <w:szCs w:val="24"/>
        </w:rPr>
        <w:t>, fondivalitsejatele ja</w:t>
      </w:r>
      <w:r w:rsidR="00BB3788" w:rsidRPr="003331EF">
        <w:rPr>
          <w:rFonts w:eastAsia="Times New Roman"/>
          <w:b w:val="0"/>
          <w:iCs/>
          <w:color w:val="auto"/>
          <w:spacing w:val="-5"/>
          <w:sz w:val="24"/>
          <w:szCs w:val="24"/>
        </w:rPr>
        <w:t xml:space="preserve"> investeerimisühingutele</w:t>
      </w:r>
      <w:r w:rsidR="00EC6EE1" w:rsidRPr="003331EF">
        <w:rPr>
          <w:rFonts w:eastAsia="Times New Roman"/>
          <w:b w:val="0"/>
          <w:iCs/>
          <w:color w:val="auto"/>
          <w:spacing w:val="-5"/>
          <w:sz w:val="24"/>
          <w:szCs w:val="24"/>
        </w:rPr>
        <w:t>.</w:t>
      </w:r>
      <w:r w:rsidR="00BB3788" w:rsidRPr="003331EF">
        <w:rPr>
          <w:bCs w:val="0"/>
          <w:iCs/>
          <w:color w:val="auto"/>
          <w:spacing w:val="-5"/>
        </w:rPr>
        <w:t xml:space="preserve"> </w:t>
      </w:r>
    </w:p>
    <w:p w14:paraId="535D0AD0" w14:textId="77777777" w:rsidR="00D341B7" w:rsidRPr="003331EF" w:rsidRDefault="00D341B7" w:rsidP="003331EF">
      <w:pPr>
        <w:spacing w:before="0"/>
        <w:rPr>
          <w:lang w:eastAsia="en-US"/>
        </w:rPr>
      </w:pPr>
    </w:p>
    <w:p w14:paraId="34118344" w14:textId="2240BFB0" w:rsidR="00D341B7" w:rsidRPr="003331EF" w:rsidRDefault="00D341B7" w:rsidP="003331EF">
      <w:pPr>
        <w:spacing w:before="0"/>
        <w:rPr>
          <w:lang w:eastAsia="en-US"/>
        </w:rPr>
      </w:pPr>
      <w:r w:rsidRPr="003331EF">
        <w:rPr>
          <w:lang w:eastAsia="en-US"/>
        </w:rPr>
        <w:t xml:space="preserve">Tagasiside saadi </w:t>
      </w:r>
      <w:proofErr w:type="spellStart"/>
      <w:r w:rsidRPr="003331EF">
        <w:rPr>
          <w:lang w:eastAsia="en-US"/>
        </w:rPr>
        <w:t>Justiitministeeriumilt</w:t>
      </w:r>
      <w:proofErr w:type="spellEnd"/>
      <w:r w:rsidRPr="003331EF">
        <w:rPr>
          <w:lang w:eastAsia="en-US"/>
        </w:rPr>
        <w:t xml:space="preserve">, Majandus- ja Kommunikatsiooniministeeriumilt, Siseministeeriumilt, Rahapesu Andmebüroolt, Finantsinspektsioonilt, Eesti Pangalt, </w:t>
      </w:r>
      <w:r w:rsidRPr="003331EF">
        <w:rPr>
          <w:lang w:eastAsia="en-US"/>
        </w:rPr>
        <w:lastRenderedPageBreak/>
        <w:t xml:space="preserve">Audiitorkogult, Eesti Web3 Kojalt, Advokatuurilt, Digivara Liidult, </w:t>
      </w:r>
      <w:proofErr w:type="spellStart"/>
      <w:r w:rsidRPr="003331EF">
        <w:rPr>
          <w:lang w:eastAsia="en-US"/>
        </w:rPr>
        <w:t>EstVCA-lt</w:t>
      </w:r>
      <w:proofErr w:type="spellEnd"/>
      <w:r w:rsidRPr="003331EF">
        <w:rPr>
          <w:lang w:eastAsia="en-US"/>
        </w:rPr>
        <w:t xml:space="preserve">, </w:t>
      </w:r>
      <w:proofErr w:type="spellStart"/>
      <w:r w:rsidRPr="003331EF">
        <w:rPr>
          <w:lang w:eastAsia="en-US"/>
        </w:rPr>
        <w:t>Oblicity’lt</w:t>
      </w:r>
      <w:proofErr w:type="spellEnd"/>
      <w:r w:rsidRPr="003331EF">
        <w:rPr>
          <w:lang w:eastAsia="en-US"/>
        </w:rPr>
        <w:t xml:space="preserve">, </w:t>
      </w:r>
      <w:proofErr w:type="spellStart"/>
      <w:r w:rsidRPr="003331EF">
        <w:rPr>
          <w:lang w:eastAsia="en-US"/>
        </w:rPr>
        <w:t>Strigalt</w:t>
      </w:r>
      <w:proofErr w:type="spellEnd"/>
      <w:r w:rsidRPr="003331EF">
        <w:rPr>
          <w:lang w:eastAsia="en-US"/>
        </w:rPr>
        <w:t xml:space="preserve">, Eesti Infotehnoloogia ja </w:t>
      </w:r>
      <w:proofErr w:type="spellStart"/>
      <w:r w:rsidRPr="003331EF">
        <w:rPr>
          <w:lang w:eastAsia="en-US"/>
        </w:rPr>
        <w:t>Telekommunkatsiooni</w:t>
      </w:r>
      <w:proofErr w:type="spellEnd"/>
      <w:r w:rsidRPr="003331EF">
        <w:rPr>
          <w:lang w:eastAsia="en-US"/>
        </w:rPr>
        <w:t xml:space="preserve"> Liidult ning FinanceEstonialt (vt märkuste tabelit). </w:t>
      </w:r>
    </w:p>
    <w:p w14:paraId="2E4E5DD1" w14:textId="77777777" w:rsidR="00630488" w:rsidRPr="003331EF" w:rsidRDefault="00630488" w:rsidP="003331EF">
      <w:pPr>
        <w:spacing w:before="0"/>
        <w:jc w:val="left"/>
        <w:rPr>
          <w:lang w:eastAsia="en-US"/>
        </w:rPr>
      </w:pPr>
    </w:p>
    <w:p w14:paraId="72F1DADE" w14:textId="77777777" w:rsidR="008C3E70" w:rsidRPr="003331EF" w:rsidRDefault="009F22FB" w:rsidP="003331EF">
      <w:pPr>
        <w:pStyle w:val="vk"/>
        <w:spacing w:before="0" w:after="0" w:afterAutospacing="0"/>
        <w:jc w:val="both"/>
      </w:pPr>
      <w:r>
        <w:pict w14:anchorId="3C566C98">
          <v:rect id="_x0000_i1025" style="width:0;height:1.5pt" o:hralign="center" o:hrstd="t" o:hr="t" fillcolor="#a0a0a0" stroked="f"/>
        </w:pict>
      </w:r>
    </w:p>
    <w:p w14:paraId="43667CD8" w14:textId="61C8ED2D" w:rsidR="008C3E70" w:rsidRPr="003331EF" w:rsidRDefault="008C3E70" w:rsidP="003331EF">
      <w:pPr>
        <w:pStyle w:val="vk"/>
        <w:spacing w:before="0" w:after="0" w:afterAutospacing="0"/>
        <w:jc w:val="both"/>
      </w:pPr>
      <w:r w:rsidRPr="003331EF">
        <w:t>Algatab Vabariigi Valitsus</w:t>
      </w:r>
      <w:r w:rsidR="00613D38" w:rsidRPr="003331EF">
        <w:t xml:space="preserve">                           </w:t>
      </w:r>
      <w:r w:rsidR="00E81879" w:rsidRPr="003331EF">
        <w:t>202</w:t>
      </w:r>
      <w:r w:rsidR="00D341B7" w:rsidRPr="003331EF">
        <w:t>4</w:t>
      </w:r>
    </w:p>
    <w:p w14:paraId="4DD05098" w14:textId="77777777" w:rsidR="008C3E70" w:rsidRPr="003331EF" w:rsidRDefault="008C3E70" w:rsidP="003331EF">
      <w:pPr>
        <w:pStyle w:val="vk"/>
        <w:spacing w:before="0" w:after="0" w:afterAutospacing="0"/>
        <w:jc w:val="both"/>
      </w:pPr>
    </w:p>
    <w:p w14:paraId="5BBD6C1D" w14:textId="5711D510" w:rsidR="008C3E70" w:rsidRPr="003331EF" w:rsidRDefault="008C3E70" w:rsidP="003331EF">
      <w:pPr>
        <w:pStyle w:val="vk"/>
        <w:spacing w:before="0" w:after="0" w:afterAutospacing="0"/>
        <w:jc w:val="both"/>
        <w:rPr>
          <w:i/>
        </w:rPr>
      </w:pPr>
      <w:r w:rsidRPr="003331EF">
        <w:rPr>
          <w:i/>
        </w:rPr>
        <w:t>(allkirjastatud digitaalselt)</w:t>
      </w:r>
    </w:p>
    <w:p w14:paraId="209647A5" w14:textId="77777777" w:rsidR="00FF1CF7" w:rsidRPr="003331EF" w:rsidRDefault="00FF1CF7" w:rsidP="003331EF">
      <w:pPr>
        <w:spacing w:before="0"/>
        <w:jc w:val="left"/>
        <w:rPr>
          <w:rFonts w:eastAsia="Calibri"/>
          <w:b/>
          <w:bCs/>
        </w:rPr>
      </w:pPr>
    </w:p>
    <w:p w14:paraId="09AAB742" w14:textId="77777777" w:rsidR="00FF1CF7" w:rsidRPr="003331EF" w:rsidRDefault="00FF1CF7" w:rsidP="003331EF">
      <w:pPr>
        <w:spacing w:before="0"/>
        <w:jc w:val="left"/>
        <w:rPr>
          <w:rFonts w:eastAsia="Calibri"/>
          <w:b/>
          <w:bCs/>
        </w:rPr>
      </w:pPr>
    </w:p>
    <w:p w14:paraId="77BC0878" w14:textId="77777777" w:rsidR="00FF1CF7" w:rsidRPr="003331EF" w:rsidRDefault="00FF1CF7" w:rsidP="003331EF">
      <w:pPr>
        <w:spacing w:before="0"/>
        <w:jc w:val="left"/>
        <w:rPr>
          <w:rFonts w:eastAsia="Calibri"/>
          <w:b/>
          <w:bCs/>
        </w:rPr>
      </w:pPr>
    </w:p>
    <w:p w14:paraId="5CBFC944" w14:textId="77777777" w:rsidR="00FF1CF7" w:rsidRPr="003331EF" w:rsidRDefault="00FF1CF7" w:rsidP="003331EF">
      <w:pPr>
        <w:spacing w:before="0"/>
        <w:jc w:val="left"/>
        <w:rPr>
          <w:rFonts w:eastAsia="Calibri"/>
          <w:b/>
          <w:bCs/>
        </w:rPr>
      </w:pPr>
    </w:p>
    <w:p w14:paraId="422F140D" w14:textId="77777777" w:rsidR="00FF1CF7" w:rsidRPr="003331EF" w:rsidRDefault="00FF1CF7" w:rsidP="003331EF">
      <w:pPr>
        <w:spacing w:before="0"/>
        <w:jc w:val="left"/>
        <w:rPr>
          <w:rFonts w:eastAsia="Calibri"/>
          <w:b/>
          <w:bCs/>
        </w:rPr>
      </w:pPr>
    </w:p>
    <w:p w14:paraId="476E0B82" w14:textId="77777777" w:rsidR="00FF1CF7" w:rsidRPr="003331EF" w:rsidRDefault="00FF1CF7" w:rsidP="003331EF">
      <w:pPr>
        <w:spacing w:before="0"/>
        <w:jc w:val="left"/>
        <w:rPr>
          <w:rFonts w:eastAsia="Calibri"/>
          <w:b/>
          <w:bCs/>
        </w:rPr>
      </w:pPr>
    </w:p>
    <w:p w14:paraId="4C986ED6" w14:textId="77777777" w:rsidR="00FF1CF7" w:rsidRPr="003331EF" w:rsidRDefault="00FF1CF7" w:rsidP="003331EF">
      <w:pPr>
        <w:spacing w:before="0"/>
        <w:jc w:val="left"/>
        <w:rPr>
          <w:rFonts w:eastAsia="Calibri"/>
          <w:b/>
          <w:bCs/>
        </w:rPr>
      </w:pPr>
    </w:p>
    <w:p w14:paraId="655D35BD" w14:textId="77777777" w:rsidR="00FF1CF7" w:rsidRPr="003331EF" w:rsidRDefault="00FF1CF7" w:rsidP="003331EF">
      <w:pPr>
        <w:spacing w:before="0"/>
        <w:jc w:val="left"/>
        <w:rPr>
          <w:rFonts w:eastAsia="Calibri"/>
          <w:b/>
          <w:bCs/>
        </w:rPr>
      </w:pPr>
    </w:p>
    <w:p w14:paraId="07B8AFFE" w14:textId="77777777" w:rsidR="00FF1CF7" w:rsidRPr="003331EF" w:rsidRDefault="00FF1CF7" w:rsidP="003331EF">
      <w:pPr>
        <w:spacing w:before="0"/>
        <w:jc w:val="left"/>
        <w:rPr>
          <w:rFonts w:eastAsia="Calibri"/>
          <w:b/>
          <w:bCs/>
        </w:rPr>
      </w:pPr>
    </w:p>
    <w:p w14:paraId="01D49D80" w14:textId="77777777" w:rsidR="00FF1CF7" w:rsidRPr="003331EF" w:rsidRDefault="00FF1CF7" w:rsidP="003331EF">
      <w:pPr>
        <w:spacing w:before="0"/>
        <w:jc w:val="left"/>
        <w:rPr>
          <w:rFonts w:eastAsia="Calibri"/>
          <w:b/>
          <w:bCs/>
        </w:rPr>
      </w:pPr>
    </w:p>
    <w:p w14:paraId="3CAEE2DD" w14:textId="77777777" w:rsidR="00FF1CF7" w:rsidRPr="003331EF" w:rsidRDefault="00FF1CF7" w:rsidP="003331EF">
      <w:pPr>
        <w:spacing w:before="0"/>
        <w:jc w:val="left"/>
        <w:rPr>
          <w:rFonts w:eastAsia="Calibri"/>
          <w:b/>
          <w:bCs/>
        </w:rPr>
      </w:pPr>
    </w:p>
    <w:p w14:paraId="34E63A58" w14:textId="311CE016" w:rsidR="005D3D7B" w:rsidRPr="003331EF" w:rsidRDefault="009347C0" w:rsidP="003331EF">
      <w:pPr>
        <w:spacing w:before="0"/>
        <w:jc w:val="left"/>
        <w:rPr>
          <w:b/>
          <w:lang w:eastAsia="en-US"/>
        </w:rPr>
      </w:pPr>
      <w:r w:rsidRPr="003331EF">
        <w:rPr>
          <w:rFonts w:eastAsia="Calibri"/>
          <w:b/>
          <w:bCs/>
        </w:rPr>
        <w:t>LISA</w:t>
      </w:r>
      <w:r w:rsidR="001771C8" w:rsidRPr="003331EF">
        <w:rPr>
          <w:rFonts w:eastAsia="Calibri"/>
          <w:b/>
          <w:bCs/>
        </w:rPr>
        <w:t xml:space="preserve"> 1</w:t>
      </w:r>
      <w:r w:rsidRPr="003331EF">
        <w:rPr>
          <w:rFonts w:eastAsia="Calibri"/>
          <w:b/>
          <w:bCs/>
        </w:rPr>
        <w:t xml:space="preserve">. </w:t>
      </w:r>
      <w:r w:rsidR="005D3D7B" w:rsidRPr="003331EF">
        <w:rPr>
          <w:b/>
        </w:rPr>
        <w:t>EL õiguse v</w:t>
      </w:r>
      <w:r w:rsidR="005D3D7B" w:rsidRPr="003331EF">
        <w:rPr>
          <w:b/>
          <w:lang w:eastAsia="en-US"/>
        </w:rPr>
        <w:t>astavustabelid</w:t>
      </w:r>
    </w:p>
    <w:p w14:paraId="7F590B2C" w14:textId="77777777" w:rsidR="005D3D7B" w:rsidRPr="003331EF" w:rsidRDefault="005D3D7B" w:rsidP="003331EF">
      <w:pPr>
        <w:spacing w:before="0"/>
        <w:rPr>
          <w:lang w:eastAsia="en-US"/>
        </w:rPr>
      </w:pPr>
    </w:p>
    <w:p w14:paraId="160E8296" w14:textId="014F537D" w:rsidR="005D3D7B" w:rsidRPr="003331EF" w:rsidRDefault="005D3D7B" w:rsidP="003331EF">
      <w:pPr>
        <w:spacing w:before="0"/>
        <w:rPr>
          <w:b/>
          <w:lang w:eastAsia="en-US"/>
        </w:rPr>
      </w:pPr>
      <w:r w:rsidRPr="003331EF">
        <w:rPr>
          <w:b/>
          <w:lang w:eastAsia="en-US"/>
        </w:rPr>
        <w:t>Euroopa Parlamendi ja nõukogu</w:t>
      </w:r>
      <w:r w:rsidR="00973AC6" w:rsidRPr="003331EF">
        <w:rPr>
          <w:b/>
          <w:lang w:eastAsia="en-US"/>
        </w:rPr>
        <w:t xml:space="preserve"> määruse </w:t>
      </w:r>
      <w:r w:rsidRPr="003331EF">
        <w:rPr>
          <w:b/>
          <w:lang w:eastAsia="en-US"/>
        </w:rPr>
        <w:t>(EL) 202</w:t>
      </w:r>
      <w:r w:rsidR="00F42347" w:rsidRPr="003331EF">
        <w:rPr>
          <w:b/>
          <w:lang w:eastAsia="en-US"/>
        </w:rPr>
        <w:t>3</w:t>
      </w:r>
      <w:r w:rsidRPr="003331EF">
        <w:rPr>
          <w:b/>
          <w:lang w:eastAsia="en-US"/>
        </w:rPr>
        <w:t>/</w:t>
      </w:r>
      <w:r w:rsidR="008B11D7" w:rsidRPr="003331EF">
        <w:rPr>
          <w:b/>
          <w:lang w:eastAsia="en-US"/>
        </w:rPr>
        <w:t>1114</w:t>
      </w:r>
      <w:r w:rsidRPr="003331EF">
        <w:rPr>
          <w:b/>
          <w:lang w:eastAsia="en-US"/>
        </w:rPr>
        <w:t xml:space="preserve"> ja Eesti õigusaktide vastavustabel</w:t>
      </w:r>
    </w:p>
    <w:p w14:paraId="45B461AD" w14:textId="77777777" w:rsidR="005D3D7B" w:rsidRPr="003331EF" w:rsidRDefault="005D3D7B" w:rsidP="003331EF">
      <w:pPr>
        <w:spacing w:before="0"/>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841"/>
        <w:gridCol w:w="2689"/>
        <w:gridCol w:w="2266"/>
      </w:tblGrid>
      <w:tr w:rsidR="003331EF" w:rsidRPr="003331EF" w14:paraId="42BC6175" w14:textId="77777777" w:rsidTr="00B0424A">
        <w:tc>
          <w:tcPr>
            <w:tcW w:w="2265" w:type="dxa"/>
          </w:tcPr>
          <w:p w14:paraId="3413F1A1" w14:textId="77777777" w:rsidR="005D3D7B" w:rsidRPr="003331EF" w:rsidRDefault="005D3D7B" w:rsidP="003331EF">
            <w:pPr>
              <w:spacing w:before="0"/>
              <w:jc w:val="center"/>
              <w:rPr>
                <w:b/>
                <w:sz w:val="22"/>
                <w:szCs w:val="22"/>
                <w:lang w:eastAsia="en-US"/>
              </w:rPr>
            </w:pPr>
            <w:r w:rsidRPr="003331EF">
              <w:rPr>
                <w:b/>
                <w:sz w:val="22"/>
                <w:szCs w:val="22"/>
                <w:lang w:eastAsia="en-US"/>
              </w:rPr>
              <w:t>EL õigusakti norm</w:t>
            </w:r>
          </w:p>
        </w:tc>
        <w:tc>
          <w:tcPr>
            <w:tcW w:w="1841" w:type="dxa"/>
          </w:tcPr>
          <w:p w14:paraId="7C2987C6" w14:textId="5A55C94B" w:rsidR="005D3D7B" w:rsidRPr="003331EF" w:rsidRDefault="005D3D7B" w:rsidP="003331EF">
            <w:pPr>
              <w:spacing w:before="0"/>
              <w:jc w:val="center"/>
              <w:rPr>
                <w:b/>
                <w:sz w:val="22"/>
                <w:szCs w:val="22"/>
                <w:lang w:eastAsia="en-US"/>
              </w:rPr>
            </w:pPr>
            <w:r w:rsidRPr="003331EF">
              <w:rPr>
                <w:b/>
                <w:sz w:val="22"/>
                <w:szCs w:val="22"/>
                <w:lang w:eastAsia="en-US"/>
              </w:rPr>
              <w:t>EL õigusakti normi ü</w:t>
            </w:r>
            <w:r w:rsidR="005E50A0" w:rsidRPr="003331EF">
              <w:rPr>
                <w:b/>
                <w:sz w:val="22"/>
                <w:szCs w:val="22"/>
                <w:lang w:eastAsia="en-US"/>
              </w:rPr>
              <w:t>l</w:t>
            </w:r>
            <w:r w:rsidRPr="003331EF">
              <w:rPr>
                <w:b/>
                <w:sz w:val="22"/>
                <w:szCs w:val="22"/>
                <w:lang w:eastAsia="en-US"/>
              </w:rPr>
              <w:t>evõtmise kohustus</w:t>
            </w:r>
          </w:p>
        </w:tc>
        <w:tc>
          <w:tcPr>
            <w:tcW w:w="2689" w:type="dxa"/>
          </w:tcPr>
          <w:p w14:paraId="604AB269" w14:textId="77777777" w:rsidR="005D3D7B" w:rsidRPr="003331EF" w:rsidRDefault="005D3D7B" w:rsidP="003331EF">
            <w:pPr>
              <w:spacing w:before="0"/>
              <w:jc w:val="center"/>
              <w:rPr>
                <w:b/>
                <w:sz w:val="22"/>
                <w:szCs w:val="22"/>
                <w:lang w:eastAsia="en-US"/>
              </w:rPr>
            </w:pPr>
            <w:r w:rsidRPr="003331EF">
              <w:rPr>
                <w:b/>
                <w:sz w:val="22"/>
                <w:szCs w:val="22"/>
                <w:lang w:eastAsia="en-US"/>
              </w:rPr>
              <w:t>EL õigusakti normi sisuliseks rakendamiseks kehtestatavad riigisisesed õigusaktid</w:t>
            </w:r>
          </w:p>
        </w:tc>
        <w:tc>
          <w:tcPr>
            <w:tcW w:w="2266" w:type="dxa"/>
          </w:tcPr>
          <w:p w14:paraId="2CAB4D2C" w14:textId="77777777" w:rsidR="005D3D7B" w:rsidRPr="003331EF" w:rsidRDefault="005D3D7B" w:rsidP="003331EF">
            <w:pPr>
              <w:spacing w:before="0"/>
              <w:jc w:val="center"/>
              <w:rPr>
                <w:b/>
                <w:sz w:val="22"/>
                <w:szCs w:val="22"/>
                <w:lang w:eastAsia="en-US"/>
              </w:rPr>
            </w:pPr>
            <w:r w:rsidRPr="003331EF">
              <w:rPr>
                <w:b/>
                <w:sz w:val="22"/>
                <w:szCs w:val="22"/>
                <w:lang w:eastAsia="en-US"/>
              </w:rPr>
              <w:t>Kommentaarid</w:t>
            </w:r>
          </w:p>
        </w:tc>
      </w:tr>
      <w:tr w:rsidR="003331EF" w:rsidRPr="003331EF" w14:paraId="5189EE47" w14:textId="77777777" w:rsidTr="00B0424A">
        <w:tc>
          <w:tcPr>
            <w:tcW w:w="2265" w:type="dxa"/>
            <w:shd w:val="clear" w:color="auto" w:fill="FFFFFF" w:themeFill="background1"/>
          </w:tcPr>
          <w:p w14:paraId="4FF3A27D" w14:textId="62778A91" w:rsidR="005D3D7B" w:rsidRPr="003331EF" w:rsidRDefault="00973AC6" w:rsidP="003331EF">
            <w:pPr>
              <w:spacing w:before="0"/>
              <w:rPr>
                <w:i/>
                <w:iCs/>
                <w:sz w:val="22"/>
                <w:szCs w:val="22"/>
                <w:lang w:eastAsia="en-US"/>
              </w:rPr>
            </w:pPr>
            <w:r w:rsidRPr="003331EF">
              <w:rPr>
                <w:sz w:val="22"/>
                <w:szCs w:val="22"/>
              </w:rPr>
              <w:t>Art 81, lg 7</w:t>
            </w:r>
          </w:p>
        </w:tc>
        <w:tc>
          <w:tcPr>
            <w:tcW w:w="1841" w:type="dxa"/>
            <w:shd w:val="clear" w:color="auto" w:fill="FFFFFF" w:themeFill="background1"/>
          </w:tcPr>
          <w:p w14:paraId="50AD7F35" w14:textId="0CD3896D" w:rsidR="005D3D7B" w:rsidRPr="003331EF" w:rsidRDefault="005D3D7B" w:rsidP="003331EF">
            <w:pPr>
              <w:spacing w:before="0"/>
              <w:rPr>
                <w:sz w:val="22"/>
                <w:szCs w:val="22"/>
                <w:lang w:eastAsia="en-US"/>
              </w:rPr>
            </w:pPr>
          </w:p>
        </w:tc>
        <w:tc>
          <w:tcPr>
            <w:tcW w:w="2689" w:type="dxa"/>
            <w:shd w:val="clear" w:color="auto" w:fill="FFFFFF" w:themeFill="background1"/>
          </w:tcPr>
          <w:p w14:paraId="2AF60061" w14:textId="612D4D78" w:rsidR="005D3D7B" w:rsidRPr="003331EF" w:rsidRDefault="00454ADF" w:rsidP="003331EF">
            <w:pPr>
              <w:spacing w:before="0"/>
              <w:rPr>
                <w:sz w:val="22"/>
                <w:szCs w:val="22"/>
                <w:lang w:eastAsia="en-US"/>
              </w:rPr>
            </w:pPr>
            <w:r w:rsidRPr="003331EF">
              <w:rPr>
                <w:sz w:val="22"/>
                <w:szCs w:val="22"/>
                <w:lang w:eastAsia="en-US"/>
              </w:rPr>
              <w:t xml:space="preserve">KrüTS </w:t>
            </w:r>
            <w:r w:rsidR="00973AC6" w:rsidRPr="003331EF">
              <w:rPr>
                <w:sz w:val="22"/>
                <w:szCs w:val="22"/>
                <w:lang w:eastAsia="en-US"/>
              </w:rPr>
              <w:t xml:space="preserve">§ </w:t>
            </w:r>
            <w:r w:rsidR="00010536" w:rsidRPr="003331EF">
              <w:rPr>
                <w:sz w:val="22"/>
                <w:szCs w:val="22"/>
                <w:lang w:eastAsia="en-US"/>
              </w:rPr>
              <w:t>8</w:t>
            </w:r>
          </w:p>
        </w:tc>
        <w:tc>
          <w:tcPr>
            <w:tcW w:w="2266" w:type="dxa"/>
            <w:shd w:val="clear" w:color="auto" w:fill="FFFFFF" w:themeFill="background1"/>
          </w:tcPr>
          <w:p w14:paraId="2BAAC666" w14:textId="02347FC6" w:rsidR="005D3D7B" w:rsidRPr="003331EF" w:rsidRDefault="00B81BE3" w:rsidP="003331EF">
            <w:pPr>
              <w:shd w:val="clear" w:color="auto" w:fill="FFFFFF" w:themeFill="background1"/>
              <w:spacing w:before="0"/>
              <w:rPr>
                <w:i/>
                <w:iCs/>
                <w:sz w:val="22"/>
                <w:szCs w:val="22"/>
                <w:lang w:eastAsia="en-US"/>
              </w:rPr>
            </w:pPr>
            <w:r w:rsidRPr="003331EF">
              <w:rPr>
                <w:sz w:val="22"/>
                <w:szCs w:val="22"/>
                <w:lang w:eastAsia="en-US"/>
              </w:rPr>
              <w:t>Liikmesriik peab avaldama krüptonõustajate teadmiste ja oskuste hindamiseks kasutatavad kriteeriumid.</w:t>
            </w:r>
          </w:p>
        </w:tc>
      </w:tr>
      <w:tr w:rsidR="003331EF" w:rsidRPr="003331EF" w14:paraId="3EF6E01B" w14:textId="77777777" w:rsidTr="00B0424A">
        <w:tc>
          <w:tcPr>
            <w:tcW w:w="2265" w:type="dxa"/>
            <w:shd w:val="clear" w:color="auto" w:fill="FFFFFF" w:themeFill="background1"/>
          </w:tcPr>
          <w:p w14:paraId="35844EDC" w14:textId="341A01A6" w:rsidR="00B0424A" w:rsidRPr="003331EF" w:rsidRDefault="00B0424A" w:rsidP="003331EF">
            <w:pPr>
              <w:spacing w:before="0"/>
              <w:rPr>
                <w:sz w:val="22"/>
                <w:szCs w:val="22"/>
                <w:lang w:eastAsia="en-US"/>
              </w:rPr>
            </w:pPr>
            <w:r w:rsidRPr="003331EF">
              <w:rPr>
                <w:sz w:val="22"/>
                <w:szCs w:val="22"/>
                <w:lang w:eastAsia="en-US"/>
              </w:rPr>
              <w:t>Art 88, lg 3</w:t>
            </w:r>
          </w:p>
        </w:tc>
        <w:tc>
          <w:tcPr>
            <w:tcW w:w="1841" w:type="dxa"/>
            <w:shd w:val="clear" w:color="auto" w:fill="FFFFFF" w:themeFill="background1"/>
          </w:tcPr>
          <w:p w14:paraId="2FD22FC8" w14:textId="3269CB23" w:rsidR="00B0424A" w:rsidRPr="003331EF" w:rsidRDefault="00B0424A" w:rsidP="003331EF">
            <w:pPr>
              <w:spacing w:before="0"/>
              <w:rPr>
                <w:sz w:val="22"/>
                <w:szCs w:val="22"/>
                <w:lang w:eastAsia="en-US"/>
              </w:rPr>
            </w:pPr>
            <w:r w:rsidRPr="003331EF">
              <w:rPr>
                <w:sz w:val="22"/>
                <w:szCs w:val="22"/>
                <w:lang w:eastAsia="en-US"/>
              </w:rPr>
              <w:t>Valikuline</w:t>
            </w:r>
          </w:p>
        </w:tc>
        <w:tc>
          <w:tcPr>
            <w:tcW w:w="2689" w:type="dxa"/>
            <w:shd w:val="clear" w:color="auto" w:fill="FFFFFF" w:themeFill="background1"/>
          </w:tcPr>
          <w:p w14:paraId="2D7FC7AD" w14:textId="77777777" w:rsidR="00B0424A" w:rsidRPr="003331EF" w:rsidRDefault="00B0424A" w:rsidP="003331EF">
            <w:pPr>
              <w:spacing w:before="0"/>
              <w:rPr>
                <w:sz w:val="22"/>
                <w:szCs w:val="22"/>
                <w:lang w:eastAsia="en-US"/>
              </w:rPr>
            </w:pPr>
          </w:p>
        </w:tc>
        <w:tc>
          <w:tcPr>
            <w:tcW w:w="2266" w:type="dxa"/>
            <w:shd w:val="clear" w:color="auto" w:fill="FFFFFF" w:themeFill="background1"/>
          </w:tcPr>
          <w:p w14:paraId="1A1BFE48" w14:textId="77777777" w:rsidR="00B0424A" w:rsidRPr="003331EF" w:rsidRDefault="00B0424A" w:rsidP="003331EF">
            <w:pPr>
              <w:shd w:val="clear" w:color="auto" w:fill="FFFFFF" w:themeFill="background1"/>
              <w:spacing w:before="0"/>
              <w:rPr>
                <w:sz w:val="22"/>
                <w:szCs w:val="22"/>
                <w:lang w:eastAsia="en-US"/>
              </w:rPr>
            </w:pPr>
          </w:p>
        </w:tc>
      </w:tr>
      <w:tr w:rsidR="003331EF" w:rsidRPr="003331EF" w14:paraId="4254FE16" w14:textId="77777777" w:rsidTr="00B0424A">
        <w:tc>
          <w:tcPr>
            <w:tcW w:w="2265" w:type="dxa"/>
            <w:shd w:val="clear" w:color="auto" w:fill="FFFFFF" w:themeFill="background1"/>
          </w:tcPr>
          <w:p w14:paraId="3F78E7FC" w14:textId="4D93734F" w:rsidR="00B0424A" w:rsidRPr="003331EF" w:rsidRDefault="00B0424A" w:rsidP="003331EF">
            <w:pPr>
              <w:spacing w:before="0"/>
              <w:rPr>
                <w:sz w:val="22"/>
                <w:szCs w:val="22"/>
              </w:rPr>
            </w:pPr>
            <w:r w:rsidRPr="003331EF">
              <w:rPr>
                <w:sz w:val="22"/>
                <w:szCs w:val="22"/>
                <w:lang w:eastAsia="en-US"/>
              </w:rPr>
              <w:t>Art 93, lg 1</w:t>
            </w:r>
          </w:p>
        </w:tc>
        <w:tc>
          <w:tcPr>
            <w:tcW w:w="1841" w:type="dxa"/>
            <w:shd w:val="clear" w:color="auto" w:fill="FFFFFF" w:themeFill="background1"/>
          </w:tcPr>
          <w:p w14:paraId="1C688349" w14:textId="1C0559DE" w:rsidR="00B0424A" w:rsidRPr="003331EF" w:rsidRDefault="00B0424A" w:rsidP="003331EF">
            <w:pPr>
              <w:spacing w:before="0"/>
              <w:rPr>
                <w:sz w:val="22"/>
                <w:szCs w:val="22"/>
                <w:lang w:eastAsia="en-US"/>
              </w:rPr>
            </w:pPr>
            <w:r w:rsidRPr="003331EF">
              <w:rPr>
                <w:sz w:val="22"/>
                <w:szCs w:val="22"/>
                <w:lang w:eastAsia="en-US"/>
              </w:rPr>
              <w:t>Jah</w:t>
            </w:r>
          </w:p>
        </w:tc>
        <w:tc>
          <w:tcPr>
            <w:tcW w:w="2689" w:type="dxa"/>
            <w:shd w:val="clear" w:color="auto" w:fill="FFFFFF" w:themeFill="background1"/>
          </w:tcPr>
          <w:p w14:paraId="70813C6B" w14:textId="65487F5B" w:rsidR="00B0424A" w:rsidRPr="003331EF" w:rsidRDefault="00B0424A" w:rsidP="003331EF">
            <w:pPr>
              <w:spacing w:before="0"/>
              <w:rPr>
                <w:sz w:val="22"/>
                <w:szCs w:val="22"/>
                <w:lang w:eastAsia="en-US"/>
              </w:rPr>
            </w:pPr>
            <w:r w:rsidRPr="003331EF">
              <w:rPr>
                <w:sz w:val="22"/>
                <w:szCs w:val="22"/>
                <w:lang w:eastAsia="en-US"/>
              </w:rPr>
              <w:t>KrüTS § 2</w:t>
            </w:r>
            <w:r w:rsidR="00010536" w:rsidRPr="003331EF">
              <w:rPr>
                <w:sz w:val="22"/>
                <w:szCs w:val="22"/>
                <w:lang w:eastAsia="en-US"/>
              </w:rPr>
              <w:t>6 lg 1</w:t>
            </w:r>
          </w:p>
        </w:tc>
        <w:tc>
          <w:tcPr>
            <w:tcW w:w="2266" w:type="dxa"/>
            <w:shd w:val="clear" w:color="auto" w:fill="FFFFFF" w:themeFill="background1"/>
          </w:tcPr>
          <w:p w14:paraId="28F7B7DA" w14:textId="729BF05B" w:rsidR="00B0424A" w:rsidRPr="003331EF" w:rsidRDefault="00B0424A" w:rsidP="003331EF">
            <w:pPr>
              <w:shd w:val="clear" w:color="auto" w:fill="FFFFFF" w:themeFill="background1"/>
              <w:spacing w:before="0"/>
              <w:rPr>
                <w:sz w:val="22"/>
                <w:szCs w:val="22"/>
                <w:lang w:eastAsia="en-US"/>
              </w:rPr>
            </w:pPr>
            <w:r w:rsidRPr="003331EF">
              <w:rPr>
                <w:sz w:val="22"/>
                <w:szCs w:val="22"/>
                <w:lang w:eastAsia="en-US"/>
              </w:rPr>
              <w:t>Liikmesriigi kohustus määrata pädev asutus</w:t>
            </w:r>
            <w:r w:rsidR="00452609" w:rsidRPr="003331EF">
              <w:rPr>
                <w:sz w:val="22"/>
                <w:szCs w:val="22"/>
                <w:lang w:eastAsia="en-US"/>
              </w:rPr>
              <w:t>.</w:t>
            </w:r>
          </w:p>
        </w:tc>
      </w:tr>
      <w:tr w:rsidR="003331EF" w:rsidRPr="003331EF" w14:paraId="181C7D36" w14:textId="77777777" w:rsidTr="00B0424A">
        <w:tc>
          <w:tcPr>
            <w:tcW w:w="2265" w:type="dxa"/>
            <w:shd w:val="clear" w:color="auto" w:fill="FFFFFF" w:themeFill="background1"/>
          </w:tcPr>
          <w:p w14:paraId="0AF04AA6" w14:textId="04911EEC" w:rsidR="00B0424A" w:rsidRPr="003331EF" w:rsidRDefault="00452609" w:rsidP="003331EF">
            <w:pPr>
              <w:spacing w:before="0"/>
              <w:rPr>
                <w:sz w:val="22"/>
                <w:szCs w:val="22"/>
              </w:rPr>
            </w:pPr>
            <w:r w:rsidRPr="003331EF">
              <w:rPr>
                <w:sz w:val="22"/>
                <w:szCs w:val="22"/>
                <w:lang w:eastAsia="en-US"/>
              </w:rPr>
              <w:t>Art 93, lg 5</w:t>
            </w:r>
          </w:p>
        </w:tc>
        <w:tc>
          <w:tcPr>
            <w:tcW w:w="1841" w:type="dxa"/>
            <w:shd w:val="clear" w:color="auto" w:fill="FFFFFF" w:themeFill="background1"/>
          </w:tcPr>
          <w:p w14:paraId="3F6C8358" w14:textId="24545AF1" w:rsidR="00B0424A" w:rsidRPr="003331EF" w:rsidRDefault="00452609" w:rsidP="003331EF">
            <w:pPr>
              <w:spacing w:before="0"/>
              <w:rPr>
                <w:sz w:val="22"/>
                <w:szCs w:val="22"/>
                <w:lang w:eastAsia="en-US"/>
              </w:rPr>
            </w:pPr>
            <w:r w:rsidRPr="003331EF">
              <w:rPr>
                <w:sz w:val="22"/>
                <w:szCs w:val="22"/>
                <w:lang w:eastAsia="en-US"/>
              </w:rPr>
              <w:t>Jah</w:t>
            </w:r>
          </w:p>
        </w:tc>
        <w:tc>
          <w:tcPr>
            <w:tcW w:w="2689" w:type="dxa"/>
            <w:shd w:val="clear" w:color="auto" w:fill="FFFFFF" w:themeFill="background1"/>
          </w:tcPr>
          <w:p w14:paraId="40F793EC" w14:textId="748C7891" w:rsidR="00B0424A" w:rsidRPr="003331EF" w:rsidRDefault="00452609" w:rsidP="003331EF">
            <w:pPr>
              <w:spacing w:before="0"/>
              <w:rPr>
                <w:sz w:val="22"/>
                <w:szCs w:val="22"/>
                <w:lang w:eastAsia="en-US"/>
              </w:rPr>
            </w:pPr>
            <w:r w:rsidRPr="003331EF">
              <w:rPr>
                <w:sz w:val="22"/>
                <w:szCs w:val="22"/>
                <w:lang w:eastAsia="en-US"/>
              </w:rPr>
              <w:t xml:space="preserve">KrüTS §-d </w:t>
            </w:r>
            <w:r w:rsidR="00BF58F7" w:rsidRPr="003331EF">
              <w:rPr>
                <w:sz w:val="22"/>
                <w:szCs w:val="22"/>
                <w:lang w:eastAsia="en-US"/>
              </w:rPr>
              <w:t>2</w:t>
            </w:r>
            <w:r w:rsidR="00010536" w:rsidRPr="003331EF">
              <w:rPr>
                <w:sz w:val="22"/>
                <w:szCs w:val="22"/>
                <w:lang w:eastAsia="en-US"/>
              </w:rPr>
              <w:t>5</w:t>
            </w:r>
            <w:r w:rsidRPr="003331EF">
              <w:rPr>
                <w:sz w:val="22"/>
                <w:szCs w:val="22"/>
                <w:lang w:eastAsia="en-US"/>
              </w:rPr>
              <w:t>–3</w:t>
            </w:r>
            <w:r w:rsidR="00010536" w:rsidRPr="003331EF">
              <w:rPr>
                <w:sz w:val="22"/>
                <w:szCs w:val="22"/>
                <w:lang w:eastAsia="en-US"/>
              </w:rPr>
              <w:t>6</w:t>
            </w:r>
            <w:r w:rsidRPr="003331EF">
              <w:rPr>
                <w:sz w:val="22"/>
                <w:szCs w:val="22"/>
                <w:lang w:eastAsia="en-US"/>
              </w:rPr>
              <w:t xml:space="preserve"> </w:t>
            </w:r>
          </w:p>
        </w:tc>
        <w:tc>
          <w:tcPr>
            <w:tcW w:w="2266" w:type="dxa"/>
            <w:shd w:val="clear" w:color="auto" w:fill="FFFFFF" w:themeFill="background1"/>
          </w:tcPr>
          <w:p w14:paraId="74F28D1D" w14:textId="693D29B2" w:rsidR="00B0424A" w:rsidRPr="003331EF" w:rsidRDefault="00452609" w:rsidP="003331EF">
            <w:pPr>
              <w:shd w:val="clear" w:color="auto" w:fill="FFFFFF" w:themeFill="background1"/>
              <w:spacing w:before="0"/>
              <w:rPr>
                <w:sz w:val="22"/>
                <w:szCs w:val="22"/>
                <w:lang w:eastAsia="en-US"/>
              </w:rPr>
            </w:pPr>
            <w:r w:rsidRPr="003331EF">
              <w:rPr>
                <w:sz w:val="22"/>
                <w:szCs w:val="22"/>
                <w:lang w:eastAsia="en-US"/>
              </w:rPr>
              <w:t>Liikmesriik peab tagama asjakohaste meetmete võtmise, nii et pädevatel asutustel on võimalik kasutada oma ülesannete täitmiseks vajalikke järelevalve- ja uurimisvolitusi.</w:t>
            </w:r>
          </w:p>
        </w:tc>
      </w:tr>
      <w:tr w:rsidR="003331EF" w:rsidRPr="003331EF" w14:paraId="6D74ECB5" w14:textId="77777777" w:rsidTr="00B0424A">
        <w:tc>
          <w:tcPr>
            <w:tcW w:w="2265" w:type="dxa"/>
            <w:shd w:val="clear" w:color="auto" w:fill="FFFFFF" w:themeFill="background1"/>
          </w:tcPr>
          <w:p w14:paraId="26CECDC5" w14:textId="3F4A950D" w:rsidR="00B0424A" w:rsidRPr="003331EF" w:rsidRDefault="00452609" w:rsidP="003331EF">
            <w:pPr>
              <w:spacing w:before="0"/>
              <w:rPr>
                <w:sz w:val="22"/>
                <w:szCs w:val="22"/>
                <w:highlight w:val="yellow"/>
              </w:rPr>
            </w:pPr>
            <w:r w:rsidRPr="003331EF">
              <w:rPr>
                <w:sz w:val="22"/>
                <w:szCs w:val="22"/>
                <w:lang w:eastAsia="en-US"/>
              </w:rPr>
              <w:t>Art 113</w:t>
            </w:r>
            <w:r w:rsidR="0085766A" w:rsidRPr="003331EF">
              <w:rPr>
                <w:sz w:val="22"/>
                <w:szCs w:val="22"/>
                <w:lang w:eastAsia="en-US"/>
              </w:rPr>
              <w:t xml:space="preserve"> lg 1</w:t>
            </w:r>
          </w:p>
        </w:tc>
        <w:tc>
          <w:tcPr>
            <w:tcW w:w="1841" w:type="dxa"/>
            <w:shd w:val="clear" w:color="auto" w:fill="FFFFFF" w:themeFill="background1"/>
          </w:tcPr>
          <w:p w14:paraId="66B8D51B" w14:textId="73A7D952" w:rsidR="00B0424A" w:rsidRPr="003331EF" w:rsidRDefault="00B0424A" w:rsidP="003331EF">
            <w:pPr>
              <w:spacing w:before="0"/>
              <w:rPr>
                <w:sz w:val="22"/>
                <w:szCs w:val="22"/>
                <w:highlight w:val="yellow"/>
                <w:lang w:eastAsia="en-US"/>
              </w:rPr>
            </w:pPr>
          </w:p>
        </w:tc>
        <w:tc>
          <w:tcPr>
            <w:tcW w:w="2689" w:type="dxa"/>
            <w:shd w:val="clear" w:color="auto" w:fill="FFFFFF" w:themeFill="background1"/>
          </w:tcPr>
          <w:p w14:paraId="6F69F3C7" w14:textId="45BF9D8E" w:rsidR="00B0424A" w:rsidRPr="003331EF" w:rsidRDefault="00EC0C4F" w:rsidP="003331EF">
            <w:pPr>
              <w:spacing w:before="0"/>
              <w:rPr>
                <w:sz w:val="22"/>
                <w:szCs w:val="22"/>
                <w:lang w:eastAsia="en-US"/>
              </w:rPr>
            </w:pPr>
            <w:r w:rsidRPr="003331EF">
              <w:rPr>
                <w:sz w:val="22"/>
                <w:szCs w:val="22"/>
                <w:lang w:eastAsia="en-US"/>
              </w:rPr>
              <w:t>HMS</w:t>
            </w:r>
            <w:r w:rsidR="0085766A" w:rsidRPr="003331EF">
              <w:rPr>
                <w:rStyle w:val="Allmrkuseviide"/>
                <w:sz w:val="22"/>
                <w:szCs w:val="22"/>
                <w:lang w:eastAsia="en-US"/>
              </w:rPr>
              <w:footnoteReference w:id="40"/>
            </w:r>
            <w:r w:rsidRPr="003331EF">
              <w:rPr>
                <w:sz w:val="22"/>
                <w:szCs w:val="22"/>
                <w:lang w:eastAsia="en-US"/>
              </w:rPr>
              <w:t xml:space="preserve"> § 56</w:t>
            </w:r>
            <w:r w:rsidR="00F511CB" w:rsidRPr="003331EF">
              <w:rPr>
                <w:sz w:val="22"/>
                <w:szCs w:val="22"/>
                <w:lang w:eastAsia="en-US"/>
              </w:rPr>
              <w:t xml:space="preserve">, </w:t>
            </w:r>
            <w:r w:rsidR="0085766A" w:rsidRPr="003331EF">
              <w:rPr>
                <w:sz w:val="22"/>
                <w:szCs w:val="22"/>
                <w:lang w:eastAsia="en-US"/>
              </w:rPr>
              <w:t>§ 87</w:t>
            </w:r>
          </w:p>
          <w:p w14:paraId="69F985FD" w14:textId="6852D352" w:rsidR="003A54B1" w:rsidRPr="003331EF" w:rsidRDefault="003A54B1" w:rsidP="003331EF">
            <w:pPr>
              <w:spacing w:before="0"/>
              <w:rPr>
                <w:sz w:val="22"/>
                <w:szCs w:val="22"/>
                <w:lang w:eastAsia="en-US"/>
              </w:rPr>
            </w:pPr>
            <w:r w:rsidRPr="003331EF">
              <w:rPr>
                <w:sz w:val="22"/>
                <w:szCs w:val="22"/>
                <w:lang w:eastAsia="en-US"/>
              </w:rPr>
              <w:t>FIS § 55 lg 3</w:t>
            </w:r>
          </w:p>
          <w:p w14:paraId="5BD46524" w14:textId="52D1CD6D" w:rsidR="00F511CB" w:rsidRPr="003331EF" w:rsidRDefault="00F511CB" w:rsidP="003331EF">
            <w:pPr>
              <w:spacing w:before="0"/>
              <w:rPr>
                <w:sz w:val="22"/>
                <w:szCs w:val="22"/>
                <w:lang w:eastAsia="en-US"/>
              </w:rPr>
            </w:pPr>
            <w:r w:rsidRPr="003331EF">
              <w:rPr>
                <w:sz w:val="22"/>
                <w:szCs w:val="22"/>
                <w:lang w:eastAsia="en-US"/>
              </w:rPr>
              <w:t>HKMS</w:t>
            </w:r>
            <w:r w:rsidR="0085766A" w:rsidRPr="003331EF">
              <w:rPr>
                <w:rStyle w:val="Allmrkuseviide"/>
                <w:sz w:val="22"/>
                <w:szCs w:val="22"/>
                <w:lang w:eastAsia="en-US"/>
              </w:rPr>
              <w:footnoteReference w:id="41"/>
            </w:r>
          </w:p>
        </w:tc>
        <w:tc>
          <w:tcPr>
            <w:tcW w:w="2266" w:type="dxa"/>
            <w:shd w:val="clear" w:color="auto" w:fill="FFFFFF" w:themeFill="background1"/>
          </w:tcPr>
          <w:p w14:paraId="7E390B56" w14:textId="05443AA5" w:rsidR="00B0424A" w:rsidRPr="003331EF" w:rsidRDefault="00EC0C4F" w:rsidP="003331EF">
            <w:pPr>
              <w:shd w:val="clear" w:color="auto" w:fill="FFFFFF" w:themeFill="background1"/>
              <w:spacing w:before="0"/>
              <w:rPr>
                <w:sz w:val="22"/>
                <w:szCs w:val="22"/>
                <w:lang w:eastAsia="en-US"/>
              </w:rPr>
            </w:pPr>
            <w:r w:rsidRPr="003331EF">
              <w:rPr>
                <w:sz w:val="22"/>
                <w:szCs w:val="22"/>
                <w:lang w:eastAsia="en-US"/>
              </w:rPr>
              <w:t xml:space="preserve">Liikmesriik peab tagavama, et pädevate asutuste käesoleva määruse alusel tehtud </w:t>
            </w:r>
            <w:r w:rsidRPr="003331EF">
              <w:rPr>
                <w:sz w:val="22"/>
                <w:szCs w:val="22"/>
                <w:lang w:eastAsia="en-US"/>
              </w:rPr>
              <w:lastRenderedPageBreak/>
              <w:t>otsused on igakülgselt põhjendatud ja nende peale võib esitada kaebuse kohtule.</w:t>
            </w:r>
          </w:p>
        </w:tc>
      </w:tr>
      <w:tr w:rsidR="003331EF" w:rsidRPr="003331EF" w14:paraId="2A7A3D4D" w14:textId="77777777" w:rsidTr="00B0424A">
        <w:tc>
          <w:tcPr>
            <w:tcW w:w="2265" w:type="dxa"/>
            <w:shd w:val="clear" w:color="auto" w:fill="FFFFFF" w:themeFill="background1"/>
          </w:tcPr>
          <w:p w14:paraId="19D526BE" w14:textId="2A5E8009" w:rsidR="00A53286" w:rsidRPr="003331EF" w:rsidRDefault="00A53286" w:rsidP="003331EF">
            <w:pPr>
              <w:spacing w:before="0"/>
              <w:rPr>
                <w:sz w:val="22"/>
                <w:szCs w:val="22"/>
                <w:highlight w:val="yellow"/>
                <w:lang w:eastAsia="en-US"/>
              </w:rPr>
            </w:pPr>
            <w:r w:rsidRPr="003331EF">
              <w:rPr>
                <w:sz w:val="22"/>
                <w:szCs w:val="22"/>
                <w:lang w:eastAsia="en-US"/>
              </w:rPr>
              <w:lastRenderedPageBreak/>
              <w:t>Art 113, lg 2</w:t>
            </w:r>
          </w:p>
        </w:tc>
        <w:tc>
          <w:tcPr>
            <w:tcW w:w="1841" w:type="dxa"/>
            <w:shd w:val="clear" w:color="auto" w:fill="FFFFFF" w:themeFill="background1"/>
          </w:tcPr>
          <w:p w14:paraId="213C054B" w14:textId="77777777" w:rsidR="00A53286" w:rsidRPr="003331EF" w:rsidRDefault="00A53286" w:rsidP="003331EF">
            <w:pPr>
              <w:spacing w:before="0"/>
              <w:rPr>
                <w:sz w:val="22"/>
                <w:szCs w:val="22"/>
                <w:highlight w:val="yellow"/>
                <w:lang w:eastAsia="en-US"/>
              </w:rPr>
            </w:pPr>
          </w:p>
        </w:tc>
        <w:tc>
          <w:tcPr>
            <w:tcW w:w="2689" w:type="dxa"/>
            <w:shd w:val="clear" w:color="auto" w:fill="FFFFFF" w:themeFill="background1"/>
          </w:tcPr>
          <w:p w14:paraId="16A3BF8D" w14:textId="630DD193" w:rsidR="00A53286" w:rsidRPr="003331EF" w:rsidRDefault="0085766A" w:rsidP="003331EF">
            <w:pPr>
              <w:spacing w:before="0"/>
              <w:rPr>
                <w:sz w:val="22"/>
                <w:szCs w:val="22"/>
                <w:lang w:eastAsia="en-US"/>
              </w:rPr>
            </w:pPr>
            <w:r w:rsidRPr="003331EF">
              <w:rPr>
                <w:sz w:val="22"/>
                <w:szCs w:val="22"/>
                <w:lang w:eastAsia="en-US"/>
              </w:rPr>
              <w:t xml:space="preserve">TKS § 19, § 21 lg 2 p </w:t>
            </w:r>
            <w:r w:rsidR="003A54B1" w:rsidRPr="003331EF">
              <w:rPr>
                <w:sz w:val="22"/>
                <w:szCs w:val="22"/>
                <w:lang w:eastAsia="en-US"/>
              </w:rPr>
              <w:t>6</w:t>
            </w:r>
            <w:r w:rsidRPr="003331EF">
              <w:rPr>
                <w:sz w:val="22"/>
                <w:szCs w:val="22"/>
                <w:lang w:eastAsia="en-US"/>
              </w:rPr>
              <w:t>, § 64</w:t>
            </w:r>
          </w:p>
        </w:tc>
        <w:tc>
          <w:tcPr>
            <w:tcW w:w="2266" w:type="dxa"/>
            <w:shd w:val="clear" w:color="auto" w:fill="FFFFFF" w:themeFill="background1"/>
          </w:tcPr>
          <w:p w14:paraId="22F84BA2" w14:textId="77777777" w:rsidR="00A53286" w:rsidRPr="003331EF" w:rsidRDefault="00A53286" w:rsidP="003331EF">
            <w:pPr>
              <w:shd w:val="clear" w:color="auto" w:fill="FFFFFF" w:themeFill="background1"/>
              <w:spacing w:before="0"/>
              <w:rPr>
                <w:sz w:val="22"/>
                <w:szCs w:val="22"/>
                <w:lang w:eastAsia="en-US"/>
              </w:rPr>
            </w:pPr>
          </w:p>
        </w:tc>
      </w:tr>
      <w:tr w:rsidR="003331EF" w:rsidRPr="003331EF" w14:paraId="36AF063C" w14:textId="77777777" w:rsidTr="00B0424A">
        <w:tc>
          <w:tcPr>
            <w:tcW w:w="2265" w:type="dxa"/>
          </w:tcPr>
          <w:p w14:paraId="3386EE9D" w14:textId="39BC718F" w:rsidR="005D3D7B" w:rsidRPr="003331EF" w:rsidRDefault="00454ADF" w:rsidP="003331EF">
            <w:pPr>
              <w:spacing w:before="0"/>
              <w:rPr>
                <w:sz w:val="22"/>
                <w:szCs w:val="22"/>
                <w:lang w:eastAsia="en-US"/>
              </w:rPr>
            </w:pPr>
            <w:r w:rsidRPr="003331EF">
              <w:rPr>
                <w:sz w:val="22"/>
                <w:szCs w:val="22"/>
                <w:lang w:eastAsia="en-US"/>
              </w:rPr>
              <w:t>Art 143</w:t>
            </w:r>
            <w:r w:rsidR="00B0424A" w:rsidRPr="003331EF">
              <w:rPr>
                <w:sz w:val="22"/>
                <w:szCs w:val="22"/>
                <w:lang w:eastAsia="en-US"/>
              </w:rPr>
              <w:t>,</w:t>
            </w:r>
            <w:r w:rsidRPr="003331EF">
              <w:rPr>
                <w:sz w:val="22"/>
                <w:szCs w:val="22"/>
                <w:lang w:eastAsia="en-US"/>
              </w:rPr>
              <w:t xml:space="preserve"> lg 3</w:t>
            </w:r>
          </w:p>
        </w:tc>
        <w:tc>
          <w:tcPr>
            <w:tcW w:w="1841" w:type="dxa"/>
          </w:tcPr>
          <w:p w14:paraId="5A7CC830" w14:textId="259B4704" w:rsidR="005D3D7B" w:rsidRPr="003331EF" w:rsidRDefault="00B0424A" w:rsidP="003331EF">
            <w:pPr>
              <w:spacing w:before="0"/>
              <w:rPr>
                <w:sz w:val="22"/>
                <w:szCs w:val="22"/>
                <w:lang w:eastAsia="en-US"/>
              </w:rPr>
            </w:pPr>
            <w:r w:rsidRPr="003331EF">
              <w:rPr>
                <w:sz w:val="22"/>
                <w:szCs w:val="22"/>
                <w:lang w:eastAsia="en-US"/>
              </w:rPr>
              <w:t>Valikuline</w:t>
            </w:r>
          </w:p>
        </w:tc>
        <w:tc>
          <w:tcPr>
            <w:tcW w:w="2689" w:type="dxa"/>
          </w:tcPr>
          <w:p w14:paraId="0018BA66" w14:textId="595960CD" w:rsidR="005D3D7B" w:rsidRPr="003331EF" w:rsidRDefault="00B81BE3" w:rsidP="003331EF">
            <w:pPr>
              <w:spacing w:before="0"/>
              <w:rPr>
                <w:sz w:val="22"/>
                <w:szCs w:val="22"/>
                <w:lang w:eastAsia="en-US"/>
              </w:rPr>
            </w:pPr>
            <w:r w:rsidRPr="003331EF">
              <w:rPr>
                <w:sz w:val="22"/>
                <w:szCs w:val="22"/>
                <w:lang w:eastAsia="en-US"/>
              </w:rPr>
              <w:t>KrüTS § 4</w:t>
            </w:r>
            <w:r w:rsidR="00010536" w:rsidRPr="003331EF">
              <w:rPr>
                <w:sz w:val="22"/>
                <w:szCs w:val="22"/>
                <w:lang w:eastAsia="en-US"/>
              </w:rPr>
              <w:t>8</w:t>
            </w:r>
            <w:r w:rsidR="00B0424A" w:rsidRPr="003331EF">
              <w:rPr>
                <w:sz w:val="22"/>
                <w:szCs w:val="22"/>
                <w:lang w:eastAsia="en-US"/>
              </w:rPr>
              <w:t xml:space="preserve"> lg 4</w:t>
            </w:r>
          </w:p>
        </w:tc>
        <w:tc>
          <w:tcPr>
            <w:tcW w:w="2266" w:type="dxa"/>
          </w:tcPr>
          <w:p w14:paraId="4FB3902E" w14:textId="4ADE0CF6" w:rsidR="005D3D7B" w:rsidRPr="00A4579B" w:rsidRDefault="00B81BE3" w:rsidP="003331EF">
            <w:pPr>
              <w:pStyle w:val="NumPar1"/>
              <w:numPr>
                <w:ilvl w:val="0"/>
                <w:numId w:val="0"/>
              </w:numPr>
              <w:spacing w:before="0" w:after="0"/>
              <w:rPr>
                <w:i/>
                <w:iCs/>
                <w:sz w:val="22"/>
                <w:szCs w:val="22"/>
                <w:lang w:val="et-EE"/>
              </w:rPr>
            </w:pPr>
            <w:r w:rsidRPr="003331EF">
              <w:rPr>
                <w:sz w:val="22"/>
                <w:szCs w:val="22"/>
                <w:lang w:val="et-EE"/>
              </w:rPr>
              <w:t>Kui liikmesriik otsu</w:t>
            </w:r>
            <w:r w:rsidR="00B0424A" w:rsidRPr="003331EF">
              <w:rPr>
                <w:sz w:val="22"/>
                <w:szCs w:val="22"/>
                <w:lang w:val="et-EE"/>
              </w:rPr>
              <w:t>s</w:t>
            </w:r>
            <w:r w:rsidRPr="003331EF">
              <w:rPr>
                <w:sz w:val="22"/>
                <w:szCs w:val="22"/>
                <w:lang w:val="et-EE"/>
              </w:rPr>
              <w:t>tab lühendada 18 kuulist üleminekuperioodi, tuleb sellest teada anda komisjonile ja ESMA-le</w:t>
            </w:r>
            <w:r w:rsidR="00B0424A" w:rsidRPr="003331EF">
              <w:rPr>
                <w:sz w:val="22"/>
                <w:szCs w:val="22"/>
                <w:lang w:val="et-EE"/>
              </w:rPr>
              <w:t>, sealjuures tuleb teada anda erandi kestus.</w:t>
            </w:r>
          </w:p>
        </w:tc>
      </w:tr>
      <w:tr w:rsidR="003331EF" w:rsidRPr="003331EF" w14:paraId="0D2967E5" w14:textId="77777777" w:rsidTr="00E043AB">
        <w:tc>
          <w:tcPr>
            <w:tcW w:w="2265" w:type="dxa"/>
          </w:tcPr>
          <w:p w14:paraId="10BFBB37" w14:textId="544584C3" w:rsidR="00A805AB" w:rsidRPr="003331EF" w:rsidRDefault="00A805AB" w:rsidP="003331EF">
            <w:pPr>
              <w:pStyle w:val="Titrearticle"/>
              <w:spacing w:before="0" w:after="0"/>
              <w:jc w:val="both"/>
              <w:rPr>
                <w:rStyle w:val="BoldItalic"/>
                <w:sz w:val="22"/>
                <w:szCs w:val="22"/>
              </w:rPr>
            </w:pPr>
            <w:r w:rsidRPr="003331EF">
              <w:rPr>
                <w:rStyle w:val="BoldItalic"/>
                <w:b w:val="0"/>
                <w:bCs/>
                <w:sz w:val="22"/>
                <w:szCs w:val="22"/>
              </w:rPr>
              <w:t>Art 146,</w:t>
            </w:r>
            <w:r w:rsidRPr="003331EF">
              <w:rPr>
                <w:rStyle w:val="BoldItalic"/>
                <w:sz w:val="22"/>
                <w:szCs w:val="22"/>
              </w:rPr>
              <w:t xml:space="preserve"> </w:t>
            </w:r>
            <w:r w:rsidRPr="003331EF">
              <w:rPr>
                <w:rStyle w:val="BoldItalic"/>
                <w:b w:val="0"/>
                <w:bCs/>
                <w:sz w:val="22"/>
                <w:szCs w:val="22"/>
              </w:rPr>
              <w:t>direktiivi 2013/36/EL muutmine</w:t>
            </w:r>
          </w:p>
          <w:p w14:paraId="267DD811" w14:textId="77777777" w:rsidR="00A805AB" w:rsidRPr="003331EF" w:rsidRDefault="00A805AB" w:rsidP="003331EF">
            <w:pPr>
              <w:spacing w:before="0"/>
              <w:rPr>
                <w:sz w:val="22"/>
                <w:szCs w:val="22"/>
                <w:highlight w:val="yellow"/>
                <w:lang w:eastAsia="en-US"/>
              </w:rPr>
            </w:pPr>
          </w:p>
        </w:tc>
        <w:tc>
          <w:tcPr>
            <w:tcW w:w="1841" w:type="dxa"/>
          </w:tcPr>
          <w:p w14:paraId="44D6C8A9" w14:textId="77777777" w:rsidR="00A805AB" w:rsidRPr="003331EF" w:rsidRDefault="00A805AB" w:rsidP="003331EF">
            <w:pPr>
              <w:spacing w:before="0"/>
              <w:rPr>
                <w:i/>
                <w:iCs/>
                <w:sz w:val="22"/>
                <w:szCs w:val="22"/>
                <w:lang w:eastAsia="en-US"/>
              </w:rPr>
            </w:pPr>
          </w:p>
        </w:tc>
        <w:tc>
          <w:tcPr>
            <w:tcW w:w="2689" w:type="dxa"/>
          </w:tcPr>
          <w:p w14:paraId="098C18CB" w14:textId="77777777" w:rsidR="00A805AB" w:rsidRPr="003331EF" w:rsidRDefault="006A167F" w:rsidP="003331EF">
            <w:pPr>
              <w:spacing w:before="0"/>
              <w:rPr>
                <w:sz w:val="22"/>
                <w:szCs w:val="22"/>
                <w:lang w:eastAsia="en-US"/>
              </w:rPr>
            </w:pPr>
            <w:r w:rsidRPr="003331EF">
              <w:rPr>
                <w:sz w:val="22"/>
                <w:szCs w:val="22"/>
                <w:lang w:eastAsia="en-US"/>
              </w:rPr>
              <w:t>KAS § 6 lg 1 p 8</w:t>
            </w:r>
            <w:r w:rsidRPr="003331EF">
              <w:rPr>
                <w:sz w:val="22"/>
                <w:szCs w:val="22"/>
                <w:vertAlign w:val="superscript"/>
                <w:lang w:eastAsia="en-US"/>
              </w:rPr>
              <w:t>1</w:t>
            </w:r>
            <w:r w:rsidRPr="003331EF">
              <w:rPr>
                <w:sz w:val="22"/>
                <w:szCs w:val="22"/>
                <w:lang w:eastAsia="en-US"/>
              </w:rPr>
              <w:t xml:space="preserve"> ja 8</w:t>
            </w:r>
            <w:r w:rsidRPr="003331EF">
              <w:rPr>
                <w:sz w:val="22"/>
                <w:szCs w:val="22"/>
                <w:vertAlign w:val="superscript"/>
                <w:lang w:eastAsia="en-US"/>
              </w:rPr>
              <w:t>2</w:t>
            </w:r>
            <w:r w:rsidRPr="003331EF">
              <w:rPr>
                <w:sz w:val="22"/>
                <w:szCs w:val="22"/>
                <w:lang w:eastAsia="en-US"/>
              </w:rPr>
              <w:t xml:space="preserve">, </w:t>
            </w:r>
          </w:p>
          <w:p w14:paraId="7EDCD5FB" w14:textId="7F5B2182" w:rsidR="006A167F" w:rsidRPr="003331EF" w:rsidRDefault="006A167F" w:rsidP="003331EF">
            <w:pPr>
              <w:spacing w:before="0"/>
              <w:rPr>
                <w:sz w:val="22"/>
                <w:szCs w:val="22"/>
                <w:lang w:eastAsia="en-US"/>
              </w:rPr>
            </w:pPr>
            <w:r w:rsidRPr="003331EF">
              <w:rPr>
                <w:sz w:val="22"/>
                <w:szCs w:val="22"/>
                <w:lang w:eastAsia="en-US"/>
              </w:rPr>
              <w:t>KAS § 21</w:t>
            </w:r>
            <w:r w:rsidRPr="003331EF">
              <w:rPr>
                <w:sz w:val="22"/>
                <w:szCs w:val="22"/>
                <w:vertAlign w:val="superscript"/>
                <w:lang w:eastAsia="en-US"/>
              </w:rPr>
              <w:t xml:space="preserve">4 </w:t>
            </w:r>
            <w:r w:rsidRPr="003331EF">
              <w:rPr>
                <w:sz w:val="22"/>
                <w:szCs w:val="22"/>
                <w:lang w:eastAsia="en-US"/>
              </w:rPr>
              <w:t>lg 1 ja § 215</w:t>
            </w:r>
            <w:r w:rsidRPr="003331EF">
              <w:rPr>
                <w:sz w:val="22"/>
                <w:szCs w:val="22"/>
                <w:vertAlign w:val="superscript"/>
                <w:lang w:eastAsia="en-US"/>
              </w:rPr>
              <w:t xml:space="preserve"> </w:t>
            </w:r>
            <w:r w:rsidRPr="003331EF">
              <w:rPr>
                <w:sz w:val="22"/>
                <w:szCs w:val="22"/>
                <w:lang w:eastAsia="en-US"/>
              </w:rPr>
              <w:t>lg 1</w:t>
            </w:r>
          </w:p>
        </w:tc>
        <w:tc>
          <w:tcPr>
            <w:tcW w:w="2266" w:type="dxa"/>
          </w:tcPr>
          <w:p w14:paraId="7909EF2C" w14:textId="051EA0DC" w:rsidR="00A805AB" w:rsidRPr="003331EF" w:rsidRDefault="00A805AB" w:rsidP="003331EF">
            <w:pPr>
              <w:spacing w:before="0"/>
              <w:rPr>
                <w:i/>
                <w:iCs/>
                <w:sz w:val="22"/>
                <w:szCs w:val="22"/>
              </w:rPr>
            </w:pPr>
            <w:r w:rsidRPr="003331EF">
              <w:rPr>
                <w:sz w:val="22"/>
                <w:szCs w:val="22"/>
                <w:lang w:eastAsia="en-US"/>
              </w:rPr>
              <w:t>Direktiivi 2013/36/EL I lisas on loetelu vastastikku tunnustavatest tegevustest. M</w:t>
            </w:r>
            <w:r w:rsidR="00BE697A">
              <w:rPr>
                <w:sz w:val="22"/>
                <w:szCs w:val="22"/>
                <w:lang w:eastAsia="en-US"/>
              </w:rPr>
              <w:t>i</w:t>
            </w:r>
            <w:r w:rsidRPr="003331EF">
              <w:rPr>
                <w:sz w:val="22"/>
                <w:szCs w:val="22"/>
                <w:lang w:eastAsia="en-US"/>
              </w:rPr>
              <w:t>CA määrusega lisatakse sinna e-raha tokeni emiteerimisele, varapõhise tokeni emiteerimisele ja krüptovarateenusele.</w:t>
            </w:r>
            <w:r w:rsidRPr="003331EF">
              <w:rPr>
                <w:sz w:val="22"/>
                <w:szCs w:val="22"/>
              </w:rPr>
              <w:t xml:space="preserve"> </w:t>
            </w:r>
          </w:p>
        </w:tc>
      </w:tr>
      <w:tr w:rsidR="00A805AB" w:rsidRPr="003331EF" w14:paraId="0C224962" w14:textId="77777777" w:rsidTr="00E043AB">
        <w:tc>
          <w:tcPr>
            <w:tcW w:w="2265" w:type="dxa"/>
          </w:tcPr>
          <w:p w14:paraId="4ED1A419" w14:textId="77777777" w:rsidR="00A805AB" w:rsidRPr="003331EF" w:rsidRDefault="00A805AB" w:rsidP="003331EF">
            <w:pPr>
              <w:pStyle w:val="Titrearticle"/>
              <w:spacing w:before="0" w:after="0"/>
              <w:jc w:val="both"/>
              <w:rPr>
                <w:i w:val="0"/>
                <w:sz w:val="22"/>
                <w:szCs w:val="22"/>
              </w:rPr>
            </w:pPr>
            <w:r w:rsidRPr="003331EF">
              <w:rPr>
                <w:i w:val="0"/>
                <w:sz w:val="22"/>
                <w:szCs w:val="22"/>
              </w:rPr>
              <w:t>Art 147, direktiivi (EL) 2019/1937 muutmine</w:t>
            </w:r>
          </w:p>
          <w:p w14:paraId="5B91316A" w14:textId="77777777" w:rsidR="00A805AB" w:rsidRPr="003331EF" w:rsidRDefault="00A805AB" w:rsidP="003331EF">
            <w:pPr>
              <w:pStyle w:val="Titrearticle"/>
              <w:spacing w:before="0" w:after="0"/>
              <w:rPr>
                <w:rStyle w:val="BoldItalic"/>
                <w:sz w:val="22"/>
                <w:szCs w:val="22"/>
              </w:rPr>
            </w:pPr>
          </w:p>
        </w:tc>
        <w:tc>
          <w:tcPr>
            <w:tcW w:w="1841" w:type="dxa"/>
          </w:tcPr>
          <w:p w14:paraId="6C21A3A5" w14:textId="77777777" w:rsidR="00A805AB" w:rsidRPr="003331EF" w:rsidRDefault="00A805AB" w:rsidP="003331EF">
            <w:pPr>
              <w:spacing w:before="0"/>
              <w:rPr>
                <w:i/>
                <w:iCs/>
                <w:sz w:val="22"/>
                <w:szCs w:val="22"/>
                <w:lang w:eastAsia="en-US"/>
              </w:rPr>
            </w:pPr>
          </w:p>
        </w:tc>
        <w:tc>
          <w:tcPr>
            <w:tcW w:w="2689" w:type="dxa"/>
          </w:tcPr>
          <w:p w14:paraId="2D9B885D" w14:textId="2B8C825A" w:rsidR="00A805AB" w:rsidRPr="003331EF" w:rsidRDefault="00A805AB" w:rsidP="003331EF">
            <w:pPr>
              <w:spacing w:before="0"/>
              <w:rPr>
                <w:sz w:val="22"/>
                <w:szCs w:val="22"/>
                <w:lang w:eastAsia="en-US"/>
              </w:rPr>
            </w:pPr>
            <w:r w:rsidRPr="003331EF">
              <w:rPr>
                <w:sz w:val="22"/>
                <w:szCs w:val="22"/>
                <w:lang w:eastAsia="en-US"/>
              </w:rPr>
              <w:t>Rikkumisest teavitaja kaitse seadus</w:t>
            </w:r>
            <w:r w:rsidR="00EC1E9F" w:rsidRPr="003331EF">
              <w:rPr>
                <w:rStyle w:val="Allmrkuseviide"/>
                <w:sz w:val="22"/>
                <w:szCs w:val="22"/>
                <w:lang w:eastAsia="en-US"/>
              </w:rPr>
              <w:footnoteReference w:id="42"/>
            </w:r>
          </w:p>
          <w:p w14:paraId="618FDF9C" w14:textId="285C92F5" w:rsidR="003A1B47" w:rsidRPr="003331EF" w:rsidRDefault="003A1B47" w:rsidP="003331EF">
            <w:pPr>
              <w:spacing w:before="0"/>
              <w:rPr>
                <w:sz w:val="22"/>
                <w:szCs w:val="22"/>
                <w:vertAlign w:val="superscript"/>
                <w:lang w:eastAsia="en-US"/>
              </w:rPr>
            </w:pPr>
          </w:p>
        </w:tc>
        <w:tc>
          <w:tcPr>
            <w:tcW w:w="2266" w:type="dxa"/>
          </w:tcPr>
          <w:p w14:paraId="67824873" w14:textId="57EAB6C9" w:rsidR="00A805AB" w:rsidRPr="003331EF" w:rsidRDefault="00FB1219" w:rsidP="003331EF">
            <w:pPr>
              <w:spacing w:before="0"/>
              <w:rPr>
                <w:sz w:val="22"/>
                <w:szCs w:val="22"/>
              </w:rPr>
            </w:pPr>
            <w:r w:rsidRPr="003331EF">
              <w:rPr>
                <w:sz w:val="22"/>
                <w:szCs w:val="22"/>
              </w:rPr>
              <w:t>M</w:t>
            </w:r>
            <w:r w:rsidR="00BE697A">
              <w:rPr>
                <w:sz w:val="22"/>
                <w:szCs w:val="22"/>
              </w:rPr>
              <w:t>i</w:t>
            </w:r>
            <w:r w:rsidRPr="003331EF">
              <w:rPr>
                <w:sz w:val="22"/>
                <w:szCs w:val="22"/>
              </w:rPr>
              <w:t>CA määruse muudatusega lisatakse direktiivi (</w:t>
            </w:r>
            <w:r w:rsidR="003A1B47" w:rsidRPr="003331EF">
              <w:rPr>
                <w:sz w:val="22"/>
                <w:szCs w:val="22"/>
              </w:rPr>
              <w:t>EL)</w:t>
            </w:r>
            <w:r w:rsidRPr="003331EF">
              <w:rPr>
                <w:sz w:val="22"/>
                <w:szCs w:val="22"/>
              </w:rPr>
              <w:t xml:space="preserve"> 2019/1937</w:t>
            </w:r>
            <w:r w:rsidR="00EC1E9F" w:rsidRPr="003331EF">
              <w:rPr>
                <w:sz w:val="22"/>
                <w:szCs w:val="22"/>
              </w:rPr>
              <w:t>, mille</w:t>
            </w:r>
            <w:r w:rsidRPr="003331EF">
              <w:rPr>
                <w:sz w:val="22"/>
                <w:szCs w:val="22"/>
              </w:rPr>
              <w:t xml:space="preserve"> kohaldamisalasse </w:t>
            </w:r>
            <w:r w:rsidR="00EC1E9F" w:rsidRPr="003331EF">
              <w:rPr>
                <w:sz w:val="22"/>
                <w:szCs w:val="22"/>
              </w:rPr>
              <w:t xml:space="preserve">jääb mh </w:t>
            </w:r>
            <w:r w:rsidRPr="003331EF">
              <w:rPr>
                <w:sz w:val="22"/>
                <w:szCs w:val="22"/>
              </w:rPr>
              <w:t>selliste isikute kaitse, kes teavitavad M</w:t>
            </w:r>
            <w:r w:rsidR="00BE697A">
              <w:rPr>
                <w:sz w:val="22"/>
                <w:szCs w:val="22"/>
              </w:rPr>
              <w:t>i</w:t>
            </w:r>
            <w:r w:rsidRPr="003331EF">
              <w:rPr>
                <w:sz w:val="22"/>
                <w:szCs w:val="22"/>
              </w:rPr>
              <w:t>CA määruse rikkumistest</w:t>
            </w:r>
            <w:r w:rsidR="003A1B47" w:rsidRPr="003331EF">
              <w:rPr>
                <w:sz w:val="22"/>
                <w:szCs w:val="22"/>
              </w:rPr>
              <w:t>.</w:t>
            </w:r>
            <w:r w:rsidR="00841B56" w:rsidRPr="003331EF">
              <w:rPr>
                <w:sz w:val="22"/>
                <w:szCs w:val="22"/>
              </w:rPr>
              <w:t xml:space="preserve"> </w:t>
            </w:r>
          </w:p>
        </w:tc>
      </w:tr>
    </w:tbl>
    <w:p w14:paraId="0722CDD7" w14:textId="14BBADE9" w:rsidR="00253A7E" w:rsidRPr="003331EF" w:rsidRDefault="00253A7E" w:rsidP="003331EF">
      <w:pPr>
        <w:spacing w:before="0"/>
        <w:rPr>
          <w:i/>
          <w:iCs/>
          <w:sz w:val="22"/>
          <w:szCs w:val="22"/>
          <w:lang w:eastAsia="en-US"/>
        </w:rPr>
      </w:pPr>
    </w:p>
    <w:p w14:paraId="7F0B755B" w14:textId="34C226EB" w:rsidR="00253A7E" w:rsidRPr="003331EF" w:rsidRDefault="00E5762E" w:rsidP="003331EF">
      <w:pPr>
        <w:spacing w:before="0"/>
        <w:jc w:val="left"/>
        <w:rPr>
          <w:i/>
          <w:iCs/>
          <w:sz w:val="22"/>
          <w:szCs w:val="22"/>
          <w:lang w:eastAsia="en-US"/>
        </w:rPr>
      </w:pPr>
      <w:r w:rsidRPr="003331EF">
        <w:rPr>
          <w:i/>
          <w:iCs/>
          <w:sz w:val="22"/>
          <w:szCs w:val="22"/>
          <w:lang w:eastAsia="en-US"/>
        </w:rPr>
        <w:br w:type="page"/>
      </w:r>
    </w:p>
    <w:p w14:paraId="1651A71E" w14:textId="05EEE5B5" w:rsidR="00E5762E" w:rsidRPr="003331EF" w:rsidRDefault="00E5762E" w:rsidP="003331EF">
      <w:pPr>
        <w:spacing w:before="0"/>
        <w:rPr>
          <w:b/>
          <w:lang w:eastAsia="en-US"/>
        </w:rPr>
      </w:pPr>
      <w:bookmarkStart w:id="129" w:name="_Hlk138866500"/>
      <w:r w:rsidRPr="003331EF">
        <w:rPr>
          <w:b/>
          <w:lang w:eastAsia="en-US"/>
        </w:rPr>
        <w:lastRenderedPageBreak/>
        <w:t>Euroopa Parlamendi ja nõukogu määruse (EL) 2023/1113 ja Eesti õigusaktide vastavustabel</w:t>
      </w:r>
    </w:p>
    <w:p w14:paraId="5584E145" w14:textId="77777777" w:rsidR="00E5762E" w:rsidRPr="003331EF" w:rsidRDefault="00E5762E" w:rsidP="003331EF">
      <w:pPr>
        <w:spacing w:before="0"/>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563"/>
        <w:gridCol w:w="2869"/>
        <w:gridCol w:w="2899"/>
      </w:tblGrid>
      <w:tr w:rsidR="003331EF" w:rsidRPr="003331EF" w14:paraId="4DBE2726" w14:textId="77777777" w:rsidTr="00E102BB">
        <w:tc>
          <w:tcPr>
            <w:tcW w:w="1731" w:type="dxa"/>
          </w:tcPr>
          <w:bookmarkEnd w:id="129"/>
          <w:p w14:paraId="03709855" w14:textId="77777777" w:rsidR="00B1453B" w:rsidRPr="003331EF" w:rsidRDefault="00B1453B" w:rsidP="003331EF">
            <w:pPr>
              <w:spacing w:before="0"/>
              <w:rPr>
                <w:b/>
                <w:sz w:val="22"/>
                <w:szCs w:val="22"/>
                <w:lang w:eastAsia="en-US"/>
              </w:rPr>
            </w:pPr>
            <w:r w:rsidRPr="003331EF">
              <w:rPr>
                <w:b/>
                <w:sz w:val="22"/>
                <w:szCs w:val="22"/>
                <w:lang w:eastAsia="en-US"/>
              </w:rPr>
              <w:t>EL õigusakti norm</w:t>
            </w:r>
          </w:p>
        </w:tc>
        <w:tc>
          <w:tcPr>
            <w:tcW w:w="1563" w:type="dxa"/>
          </w:tcPr>
          <w:p w14:paraId="1190A01E" w14:textId="77777777" w:rsidR="00B1453B" w:rsidRPr="003331EF" w:rsidRDefault="00B1453B" w:rsidP="003331EF">
            <w:pPr>
              <w:spacing w:before="0"/>
              <w:rPr>
                <w:b/>
                <w:sz w:val="22"/>
                <w:szCs w:val="22"/>
                <w:lang w:eastAsia="en-US"/>
              </w:rPr>
            </w:pPr>
            <w:r w:rsidRPr="003331EF">
              <w:rPr>
                <w:b/>
                <w:sz w:val="22"/>
                <w:szCs w:val="22"/>
                <w:lang w:eastAsia="en-US"/>
              </w:rPr>
              <w:t>EL õigusakti normi ülevõtmise kohustus</w:t>
            </w:r>
          </w:p>
        </w:tc>
        <w:tc>
          <w:tcPr>
            <w:tcW w:w="2869" w:type="dxa"/>
          </w:tcPr>
          <w:p w14:paraId="745B4AF4" w14:textId="77777777" w:rsidR="00B1453B" w:rsidRPr="003331EF" w:rsidRDefault="00B1453B" w:rsidP="003331EF">
            <w:pPr>
              <w:spacing w:before="0"/>
              <w:rPr>
                <w:b/>
                <w:sz w:val="22"/>
                <w:szCs w:val="22"/>
                <w:lang w:eastAsia="en-US"/>
              </w:rPr>
            </w:pPr>
            <w:r w:rsidRPr="003331EF">
              <w:rPr>
                <w:b/>
                <w:sz w:val="22"/>
                <w:szCs w:val="22"/>
                <w:lang w:eastAsia="en-US"/>
              </w:rPr>
              <w:t>EL õigusakti normi sisuliseks rakendamiseks kehtestatavad/kohaldatavad riigisisesed õigusaktid</w:t>
            </w:r>
          </w:p>
        </w:tc>
        <w:tc>
          <w:tcPr>
            <w:tcW w:w="2899" w:type="dxa"/>
          </w:tcPr>
          <w:p w14:paraId="6D576B59" w14:textId="77777777" w:rsidR="00B1453B" w:rsidRPr="003331EF" w:rsidRDefault="00B1453B" w:rsidP="003331EF">
            <w:pPr>
              <w:spacing w:before="0"/>
              <w:rPr>
                <w:b/>
                <w:sz w:val="22"/>
                <w:szCs w:val="22"/>
                <w:lang w:eastAsia="en-US"/>
              </w:rPr>
            </w:pPr>
            <w:r w:rsidRPr="003331EF">
              <w:rPr>
                <w:b/>
                <w:sz w:val="22"/>
                <w:szCs w:val="22"/>
                <w:lang w:eastAsia="en-US"/>
              </w:rPr>
              <w:t>Kommentaarid</w:t>
            </w:r>
          </w:p>
        </w:tc>
      </w:tr>
      <w:tr w:rsidR="003331EF" w:rsidRPr="003331EF" w14:paraId="6BD0CA2B" w14:textId="77777777" w:rsidTr="00E102BB">
        <w:tc>
          <w:tcPr>
            <w:tcW w:w="1731" w:type="dxa"/>
            <w:shd w:val="clear" w:color="auto" w:fill="FFFFFF" w:themeFill="background1"/>
          </w:tcPr>
          <w:p w14:paraId="12F0B35A" w14:textId="77777777" w:rsidR="00B1453B" w:rsidRPr="003331EF" w:rsidRDefault="00B1453B" w:rsidP="003331EF">
            <w:pPr>
              <w:spacing w:before="0"/>
              <w:rPr>
                <w:i/>
                <w:iCs/>
                <w:sz w:val="22"/>
                <w:szCs w:val="22"/>
                <w:lang w:eastAsia="en-US"/>
              </w:rPr>
            </w:pPr>
            <w:r w:rsidRPr="003331EF">
              <w:rPr>
                <w:sz w:val="22"/>
                <w:szCs w:val="22"/>
              </w:rPr>
              <w:t>Art 2 lg 5</w:t>
            </w:r>
          </w:p>
        </w:tc>
        <w:tc>
          <w:tcPr>
            <w:tcW w:w="1563" w:type="dxa"/>
            <w:shd w:val="clear" w:color="auto" w:fill="FFFFFF" w:themeFill="background1"/>
          </w:tcPr>
          <w:p w14:paraId="371D2F4E" w14:textId="77777777" w:rsidR="00B1453B" w:rsidRPr="003331EF" w:rsidRDefault="00B1453B" w:rsidP="003331EF">
            <w:pPr>
              <w:spacing w:before="0"/>
              <w:rPr>
                <w:sz w:val="22"/>
                <w:szCs w:val="22"/>
                <w:lang w:eastAsia="en-US"/>
              </w:rPr>
            </w:pPr>
            <w:r w:rsidRPr="003331EF">
              <w:rPr>
                <w:sz w:val="22"/>
                <w:szCs w:val="22"/>
                <w:lang w:eastAsia="en-US"/>
              </w:rPr>
              <w:t>Valikuline</w:t>
            </w:r>
          </w:p>
        </w:tc>
        <w:tc>
          <w:tcPr>
            <w:tcW w:w="2869" w:type="dxa"/>
            <w:shd w:val="clear" w:color="auto" w:fill="FFFFFF" w:themeFill="background1"/>
          </w:tcPr>
          <w:p w14:paraId="75AC923C" w14:textId="77777777" w:rsidR="00B1453B" w:rsidRPr="003331EF" w:rsidRDefault="00B1453B" w:rsidP="003331EF">
            <w:pPr>
              <w:spacing w:before="0"/>
              <w:rPr>
                <w:sz w:val="22"/>
                <w:szCs w:val="22"/>
                <w:lang w:eastAsia="en-US"/>
              </w:rPr>
            </w:pPr>
          </w:p>
        </w:tc>
        <w:tc>
          <w:tcPr>
            <w:tcW w:w="2899" w:type="dxa"/>
            <w:shd w:val="clear" w:color="auto" w:fill="FFFFFF" w:themeFill="background1"/>
          </w:tcPr>
          <w:p w14:paraId="7872EBE6" w14:textId="77777777" w:rsidR="00B1453B" w:rsidRPr="003331EF" w:rsidRDefault="00B1453B" w:rsidP="003331EF">
            <w:pPr>
              <w:shd w:val="clear" w:color="auto" w:fill="FFFFFF" w:themeFill="background1"/>
              <w:spacing w:before="0"/>
              <w:rPr>
                <w:sz w:val="22"/>
                <w:szCs w:val="22"/>
                <w:lang w:eastAsia="en-US"/>
              </w:rPr>
            </w:pPr>
            <w:r w:rsidRPr="003331EF">
              <w:rPr>
                <w:sz w:val="22"/>
                <w:szCs w:val="22"/>
                <w:lang w:eastAsia="en-US"/>
              </w:rPr>
              <w:t>Vastava erandi tegemise võimalus on ka kehtivas samasisulises määruses, kuid seda pole kasutatud</w:t>
            </w:r>
          </w:p>
        </w:tc>
      </w:tr>
      <w:tr w:rsidR="003331EF" w:rsidRPr="003331EF" w14:paraId="4C167DF8" w14:textId="77777777" w:rsidTr="00E102BB">
        <w:tc>
          <w:tcPr>
            <w:tcW w:w="1731" w:type="dxa"/>
            <w:shd w:val="clear" w:color="auto" w:fill="FFFFFF" w:themeFill="background1"/>
          </w:tcPr>
          <w:p w14:paraId="43E8B7F3" w14:textId="77777777" w:rsidR="00B1453B" w:rsidRPr="003331EF" w:rsidRDefault="00B1453B" w:rsidP="003331EF">
            <w:pPr>
              <w:spacing w:before="0"/>
              <w:rPr>
                <w:sz w:val="22"/>
                <w:szCs w:val="22"/>
                <w:lang w:eastAsia="en-US"/>
              </w:rPr>
            </w:pPr>
            <w:r w:rsidRPr="003331EF">
              <w:rPr>
                <w:sz w:val="22"/>
                <w:szCs w:val="22"/>
                <w:lang w:eastAsia="en-US"/>
              </w:rPr>
              <w:t>Art 26 lg 2</w:t>
            </w:r>
          </w:p>
        </w:tc>
        <w:tc>
          <w:tcPr>
            <w:tcW w:w="1563" w:type="dxa"/>
            <w:shd w:val="clear" w:color="auto" w:fill="FFFFFF" w:themeFill="background1"/>
          </w:tcPr>
          <w:p w14:paraId="51E5C782" w14:textId="77777777" w:rsidR="00B1453B" w:rsidRPr="003331EF" w:rsidRDefault="00B1453B" w:rsidP="003331EF">
            <w:pPr>
              <w:spacing w:before="0"/>
              <w:rPr>
                <w:sz w:val="22"/>
                <w:szCs w:val="22"/>
                <w:lang w:eastAsia="en-US"/>
              </w:rPr>
            </w:pPr>
            <w:r w:rsidRPr="003331EF">
              <w:rPr>
                <w:sz w:val="22"/>
                <w:szCs w:val="22"/>
                <w:lang w:eastAsia="en-US"/>
              </w:rPr>
              <w:t>Valikuline</w:t>
            </w:r>
          </w:p>
        </w:tc>
        <w:tc>
          <w:tcPr>
            <w:tcW w:w="2869" w:type="dxa"/>
            <w:shd w:val="clear" w:color="auto" w:fill="FFFFFF" w:themeFill="background1"/>
          </w:tcPr>
          <w:p w14:paraId="7723A515" w14:textId="77777777" w:rsidR="00B1453B" w:rsidRPr="003331EF" w:rsidRDefault="00B1453B" w:rsidP="003331EF">
            <w:pPr>
              <w:spacing w:before="0"/>
              <w:rPr>
                <w:sz w:val="22"/>
                <w:szCs w:val="22"/>
                <w:lang w:eastAsia="en-US"/>
              </w:rPr>
            </w:pPr>
            <w:r w:rsidRPr="003331EF">
              <w:rPr>
                <w:sz w:val="22"/>
                <w:szCs w:val="22"/>
                <w:lang w:eastAsia="en-US"/>
              </w:rPr>
              <w:t>RahaPTS § 46 lg 3 p 7 ja § 47 lg 7</w:t>
            </w:r>
          </w:p>
        </w:tc>
        <w:tc>
          <w:tcPr>
            <w:tcW w:w="2899" w:type="dxa"/>
            <w:shd w:val="clear" w:color="auto" w:fill="FFFFFF" w:themeFill="background1"/>
          </w:tcPr>
          <w:p w14:paraId="2D81152F" w14:textId="77777777" w:rsidR="00B1453B" w:rsidRPr="003331EF" w:rsidRDefault="00B1453B" w:rsidP="003331EF">
            <w:pPr>
              <w:shd w:val="clear" w:color="auto" w:fill="FFFFFF" w:themeFill="background1"/>
              <w:spacing w:before="0"/>
              <w:rPr>
                <w:sz w:val="22"/>
                <w:szCs w:val="22"/>
                <w:lang w:eastAsia="en-US"/>
              </w:rPr>
            </w:pPr>
            <w:r w:rsidRPr="003331EF">
              <w:rPr>
                <w:sz w:val="22"/>
                <w:szCs w:val="22"/>
                <w:lang w:eastAsia="en-US"/>
              </w:rPr>
              <w:t>Liikmesriigi õigus vajadusel nõuda andmete pikemat säilitamist.</w:t>
            </w:r>
          </w:p>
        </w:tc>
      </w:tr>
      <w:tr w:rsidR="003331EF" w:rsidRPr="003331EF" w14:paraId="7ACEABB9" w14:textId="77777777" w:rsidTr="00E102BB">
        <w:tc>
          <w:tcPr>
            <w:tcW w:w="1731" w:type="dxa"/>
            <w:shd w:val="clear" w:color="auto" w:fill="FFFFFF" w:themeFill="background1"/>
          </w:tcPr>
          <w:p w14:paraId="15EB8164" w14:textId="77777777" w:rsidR="00B1453B" w:rsidRPr="003331EF" w:rsidRDefault="00B1453B" w:rsidP="003331EF">
            <w:pPr>
              <w:spacing w:before="0"/>
              <w:rPr>
                <w:sz w:val="22"/>
                <w:szCs w:val="22"/>
              </w:rPr>
            </w:pPr>
            <w:r w:rsidRPr="003331EF">
              <w:rPr>
                <w:sz w:val="22"/>
                <w:szCs w:val="22"/>
                <w:lang w:eastAsia="en-US"/>
              </w:rPr>
              <w:t>Art 28 lg 1</w:t>
            </w:r>
          </w:p>
        </w:tc>
        <w:tc>
          <w:tcPr>
            <w:tcW w:w="1563" w:type="dxa"/>
            <w:shd w:val="clear" w:color="auto" w:fill="FFFFFF" w:themeFill="background1"/>
          </w:tcPr>
          <w:p w14:paraId="06CF9B32" w14:textId="77777777" w:rsidR="00B1453B" w:rsidRPr="003331EF" w:rsidRDefault="00B1453B" w:rsidP="003331EF">
            <w:pPr>
              <w:spacing w:before="0"/>
              <w:rPr>
                <w:sz w:val="22"/>
                <w:szCs w:val="22"/>
                <w:lang w:eastAsia="en-US"/>
              </w:rPr>
            </w:pPr>
            <w:r w:rsidRPr="003331EF">
              <w:rPr>
                <w:sz w:val="22"/>
                <w:szCs w:val="22"/>
                <w:lang w:eastAsia="en-US"/>
              </w:rPr>
              <w:t>Jah</w:t>
            </w:r>
          </w:p>
        </w:tc>
        <w:tc>
          <w:tcPr>
            <w:tcW w:w="2869" w:type="dxa"/>
            <w:shd w:val="clear" w:color="auto" w:fill="FFFFFF" w:themeFill="background1"/>
          </w:tcPr>
          <w:p w14:paraId="658173AD" w14:textId="256FD9D5" w:rsidR="00B1453B" w:rsidRPr="003331EF" w:rsidRDefault="00B1453B" w:rsidP="003331EF">
            <w:pPr>
              <w:spacing w:before="0"/>
              <w:rPr>
                <w:sz w:val="22"/>
                <w:szCs w:val="22"/>
                <w:lang w:eastAsia="en-US"/>
              </w:rPr>
            </w:pPr>
            <w:r w:rsidRPr="003331EF">
              <w:rPr>
                <w:sz w:val="22"/>
                <w:szCs w:val="22"/>
                <w:lang w:eastAsia="en-US"/>
              </w:rPr>
              <w:t xml:space="preserve">KrüTS </w:t>
            </w:r>
            <w:r w:rsidR="001771C8" w:rsidRPr="003331EF">
              <w:rPr>
                <w:sz w:val="22"/>
                <w:szCs w:val="22"/>
                <w:lang w:eastAsia="en-US"/>
              </w:rPr>
              <w:t>7</w:t>
            </w:r>
            <w:r w:rsidRPr="003331EF">
              <w:rPr>
                <w:sz w:val="22"/>
                <w:szCs w:val="22"/>
                <w:lang w:eastAsia="en-US"/>
              </w:rPr>
              <w:t xml:space="preserve">. ptk </w:t>
            </w:r>
          </w:p>
          <w:p w14:paraId="323F9BA0" w14:textId="006318CC" w:rsidR="00B1453B" w:rsidRPr="003331EF" w:rsidRDefault="00B1453B" w:rsidP="003331EF">
            <w:pPr>
              <w:spacing w:before="0"/>
              <w:rPr>
                <w:sz w:val="22"/>
                <w:szCs w:val="22"/>
                <w:vertAlign w:val="superscript"/>
                <w:lang w:eastAsia="en-US"/>
              </w:rPr>
            </w:pPr>
            <w:r w:rsidRPr="003331EF">
              <w:rPr>
                <w:sz w:val="22"/>
                <w:szCs w:val="22"/>
                <w:lang w:eastAsia="en-US"/>
              </w:rPr>
              <w:t>RahaPTS § 96</w:t>
            </w:r>
            <w:r w:rsidR="001771C8" w:rsidRPr="003331EF">
              <w:rPr>
                <w:sz w:val="22"/>
                <w:szCs w:val="22"/>
                <w:lang w:eastAsia="en-US"/>
              </w:rPr>
              <w:t xml:space="preserve"> ja 96</w:t>
            </w:r>
            <w:r w:rsidR="001771C8" w:rsidRPr="003331EF">
              <w:rPr>
                <w:sz w:val="22"/>
                <w:szCs w:val="22"/>
                <w:vertAlign w:val="superscript"/>
                <w:lang w:eastAsia="en-US"/>
              </w:rPr>
              <w:t>2</w:t>
            </w:r>
          </w:p>
        </w:tc>
        <w:tc>
          <w:tcPr>
            <w:tcW w:w="2899" w:type="dxa"/>
            <w:shd w:val="clear" w:color="auto" w:fill="FFFFFF" w:themeFill="background1"/>
          </w:tcPr>
          <w:p w14:paraId="4D42128E" w14:textId="77777777" w:rsidR="00B1453B" w:rsidRPr="003331EF" w:rsidRDefault="00B1453B" w:rsidP="003331EF">
            <w:pPr>
              <w:shd w:val="clear" w:color="auto" w:fill="FFFFFF" w:themeFill="background1"/>
              <w:spacing w:before="0"/>
              <w:rPr>
                <w:sz w:val="22"/>
                <w:szCs w:val="22"/>
                <w:lang w:eastAsia="en-US"/>
              </w:rPr>
            </w:pPr>
            <w:r w:rsidRPr="003331EF">
              <w:rPr>
                <w:sz w:val="22"/>
                <w:szCs w:val="22"/>
                <w:lang w:eastAsia="en-US"/>
              </w:rPr>
              <w:t>Halduskaristuste ja meetmete kehtestamine</w:t>
            </w:r>
          </w:p>
        </w:tc>
      </w:tr>
      <w:tr w:rsidR="003331EF" w:rsidRPr="003331EF" w14:paraId="7A80053E" w14:textId="77777777" w:rsidTr="00E102BB">
        <w:tc>
          <w:tcPr>
            <w:tcW w:w="1731" w:type="dxa"/>
            <w:shd w:val="clear" w:color="auto" w:fill="FFFFFF" w:themeFill="background1"/>
          </w:tcPr>
          <w:p w14:paraId="659EC5C0" w14:textId="77777777" w:rsidR="00B1453B" w:rsidRPr="003331EF" w:rsidRDefault="00B1453B" w:rsidP="003331EF">
            <w:pPr>
              <w:spacing w:before="0"/>
              <w:rPr>
                <w:sz w:val="22"/>
                <w:szCs w:val="22"/>
              </w:rPr>
            </w:pPr>
            <w:r w:rsidRPr="003331EF">
              <w:rPr>
                <w:sz w:val="22"/>
                <w:szCs w:val="22"/>
                <w:lang w:eastAsia="en-US"/>
              </w:rPr>
              <w:t>Art 28 lg 2, 5 ja 6</w:t>
            </w:r>
          </w:p>
        </w:tc>
        <w:tc>
          <w:tcPr>
            <w:tcW w:w="1563" w:type="dxa"/>
            <w:shd w:val="clear" w:color="auto" w:fill="FFFFFF" w:themeFill="background1"/>
          </w:tcPr>
          <w:p w14:paraId="1715462C" w14:textId="77777777" w:rsidR="00B1453B" w:rsidRPr="003331EF" w:rsidRDefault="00B1453B" w:rsidP="003331EF">
            <w:pPr>
              <w:spacing w:before="0"/>
              <w:rPr>
                <w:sz w:val="22"/>
                <w:szCs w:val="22"/>
                <w:lang w:eastAsia="en-US"/>
              </w:rPr>
            </w:pPr>
            <w:r w:rsidRPr="003331EF">
              <w:rPr>
                <w:sz w:val="22"/>
                <w:szCs w:val="22"/>
                <w:lang w:eastAsia="en-US"/>
              </w:rPr>
              <w:t>Jah</w:t>
            </w:r>
          </w:p>
        </w:tc>
        <w:tc>
          <w:tcPr>
            <w:tcW w:w="2869" w:type="dxa"/>
            <w:shd w:val="clear" w:color="auto" w:fill="FFFFFF" w:themeFill="background1"/>
          </w:tcPr>
          <w:p w14:paraId="2631BD49" w14:textId="77777777" w:rsidR="00B1453B" w:rsidRPr="003331EF" w:rsidRDefault="00B1453B" w:rsidP="003331EF">
            <w:pPr>
              <w:spacing w:before="0"/>
              <w:rPr>
                <w:sz w:val="22"/>
                <w:szCs w:val="22"/>
                <w:vertAlign w:val="superscript"/>
                <w:lang w:eastAsia="en-US"/>
              </w:rPr>
            </w:pPr>
            <w:r w:rsidRPr="003331EF">
              <w:rPr>
                <w:sz w:val="22"/>
                <w:szCs w:val="22"/>
                <w:lang w:eastAsia="en-US"/>
              </w:rPr>
              <w:t>RahaPTS § 66 lg 2 p 2, § 96</w:t>
            </w:r>
            <w:r w:rsidRPr="003331EF">
              <w:rPr>
                <w:sz w:val="22"/>
                <w:szCs w:val="22"/>
                <w:vertAlign w:val="superscript"/>
                <w:lang w:eastAsia="en-US"/>
              </w:rPr>
              <w:t>1</w:t>
            </w:r>
          </w:p>
          <w:p w14:paraId="5D374EF1" w14:textId="77777777" w:rsidR="00B1453B" w:rsidRPr="003331EF" w:rsidRDefault="00B1453B" w:rsidP="003331EF">
            <w:pPr>
              <w:spacing w:before="0"/>
              <w:rPr>
                <w:sz w:val="22"/>
                <w:szCs w:val="22"/>
                <w:lang w:eastAsia="en-US"/>
              </w:rPr>
            </w:pPr>
            <w:r w:rsidRPr="003331EF">
              <w:rPr>
                <w:sz w:val="22"/>
                <w:szCs w:val="22"/>
                <w:lang w:eastAsia="en-US"/>
              </w:rPr>
              <w:t xml:space="preserve">KarS § 14 lg 1-3 </w:t>
            </w:r>
          </w:p>
        </w:tc>
        <w:tc>
          <w:tcPr>
            <w:tcW w:w="2899" w:type="dxa"/>
            <w:shd w:val="clear" w:color="auto" w:fill="FFFFFF" w:themeFill="background1"/>
          </w:tcPr>
          <w:p w14:paraId="2DDC60F3" w14:textId="77777777" w:rsidR="00B1453B" w:rsidRPr="003331EF" w:rsidRDefault="00B1453B" w:rsidP="003331EF">
            <w:pPr>
              <w:shd w:val="clear" w:color="auto" w:fill="FFFFFF" w:themeFill="background1"/>
              <w:spacing w:before="0"/>
              <w:rPr>
                <w:sz w:val="22"/>
                <w:szCs w:val="22"/>
                <w:lang w:eastAsia="en-US"/>
              </w:rPr>
            </w:pPr>
            <w:r w:rsidRPr="003331EF">
              <w:rPr>
                <w:sz w:val="22"/>
                <w:szCs w:val="22"/>
                <w:lang w:eastAsia="en-US"/>
              </w:rPr>
              <w:t>Juhtorgani liikmete ja töötajate vastutus</w:t>
            </w:r>
          </w:p>
        </w:tc>
      </w:tr>
      <w:tr w:rsidR="003331EF" w:rsidRPr="003331EF" w14:paraId="122A9F5D" w14:textId="77777777" w:rsidTr="00E102BB">
        <w:tc>
          <w:tcPr>
            <w:tcW w:w="1731" w:type="dxa"/>
            <w:shd w:val="clear" w:color="auto" w:fill="FFFFFF" w:themeFill="background1"/>
          </w:tcPr>
          <w:p w14:paraId="1C5619DB" w14:textId="77777777" w:rsidR="00B1453B" w:rsidRPr="003331EF" w:rsidRDefault="00B1453B" w:rsidP="003331EF">
            <w:pPr>
              <w:spacing w:before="0"/>
              <w:rPr>
                <w:sz w:val="22"/>
                <w:szCs w:val="22"/>
                <w:highlight w:val="yellow"/>
              </w:rPr>
            </w:pPr>
            <w:r w:rsidRPr="003331EF">
              <w:rPr>
                <w:sz w:val="22"/>
                <w:szCs w:val="22"/>
                <w:lang w:eastAsia="en-US"/>
              </w:rPr>
              <w:t>Art 28 lg 4</w:t>
            </w:r>
          </w:p>
        </w:tc>
        <w:tc>
          <w:tcPr>
            <w:tcW w:w="1563" w:type="dxa"/>
            <w:shd w:val="clear" w:color="auto" w:fill="FFFFFF" w:themeFill="background1"/>
          </w:tcPr>
          <w:p w14:paraId="2E2AA3A0" w14:textId="77777777" w:rsidR="00B1453B" w:rsidRPr="003331EF" w:rsidRDefault="00B1453B" w:rsidP="003331EF">
            <w:pPr>
              <w:spacing w:before="0"/>
              <w:rPr>
                <w:sz w:val="22"/>
                <w:szCs w:val="22"/>
                <w:highlight w:val="yellow"/>
                <w:lang w:eastAsia="en-US"/>
              </w:rPr>
            </w:pPr>
            <w:r w:rsidRPr="003331EF">
              <w:rPr>
                <w:sz w:val="22"/>
                <w:szCs w:val="22"/>
                <w:lang w:eastAsia="en-US"/>
              </w:rPr>
              <w:t>Jah</w:t>
            </w:r>
          </w:p>
        </w:tc>
        <w:tc>
          <w:tcPr>
            <w:tcW w:w="2869" w:type="dxa"/>
            <w:shd w:val="clear" w:color="auto" w:fill="FFFFFF" w:themeFill="background1"/>
          </w:tcPr>
          <w:p w14:paraId="34D40C63" w14:textId="77777777" w:rsidR="00B1453B" w:rsidRPr="003331EF" w:rsidRDefault="00B1453B" w:rsidP="003331EF">
            <w:pPr>
              <w:spacing w:before="0"/>
              <w:rPr>
                <w:sz w:val="22"/>
                <w:szCs w:val="22"/>
                <w:lang w:eastAsia="en-US"/>
              </w:rPr>
            </w:pPr>
            <w:r w:rsidRPr="003331EF">
              <w:rPr>
                <w:sz w:val="22"/>
                <w:szCs w:val="22"/>
                <w:lang w:eastAsia="en-US"/>
              </w:rPr>
              <w:t>RahaPTS § 64 lg 2 ja 5-7, § 66, § 67</w:t>
            </w:r>
          </w:p>
          <w:p w14:paraId="45EC14F2" w14:textId="77777777" w:rsidR="00B1453B" w:rsidRPr="003331EF" w:rsidRDefault="00B1453B" w:rsidP="003331EF">
            <w:pPr>
              <w:spacing w:before="0"/>
              <w:rPr>
                <w:sz w:val="22"/>
                <w:szCs w:val="22"/>
                <w:lang w:eastAsia="en-US"/>
              </w:rPr>
            </w:pPr>
            <w:r w:rsidRPr="003331EF">
              <w:rPr>
                <w:sz w:val="22"/>
                <w:szCs w:val="22"/>
                <w:lang w:eastAsia="en-US"/>
              </w:rPr>
              <w:t>FIS § 6 lg 4, 46, 46</w:t>
            </w:r>
            <w:r w:rsidRPr="003331EF">
              <w:rPr>
                <w:sz w:val="22"/>
                <w:szCs w:val="22"/>
                <w:vertAlign w:val="superscript"/>
                <w:lang w:eastAsia="en-US"/>
              </w:rPr>
              <w:t>2</w:t>
            </w:r>
            <w:r w:rsidRPr="003331EF">
              <w:rPr>
                <w:sz w:val="22"/>
                <w:szCs w:val="22"/>
                <w:lang w:eastAsia="en-US"/>
              </w:rPr>
              <w:t>, 47</w:t>
            </w:r>
            <w:r w:rsidRPr="003331EF">
              <w:rPr>
                <w:sz w:val="22"/>
                <w:szCs w:val="22"/>
                <w:vertAlign w:val="superscript"/>
                <w:lang w:eastAsia="en-US"/>
              </w:rPr>
              <w:t>9</w:t>
            </w:r>
            <w:r w:rsidRPr="003331EF">
              <w:rPr>
                <w:sz w:val="22"/>
                <w:szCs w:val="22"/>
                <w:lang w:eastAsia="en-US"/>
              </w:rPr>
              <w:t>, 48</w:t>
            </w:r>
          </w:p>
          <w:p w14:paraId="0CEC5FBC" w14:textId="0FA738F3" w:rsidR="00B1453B" w:rsidRPr="003331EF" w:rsidRDefault="00B1453B" w:rsidP="003331EF">
            <w:pPr>
              <w:spacing w:before="0"/>
              <w:rPr>
                <w:sz w:val="22"/>
                <w:szCs w:val="22"/>
                <w:lang w:eastAsia="en-US"/>
              </w:rPr>
            </w:pPr>
            <w:r w:rsidRPr="003331EF">
              <w:rPr>
                <w:sz w:val="22"/>
                <w:szCs w:val="22"/>
                <w:lang w:eastAsia="en-US"/>
              </w:rPr>
              <w:t>KrüTS § 2</w:t>
            </w:r>
            <w:r w:rsidR="00AF140D" w:rsidRPr="003331EF">
              <w:rPr>
                <w:sz w:val="22"/>
                <w:szCs w:val="22"/>
                <w:lang w:eastAsia="en-US"/>
              </w:rPr>
              <w:t>5</w:t>
            </w:r>
          </w:p>
        </w:tc>
        <w:tc>
          <w:tcPr>
            <w:tcW w:w="2899" w:type="dxa"/>
            <w:shd w:val="clear" w:color="auto" w:fill="FFFFFF" w:themeFill="background1"/>
          </w:tcPr>
          <w:p w14:paraId="63215E46" w14:textId="77777777" w:rsidR="00B1453B" w:rsidRPr="003331EF" w:rsidRDefault="00B1453B" w:rsidP="003331EF">
            <w:pPr>
              <w:shd w:val="clear" w:color="auto" w:fill="FFFFFF" w:themeFill="background1"/>
              <w:spacing w:before="0"/>
              <w:rPr>
                <w:sz w:val="22"/>
                <w:szCs w:val="22"/>
                <w:lang w:eastAsia="en-US"/>
              </w:rPr>
            </w:pPr>
            <w:r w:rsidRPr="003331EF">
              <w:rPr>
                <w:sz w:val="22"/>
                <w:szCs w:val="22"/>
                <w:lang w:eastAsia="en-US"/>
              </w:rPr>
              <w:t>Asutustel on ülesannete täitmiseks vajalikud järelevalve- ja uurimisvolitused</w:t>
            </w:r>
          </w:p>
        </w:tc>
      </w:tr>
      <w:tr w:rsidR="003331EF" w:rsidRPr="003331EF" w14:paraId="3A578451" w14:textId="77777777" w:rsidTr="00E102BB">
        <w:tc>
          <w:tcPr>
            <w:tcW w:w="1731" w:type="dxa"/>
            <w:shd w:val="clear" w:color="auto" w:fill="FFFFFF" w:themeFill="background1"/>
          </w:tcPr>
          <w:p w14:paraId="083076E6" w14:textId="77777777" w:rsidR="00B1453B" w:rsidRPr="003331EF" w:rsidRDefault="00B1453B" w:rsidP="003331EF">
            <w:pPr>
              <w:spacing w:before="0"/>
              <w:rPr>
                <w:sz w:val="22"/>
                <w:szCs w:val="22"/>
                <w:highlight w:val="yellow"/>
                <w:lang w:eastAsia="en-US"/>
              </w:rPr>
            </w:pPr>
            <w:r w:rsidRPr="003331EF">
              <w:rPr>
                <w:sz w:val="22"/>
                <w:szCs w:val="22"/>
                <w:lang w:eastAsia="en-US"/>
              </w:rPr>
              <w:t>Art 28 lg 7</w:t>
            </w:r>
          </w:p>
        </w:tc>
        <w:tc>
          <w:tcPr>
            <w:tcW w:w="1563" w:type="dxa"/>
            <w:shd w:val="clear" w:color="auto" w:fill="FFFFFF" w:themeFill="background1"/>
          </w:tcPr>
          <w:p w14:paraId="464E0D4D" w14:textId="77777777" w:rsidR="00B1453B" w:rsidRPr="003331EF" w:rsidRDefault="00B1453B" w:rsidP="003331EF">
            <w:pPr>
              <w:spacing w:before="0"/>
              <w:rPr>
                <w:sz w:val="22"/>
                <w:szCs w:val="22"/>
                <w:highlight w:val="yellow"/>
                <w:lang w:eastAsia="en-US"/>
              </w:rPr>
            </w:pPr>
            <w:r w:rsidRPr="003331EF">
              <w:rPr>
                <w:sz w:val="22"/>
                <w:szCs w:val="22"/>
                <w:lang w:eastAsia="en-US"/>
              </w:rPr>
              <w:t>Jah</w:t>
            </w:r>
          </w:p>
        </w:tc>
        <w:tc>
          <w:tcPr>
            <w:tcW w:w="2869" w:type="dxa"/>
            <w:shd w:val="clear" w:color="auto" w:fill="FFFFFF" w:themeFill="background1"/>
          </w:tcPr>
          <w:p w14:paraId="3B612235" w14:textId="77777777" w:rsidR="00B1453B" w:rsidRPr="003331EF" w:rsidRDefault="00B1453B" w:rsidP="003331EF">
            <w:pPr>
              <w:spacing w:before="0"/>
              <w:rPr>
                <w:sz w:val="22"/>
                <w:szCs w:val="22"/>
                <w:lang w:eastAsia="en-US"/>
              </w:rPr>
            </w:pPr>
            <w:r w:rsidRPr="003331EF">
              <w:rPr>
                <w:sz w:val="22"/>
                <w:szCs w:val="22"/>
                <w:lang w:eastAsia="en-US"/>
              </w:rPr>
              <w:t>RahaPTS § 64 lg 5 ja 6, § 67 lg 1-1</w:t>
            </w:r>
            <w:r w:rsidRPr="003331EF">
              <w:rPr>
                <w:sz w:val="22"/>
                <w:szCs w:val="22"/>
                <w:vertAlign w:val="superscript"/>
                <w:lang w:eastAsia="en-US"/>
              </w:rPr>
              <w:t>2</w:t>
            </w:r>
          </w:p>
        </w:tc>
        <w:tc>
          <w:tcPr>
            <w:tcW w:w="2899" w:type="dxa"/>
            <w:shd w:val="clear" w:color="auto" w:fill="FFFFFF" w:themeFill="background1"/>
          </w:tcPr>
          <w:p w14:paraId="186A1FED" w14:textId="77777777" w:rsidR="00B1453B" w:rsidRPr="003331EF" w:rsidRDefault="00B1453B" w:rsidP="003331EF">
            <w:pPr>
              <w:shd w:val="clear" w:color="auto" w:fill="FFFFFF" w:themeFill="background1"/>
              <w:spacing w:before="0"/>
              <w:rPr>
                <w:sz w:val="22"/>
                <w:szCs w:val="22"/>
                <w:lang w:eastAsia="en-US"/>
              </w:rPr>
            </w:pPr>
            <w:r w:rsidRPr="003331EF">
              <w:rPr>
                <w:sz w:val="22"/>
                <w:szCs w:val="22"/>
                <w:lang w:eastAsia="en-US"/>
              </w:rPr>
              <w:t>Asutustevaheline koostöö</w:t>
            </w:r>
          </w:p>
        </w:tc>
      </w:tr>
      <w:tr w:rsidR="003331EF" w:rsidRPr="003331EF" w14:paraId="14666879" w14:textId="77777777" w:rsidTr="00E102BB">
        <w:tc>
          <w:tcPr>
            <w:tcW w:w="1731" w:type="dxa"/>
          </w:tcPr>
          <w:p w14:paraId="4A7BDA43" w14:textId="77777777" w:rsidR="00B1453B" w:rsidRPr="003331EF" w:rsidRDefault="00B1453B" w:rsidP="003331EF">
            <w:pPr>
              <w:spacing w:before="0"/>
              <w:rPr>
                <w:sz w:val="22"/>
                <w:szCs w:val="22"/>
                <w:lang w:eastAsia="en-US"/>
              </w:rPr>
            </w:pPr>
            <w:r w:rsidRPr="003331EF">
              <w:rPr>
                <w:sz w:val="22"/>
                <w:szCs w:val="22"/>
                <w:lang w:eastAsia="en-US"/>
              </w:rPr>
              <w:t>Art 29</w:t>
            </w:r>
          </w:p>
        </w:tc>
        <w:tc>
          <w:tcPr>
            <w:tcW w:w="1563" w:type="dxa"/>
          </w:tcPr>
          <w:p w14:paraId="0C711715" w14:textId="77777777" w:rsidR="00B1453B" w:rsidRPr="003331EF" w:rsidRDefault="00B1453B" w:rsidP="003331EF">
            <w:pPr>
              <w:spacing w:before="0"/>
              <w:rPr>
                <w:sz w:val="22"/>
                <w:szCs w:val="22"/>
                <w:lang w:eastAsia="en-US"/>
              </w:rPr>
            </w:pPr>
            <w:r w:rsidRPr="003331EF">
              <w:rPr>
                <w:sz w:val="22"/>
                <w:szCs w:val="22"/>
                <w:lang w:eastAsia="en-US"/>
              </w:rPr>
              <w:t>Jah</w:t>
            </w:r>
          </w:p>
        </w:tc>
        <w:tc>
          <w:tcPr>
            <w:tcW w:w="2869" w:type="dxa"/>
          </w:tcPr>
          <w:p w14:paraId="698F32D4" w14:textId="77777777" w:rsidR="00B1453B" w:rsidRPr="003331EF" w:rsidRDefault="00B1453B" w:rsidP="003331EF">
            <w:pPr>
              <w:spacing w:before="0"/>
              <w:rPr>
                <w:sz w:val="22"/>
                <w:szCs w:val="22"/>
                <w:lang w:eastAsia="en-US"/>
              </w:rPr>
            </w:pPr>
            <w:r w:rsidRPr="003331EF">
              <w:rPr>
                <w:sz w:val="22"/>
                <w:szCs w:val="22"/>
                <w:lang w:eastAsia="en-US"/>
              </w:rPr>
              <w:t>RahaPTS § 66</w:t>
            </w:r>
          </w:p>
          <w:p w14:paraId="359DE3AE" w14:textId="77777777" w:rsidR="00B1453B" w:rsidRPr="003331EF" w:rsidRDefault="00B1453B" w:rsidP="003331EF">
            <w:pPr>
              <w:spacing w:before="0"/>
              <w:rPr>
                <w:sz w:val="22"/>
                <w:szCs w:val="22"/>
                <w:lang w:eastAsia="en-US"/>
              </w:rPr>
            </w:pPr>
            <w:r w:rsidRPr="003331EF">
              <w:rPr>
                <w:sz w:val="22"/>
                <w:szCs w:val="22"/>
                <w:lang w:eastAsia="en-US"/>
              </w:rPr>
              <w:t>FIS § 6 lg 4</w:t>
            </w:r>
          </w:p>
          <w:p w14:paraId="05345CF0" w14:textId="4E53CEE1" w:rsidR="00B1453B" w:rsidRPr="003331EF" w:rsidRDefault="00B1453B" w:rsidP="003331EF">
            <w:pPr>
              <w:spacing w:before="0"/>
              <w:rPr>
                <w:sz w:val="22"/>
                <w:szCs w:val="22"/>
                <w:lang w:eastAsia="en-US"/>
              </w:rPr>
            </w:pPr>
            <w:r w:rsidRPr="003331EF">
              <w:rPr>
                <w:sz w:val="22"/>
                <w:szCs w:val="22"/>
                <w:lang w:eastAsia="en-US"/>
              </w:rPr>
              <w:t>KrüTS § 2</w:t>
            </w:r>
            <w:r w:rsidR="00AF140D" w:rsidRPr="003331EF">
              <w:rPr>
                <w:sz w:val="22"/>
                <w:szCs w:val="22"/>
                <w:lang w:eastAsia="en-US"/>
              </w:rPr>
              <w:t>5</w:t>
            </w:r>
          </w:p>
        </w:tc>
        <w:tc>
          <w:tcPr>
            <w:tcW w:w="2899" w:type="dxa"/>
          </w:tcPr>
          <w:p w14:paraId="44DE04AE" w14:textId="77777777" w:rsidR="00B1453B" w:rsidRPr="00A4579B" w:rsidRDefault="00B1453B" w:rsidP="003331EF">
            <w:pPr>
              <w:pStyle w:val="NumPar1"/>
              <w:numPr>
                <w:ilvl w:val="0"/>
                <w:numId w:val="0"/>
              </w:numPr>
              <w:spacing w:before="0" w:after="0"/>
              <w:rPr>
                <w:i/>
                <w:iCs/>
                <w:sz w:val="22"/>
                <w:szCs w:val="22"/>
                <w:lang w:val="de-DE"/>
              </w:rPr>
            </w:pPr>
            <w:r w:rsidRPr="003331EF">
              <w:rPr>
                <w:sz w:val="22"/>
                <w:szCs w:val="22"/>
                <w:lang w:val="et-EE"/>
              </w:rPr>
              <w:t>Karistamine korduva, süsteemse ja olulise rikkumise korral</w:t>
            </w:r>
          </w:p>
        </w:tc>
      </w:tr>
      <w:tr w:rsidR="003331EF" w:rsidRPr="003331EF" w14:paraId="397461CF" w14:textId="77777777" w:rsidTr="00E102BB">
        <w:tc>
          <w:tcPr>
            <w:tcW w:w="1731" w:type="dxa"/>
            <w:tcBorders>
              <w:top w:val="single" w:sz="4" w:space="0" w:color="auto"/>
              <w:left w:val="single" w:sz="4" w:space="0" w:color="auto"/>
              <w:bottom w:val="single" w:sz="4" w:space="0" w:color="auto"/>
              <w:right w:val="single" w:sz="4" w:space="0" w:color="auto"/>
            </w:tcBorders>
          </w:tcPr>
          <w:p w14:paraId="37C29498" w14:textId="77777777" w:rsidR="00B1453B" w:rsidRPr="003331EF" w:rsidRDefault="00B1453B" w:rsidP="003331EF">
            <w:pPr>
              <w:spacing w:before="0"/>
              <w:rPr>
                <w:rStyle w:val="BoldItalic"/>
                <w:b w:val="0"/>
                <w:i w:val="0"/>
                <w:sz w:val="22"/>
                <w:szCs w:val="22"/>
                <w:lang w:eastAsia="en-US"/>
              </w:rPr>
            </w:pPr>
            <w:r w:rsidRPr="003331EF">
              <w:rPr>
                <w:rStyle w:val="BoldItalic"/>
                <w:b w:val="0"/>
                <w:i w:val="0"/>
                <w:sz w:val="22"/>
                <w:szCs w:val="22"/>
                <w:lang w:eastAsia="en-US"/>
              </w:rPr>
              <w:t>Art 30</w:t>
            </w:r>
          </w:p>
          <w:p w14:paraId="3ECB4C42" w14:textId="77777777" w:rsidR="00B1453B" w:rsidRPr="003331EF" w:rsidRDefault="00B1453B" w:rsidP="003331EF">
            <w:pPr>
              <w:spacing w:before="0"/>
              <w:rPr>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tcPr>
          <w:p w14:paraId="18394CEE" w14:textId="77777777" w:rsidR="00B1453B" w:rsidRPr="003331EF" w:rsidRDefault="00B1453B" w:rsidP="003331EF">
            <w:pPr>
              <w:spacing w:before="0"/>
              <w:rPr>
                <w:sz w:val="22"/>
                <w:szCs w:val="22"/>
                <w:lang w:eastAsia="en-US"/>
              </w:rPr>
            </w:pPr>
            <w:r w:rsidRPr="003331EF">
              <w:rPr>
                <w:sz w:val="22"/>
                <w:szCs w:val="22"/>
                <w:lang w:eastAsia="en-US"/>
              </w:rPr>
              <w:t>Jah</w:t>
            </w:r>
          </w:p>
        </w:tc>
        <w:tc>
          <w:tcPr>
            <w:tcW w:w="2869" w:type="dxa"/>
            <w:tcBorders>
              <w:top w:val="single" w:sz="4" w:space="0" w:color="auto"/>
              <w:left w:val="single" w:sz="4" w:space="0" w:color="auto"/>
              <w:bottom w:val="single" w:sz="4" w:space="0" w:color="auto"/>
              <w:right w:val="single" w:sz="4" w:space="0" w:color="auto"/>
            </w:tcBorders>
          </w:tcPr>
          <w:p w14:paraId="69490ED7" w14:textId="77777777" w:rsidR="00B1453B" w:rsidRPr="003331EF" w:rsidRDefault="00B1453B" w:rsidP="003331EF">
            <w:pPr>
              <w:spacing w:before="0"/>
              <w:rPr>
                <w:sz w:val="22"/>
                <w:szCs w:val="22"/>
                <w:lang w:eastAsia="en-US"/>
              </w:rPr>
            </w:pPr>
            <w:r w:rsidRPr="003331EF">
              <w:rPr>
                <w:sz w:val="22"/>
                <w:szCs w:val="22"/>
                <w:lang w:eastAsia="en-US"/>
              </w:rPr>
              <w:t>RahaPTS § 67 lg 3 ja 4</w:t>
            </w:r>
          </w:p>
        </w:tc>
        <w:tc>
          <w:tcPr>
            <w:tcW w:w="2899" w:type="dxa"/>
            <w:tcBorders>
              <w:top w:val="single" w:sz="4" w:space="0" w:color="auto"/>
              <w:left w:val="single" w:sz="4" w:space="0" w:color="auto"/>
              <w:bottom w:val="single" w:sz="4" w:space="0" w:color="auto"/>
              <w:right w:val="single" w:sz="4" w:space="0" w:color="auto"/>
            </w:tcBorders>
          </w:tcPr>
          <w:p w14:paraId="32CB39C7" w14:textId="77777777" w:rsidR="00B1453B" w:rsidRPr="003331EF" w:rsidRDefault="00B1453B" w:rsidP="003331EF">
            <w:pPr>
              <w:pStyle w:val="NumPar1"/>
              <w:numPr>
                <w:ilvl w:val="0"/>
                <w:numId w:val="0"/>
              </w:numPr>
              <w:spacing w:before="0" w:after="0"/>
              <w:rPr>
                <w:sz w:val="22"/>
                <w:szCs w:val="22"/>
                <w:lang w:val="et-EE"/>
              </w:rPr>
            </w:pPr>
            <w:r w:rsidRPr="003331EF">
              <w:rPr>
                <w:sz w:val="22"/>
                <w:szCs w:val="22"/>
                <w:lang w:val="et-EE"/>
              </w:rPr>
              <w:t xml:space="preserve">Karistuste ja meetmete avalikustamine </w:t>
            </w:r>
          </w:p>
        </w:tc>
      </w:tr>
      <w:tr w:rsidR="003331EF" w:rsidRPr="003331EF" w14:paraId="21059760" w14:textId="77777777" w:rsidTr="00E102BB">
        <w:tc>
          <w:tcPr>
            <w:tcW w:w="1731" w:type="dxa"/>
            <w:tcBorders>
              <w:top w:val="single" w:sz="4" w:space="0" w:color="auto"/>
              <w:left w:val="single" w:sz="4" w:space="0" w:color="auto"/>
              <w:bottom w:val="single" w:sz="4" w:space="0" w:color="auto"/>
              <w:right w:val="single" w:sz="4" w:space="0" w:color="auto"/>
            </w:tcBorders>
          </w:tcPr>
          <w:p w14:paraId="40D905DC" w14:textId="77777777" w:rsidR="00B1453B" w:rsidRPr="003331EF" w:rsidRDefault="00B1453B" w:rsidP="003331EF">
            <w:pPr>
              <w:spacing w:before="0"/>
              <w:rPr>
                <w:sz w:val="22"/>
                <w:szCs w:val="22"/>
                <w:lang w:eastAsia="en-US"/>
              </w:rPr>
            </w:pPr>
            <w:r w:rsidRPr="003331EF">
              <w:rPr>
                <w:sz w:val="22"/>
                <w:szCs w:val="22"/>
                <w:lang w:eastAsia="en-US"/>
              </w:rPr>
              <w:t>Art 31 lg 1</w:t>
            </w:r>
          </w:p>
          <w:p w14:paraId="60C2A395" w14:textId="77777777" w:rsidR="00B1453B" w:rsidRPr="003331EF" w:rsidRDefault="00B1453B" w:rsidP="003331EF">
            <w:pPr>
              <w:spacing w:before="0"/>
              <w:rPr>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tcPr>
          <w:p w14:paraId="260A8317" w14:textId="77777777" w:rsidR="00B1453B" w:rsidRPr="003331EF" w:rsidRDefault="00B1453B" w:rsidP="003331EF">
            <w:pPr>
              <w:spacing w:before="0"/>
              <w:rPr>
                <w:sz w:val="22"/>
                <w:szCs w:val="22"/>
                <w:lang w:eastAsia="en-US"/>
              </w:rPr>
            </w:pPr>
            <w:r w:rsidRPr="003331EF">
              <w:rPr>
                <w:sz w:val="22"/>
                <w:szCs w:val="22"/>
                <w:lang w:eastAsia="en-US"/>
              </w:rPr>
              <w:t>Jah</w:t>
            </w:r>
          </w:p>
        </w:tc>
        <w:tc>
          <w:tcPr>
            <w:tcW w:w="2869" w:type="dxa"/>
            <w:tcBorders>
              <w:top w:val="single" w:sz="4" w:space="0" w:color="auto"/>
              <w:left w:val="single" w:sz="4" w:space="0" w:color="auto"/>
              <w:bottom w:val="single" w:sz="4" w:space="0" w:color="auto"/>
              <w:right w:val="single" w:sz="4" w:space="0" w:color="auto"/>
            </w:tcBorders>
          </w:tcPr>
          <w:p w14:paraId="7C53DBC6" w14:textId="77777777" w:rsidR="00B1453B" w:rsidRPr="003331EF" w:rsidRDefault="00B1453B" w:rsidP="003331EF">
            <w:pPr>
              <w:spacing w:before="0"/>
              <w:rPr>
                <w:sz w:val="22"/>
                <w:szCs w:val="22"/>
                <w:lang w:eastAsia="en-US"/>
              </w:rPr>
            </w:pPr>
            <w:r w:rsidRPr="003331EF">
              <w:rPr>
                <w:sz w:val="22"/>
                <w:szCs w:val="22"/>
                <w:lang w:eastAsia="en-US"/>
              </w:rPr>
              <w:t>KarS § 57 ja 58</w:t>
            </w:r>
          </w:p>
          <w:p w14:paraId="382333A4" w14:textId="77777777" w:rsidR="00B1453B" w:rsidRPr="003331EF" w:rsidRDefault="00B1453B" w:rsidP="003331EF">
            <w:pPr>
              <w:spacing w:before="0"/>
              <w:rPr>
                <w:sz w:val="22"/>
                <w:szCs w:val="22"/>
                <w:lang w:eastAsia="en-US"/>
              </w:rPr>
            </w:pPr>
          </w:p>
        </w:tc>
        <w:tc>
          <w:tcPr>
            <w:tcW w:w="2899" w:type="dxa"/>
            <w:tcBorders>
              <w:top w:val="single" w:sz="4" w:space="0" w:color="auto"/>
              <w:left w:val="single" w:sz="4" w:space="0" w:color="auto"/>
              <w:bottom w:val="single" w:sz="4" w:space="0" w:color="auto"/>
              <w:right w:val="single" w:sz="4" w:space="0" w:color="auto"/>
            </w:tcBorders>
          </w:tcPr>
          <w:p w14:paraId="3980E608" w14:textId="77777777" w:rsidR="00B1453B" w:rsidRPr="003331EF" w:rsidRDefault="00B1453B" w:rsidP="003331EF">
            <w:pPr>
              <w:pStyle w:val="NumPar1"/>
              <w:numPr>
                <w:ilvl w:val="0"/>
                <w:numId w:val="0"/>
              </w:numPr>
              <w:spacing w:before="0" w:after="0"/>
              <w:rPr>
                <w:sz w:val="22"/>
                <w:szCs w:val="22"/>
                <w:lang w:val="et-EE"/>
              </w:rPr>
            </w:pPr>
            <w:r w:rsidRPr="003331EF">
              <w:rPr>
                <w:sz w:val="22"/>
                <w:szCs w:val="22"/>
                <w:lang w:val="et-EE"/>
              </w:rPr>
              <w:t xml:space="preserve">Karistuste ja meetmete liigi ja suuruse määramine </w:t>
            </w:r>
          </w:p>
        </w:tc>
      </w:tr>
      <w:tr w:rsidR="003331EF" w:rsidRPr="003331EF" w14:paraId="0008B90B" w14:textId="77777777" w:rsidTr="00E102BB">
        <w:tc>
          <w:tcPr>
            <w:tcW w:w="1731" w:type="dxa"/>
            <w:tcBorders>
              <w:top w:val="single" w:sz="4" w:space="0" w:color="auto"/>
              <w:left w:val="single" w:sz="4" w:space="0" w:color="auto"/>
              <w:bottom w:val="single" w:sz="4" w:space="0" w:color="auto"/>
              <w:right w:val="single" w:sz="4" w:space="0" w:color="auto"/>
            </w:tcBorders>
          </w:tcPr>
          <w:p w14:paraId="6E8D08E0" w14:textId="77777777" w:rsidR="00B1453B" w:rsidRPr="003331EF" w:rsidRDefault="00B1453B" w:rsidP="003331EF">
            <w:pPr>
              <w:spacing w:before="0"/>
              <w:rPr>
                <w:rStyle w:val="BoldItalic"/>
                <w:b w:val="0"/>
                <w:i w:val="0"/>
                <w:sz w:val="22"/>
                <w:szCs w:val="22"/>
                <w:lang w:eastAsia="en-US"/>
              </w:rPr>
            </w:pPr>
            <w:r w:rsidRPr="003331EF">
              <w:rPr>
                <w:sz w:val="22"/>
                <w:szCs w:val="22"/>
                <w:lang w:eastAsia="en-US"/>
              </w:rPr>
              <w:t>Art 31 lg 2</w:t>
            </w:r>
          </w:p>
        </w:tc>
        <w:tc>
          <w:tcPr>
            <w:tcW w:w="1563" w:type="dxa"/>
            <w:tcBorders>
              <w:top w:val="single" w:sz="4" w:space="0" w:color="auto"/>
              <w:left w:val="single" w:sz="4" w:space="0" w:color="auto"/>
              <w:bottom w:val="single" w:sz="4" w:space="0" w:color="auto"/>
              <w:right w:val="single" w:sz="4" w:space="0" w:color="auto"/>
            </w:tcBorders>
          </w:tcPr>
          <w:p w14:paraId="339A72C3" w14:textId="77777777" w:rsidR="00B1453B" w:rsidRPr="003331EF" w:rsidRDefault="00B1453B" w:rsidP="003331EF">
            <w:pPr>
              <w:spacing w:before="0"/>
              <w:rPr>
                <w:sz w:val="22"/>
                <w:szCs w:val="22"/>
                <w:lang w:eastAsia="en-US"/>
              </w:rPr>
            </w:pPr>
            <w:r w:rsidRPr="003331EF">
              <w:rPr>
                <w:sz w:val="22"/>
                <w:szCs w:val="22"/>
                <w:lang w:eastAsia="en-US"/>
              </w:rPr>
              <w:t>Jah</w:t>
            </w:r>
          </w:p>
        </w:tc>
        <w:tc>
          <w:tcPr>
            <w:tcW w:w="2869" w:type="dxa"/>
            <w:tcBorders>
              <w:top w:val="single" w:sz="4" w:space="0" w:color="auto"/>
              <w:left w:val="single" w:sz="4" w:space="0" w:color="auto"/>
              <w:bottom w:val="single" w:sz="4" w:space="0" w:color="auto"/>
              <w:right w:val="single" w:sz="4" w:space="0" w:color="auto"/>
            </w:tcBorders>
          </w:tcPr>
          <w:p w14:paraId="47316035" w14:textId="77777777" w:rsidR="00B1453B" w:rsidRPr="003331EF" w:rsidRDefault="00B1453B" w:rsidP="003331EF">
            <w:pPr>
              <w:spacing w:before="0"/>
              <w:rPr>
                <w:sz w:val="22"/>
                <w:szCs w:val="22"/>
                <w:lang w:eastAsia="en-US"/>
              </w:rPr>
            </w:pPr>
            <w:r w:rsidRPr="003331EF">
              <w:rPr>
                <w:sz w:val="22"/>
                <w:szCs w:val="22"/>
                <w:lang w:eastAsia="en-US"/>
              </w:rPr>
              <w:t>FIS § 46</w:t>
            </w:r>
            <w:r w:rsidRPr="003331EF">
              <w:rPr>
                <w:sz w:val="22"/>
                <w:szCs w:val="22"/>
                <w:vertAlign w:val="superscript"/>
                <w:lang w:eastAsia="en-US"/>
              </w:rPr>
              <w:t>2</w:t>
            </w:r>
            <w:r w:rsidRPr="003331EF">
              <w:rPr>
                <w:sz w:val="22"/>
                <w:szCs w:val="22"/>
                <w:lang w:eastAsia="en-US"/>
              </w:rPr>
              <w:t xml:space="preserve"> lg 32</w:t>
            </w:r>
          </w:p>
        </w:tc>
        <w:tc>
          <w:tcPr>
            <w:tcW w:w="2899" w:type="dxa"/>
            <w:tcBorders>
              <w:top w:val="single" w:sz="4" w:space="0" w:color="auto"/>
              <w:left w:val="single" w:sz="4" w:space="0" w:color="auto"/>
              <w:bottom w:val="single" w:sz="4" w:space="0" w:color="auto"/>
              <w:right w:val="single" w:sz="4" w:space="0" w:color="auto"/>
            </w:tcBorders>
          </w:tcPr>
          <w:p w14:paraId="4C44A207" w14:textId="77777777" w:rsidR="00B1453B" w:rsidRPr="003331EF" w:rsidRDefault="00B1453B" w:rsidP="003331EF">
            <w:pPr>
              <w:pStyle w:val="NumPar1"/>
              <w:numPr>
                <w:ilvl w:val="0"/>
                <w:numId w:val="0"/>
              </w:numPr>
              <w:spacing w:before="0" w:after="0"/>
              <w:rPr>
                <w:sz w:val="22"/>
                <w:szCs w:val="22"/>
                <w:lang w:val="et-EE"/>
              </w:rPr>
            </w:pPr>
            <w:r w:rsidRPr="003331EF">
              <w:rPr>
                <w:sz w:val="22"/>
                <w:szCs w:val="22"/>
                <w:lang w:val="et-EE"/>
              </w:rPr>
              <w:t>EBA informeerimine karistustest ja meetmetest</w:t>
            </w:r>
          </w:p>
        </w:tc>
      </w:tr>
      <w:tr w:rsidR="003331EF" w:rsidRPr="003331EF" w14:paraId="4EE1C210" w14:textId="77777777" w:rsidTr="00E102BB">
        <w:tc>
          <w:tcPr>
            <w:tcW w:w="1731" w:type="dxa"/>
            <w:tcBorders>
              <w:top w:val="single" w:sz="4" w:space="0" w:color="auto"/>
              <w:left w:val="single" w:sz="4" w:space="0" w:color="auto"/>
              <w:bottom w:val="single" w:sz="4" w:space="0" w:color="auto"/>
              <w:right w:val="single" w:sz="4" w:space="0" w:color="auto"/>
            </w:tcBorders>
          </w:tcPr>
          <w:p w14:paraId="69AF8DF2" w14:textId="77777777" w:rsidR="00B1453B" w:rsidRPr="003331EF" w:rsidRDefault="00B1453B" w:rsidP="003331EF">
            <w:pPr>
              <w:spacing w:before="0"/>
              <w:rPr>
                <w:sz w:val="22"/>
                <w:szCs w:val="22"/>
                <w:lang w:eastAsia="en-US"/>
              </w:rPr>
            </w:pPr>
            <w:r w:rsidRPr="003331EF">
              <w:rPr>
                <w:sz w:val="22"/>
                <w:szCs w:val="22"/>
                <w:lang w:eastAsia="en-US"/>
              </w:rPr>
              <w:t>Art 32 lg 1</w:t>
            </w:r>
          </w:p>
        </w:tc>
        <w:tc>
          <w:tcPr>
            <w:tcW w:w="1563" w:type="dxa"/>
            <w:tcBorders>
              <w:top w:val="single" w:sz="4" w:space="0" w:color="auto"/>
              <w:left w:val="single" w:sz="4" w:space="0" w:color="auto"/>
              <w:bottom w:val="single" w:sz="4" w:space="0" w:color="auto"/>
              <w:right w:val="single" w:sz="4" w:space="0" w:color="auto"/>
            </w:tcBorders>
          </w:tcPr>
          <w:p w14:paraId="0EE56A8A" w14:textId="77777777" w:rsidR="00B1453B" w:rsidRPr="003331EF" w:rsidRDefault="00B1453B" w:rsidP="003331EF">
            <w:pPr>
              <w:spacing w:before="0"/>
              <w:rPr>
                <w:sz w:val="22"/>
                <w:szCs w:val="22"/>
                <w:lang w:eastAsia="en-US"/>
              </w:rPr>
            </w:pPr>
            <w:r w:rsidRPr="003331EF">
              <w:rPr>
                <w:sz w:val="22"/>
                <w:szCs w:val="22"/>
                <w:lang w:eastAsia="en-US"/>
              </w:rPr>
              <w:t>Jah</w:t>
            </w:r>
          </w:p>
        </w:tc>
        <w:tc>
          <w:tcPr>
            <w:tcW w:w="2869" w:type="dxa"/>
            <w:tcBorders>
              <w:top w:val="single" w:sz="4" w:space="0" w:color="auto"/>
              <w:left w:val="single" w:sz="4" w:space="0" w:color="auto"/>
              <w:bottom w:val="single" w:sz="4" w:space="0" w:color="auto"/>
              <w:right w:val="single" w:sz="4" w:space="0" w:color="auto"/>
            </w:tcBorders>
          </w:tcPr>
          <w:p w14:paraId="1234E748" w14:textId="77777777" w:rsidR="00B1453B" w:rsidRPr="003331EF" w:rsidRDefault="00B1453B" w:rsidP="003331EF">
            <w:pPr>
              <w:spacing w:before="0"/>
              <w:rPr>
                <w:sz w:val="22"/>
                <w:szCs w:val="22"/>
                <w:lang w:eastAsia="en-US"/>
              </w:rPr>
            </w:pPr>
            <w:r w:rsidRPr="003331EF">
              <w:rPr>
                <w:sz w:val="22"/>
                <w:szCs w:val="22"/>
                <w:lang w:eastAsia="en-US"/>
              </w:rPr>
              <w:t>FIS § 34, § 50</w:t>
            </w:r>
            <w:r w:rsidRPr="003331EF">
              <w:rPr>
                <w:sz w:val="22"/>
                <w:szCs w:val="22"/>
                <w:vertAlign w:val="superscript"/>
                <w:lang w:eastAsia="en-US"/>
              </w:rPr>
              <w:t>2</w:t>
            </w:r>
            <w:r w:rsidRPr="003331EF">
              <w:rPr>
                <w:sz w:val="22"/>
                <w:szCs w:val="22"/>
                <w:lang w:eastAsia="en-US"/>
              </w:rPr>
              <w:t>-50</w:t>
            </w:r>
            <w:r w:rsidRPr="003331EF">
              <w:rPr>
                <w:sz w:val="22"/>
                <w:szCs w:val="22"/>
                <w:vertAlign w:val="superscript"/>
                <w:lang w:eastAsia="en-US"/>
              </w:rPr>
              <w:t>2</w:t>
            </w:r>
          </w:p>
          <w:p w14:paraId="12998303" w14:textId="77777777" w:rsidR="00B1453B" w:rsidRPr="003331EF" w:rsidRDefault="00B1453B" w:rsidP="003331EF">
            <w:pPr>
              <w:spacing w:before="0"/>
              <w:rPr>
                <w:sz w:val="22"/>
                <w:szCs w:val="22"/>
                <w:lang w:eastAsia="en-US"/>
              </w:rPr>
            </w:pPr>
            <w:r w:rsidRPr="003331EF">
              <w:rPr>
                <w:sz w:val="22"/>
                <w:szCs w:val="22"/>
                <w:lang w:eastAsia="en-US"/>
              </w:rPr>
              <w:t>RahaPTS § 51, § 52</w:t>
            </w:r>
            <w:r w:rsidRPr="003331EF">
              <w:rPr>
                <w:sz w:val="22"/>
                <w:szCs w:val="22"/>
                <w:vertAlign w:val="superscript"/>
                <w:lang w:eastAsia="en-US"/>
              </w:rPr>
              <w:t>1</w:t>
            </w:r>
          </w:p>
        </w:tc>
        <w:tc>
          <w:tcPr>
            <w:tcW w:w="2899" w:type="dxa"/>
            <w:tcBorders>
              <w:top w:val="single" w:sz="4" w:space="0" w:color="auto"/>
              <w:left w:val="single" w:sz="4" w:space="0" w:color="auto"/>
              <w:bottom w:val="single" w:sz="4" w:space="0" w:color="auto"/>
              <w:right w:val="single" w:sz="4" w:space="0" w:color="auto"/>
            </w:tcBorders>
          </w:tcPr>
          <w:p w14:paraId="2643B301" w14:textId="77777777" w:rsidR="00B1453B" w:rsidRPr="003331EF" w:rsidRDefault="00B1453B" w:rsidP="003331EF">
            <w:pPr>
              <w:pStyle w:val="NumPar1"/>
              <w:numPr>
                <w:ilvl w:val="0"/>
                <w:numId w:val="0"/>
              </w:numPr>
              <w:spacing w:before="0" w:after="0"/>
              <w:rPr>
                <w:sz w:val="22"/>
                <w:szCs w:val="22"/>
                <w:lang w:val="et-EE"/>
              </w:rPr>
            </w:pPr>
            <w:r w:rsidRPr="003331EF">
              <w:rPr>
                <w:sz w:val="22"/>
                <w:szCs w:val="22"/>
                <w:lang w:val="et-EE"/>
              </w:rPr>
              <w:t>Teavitaja kaitse</w:t>
            </w:r>
          </w:p>
        </w:tc>
      </w:tr>
      <w:tr w:rsidR="003331EF" w:rsidRPr="003331EF" w14:paraId="5B37E42B" w14:textId="77777777" w:rsidTr="00E102BB">
        <w:tc>
          <w:tcPr>
            <w:tcW w:w="1731" w:type="dxa"/>
            <w:tcBorders>
              <w:top w:val="single" w:sz="4" w:space="0" w:color="auto"/>
              <w:left w:val="single" w:sz="4" w:space="0" w:color="auto"/>
              <w:bottom w:val="single" w:sz="4" w:space="0" w:color="auto"/>
              <w:right w:val="single" w:sz="4" w:space="0" w:color="auto"/>
            </w:tcBorders>
          </w:tcPr>
          <w:p w14:paraId="6B5F1E23" w14:textId="77777777" w:rsidR="00B1453B" w:rsidRPr="003331EF" w:rsidRDefault="00B1453B" w:rsidP="003331EF">
            <w:pPr>
              <w:spacing w:before="0"/>
              <w:rPr>
                <w:sz w:val="22"/>
                <w:szCs w:val="22"/>
                <w:lang w:eastAsia="en-US"/>
              </w:rPr>
            </w:pPr>
            <w:r w:rsidRPr="003331EF">
              <w:rPr>
                <w:sz w:val="22"/>
                <w:szCs w:val="22"/>
                <w:lang w:eastAsia="en-US"/>
              </w:rPr>
              <w:t>Art 33</w:t>
            </w:r>
          </w:p>
        </w:tc>
        <w:tc>
          <w:tcPr>
            <w:tcW w:w="1563" w:type="dxa"/>
            <w:tcBorders>
              <w:top w:val="single" w:sz="4" w:space="0" w:color="auto"/>
              <w:left w:val="single" w:sz="4" w:space="0" w:color="auto"/>
              <w:bottom w:val="single" w:sz="4" w:space="0" w:color="auto"/>
              <w:right w:val="single" w:sz="4" w:space="0" w:color="auto"/>
            </w:tcBorders>
          </w:tcPr>
          <w:p w14:paraId="3B140AD8" w14:textId="77777777" w:rsidR="00B1453B" w:rsidRPr="003331EF" w:rsidRDefault="00B1453B" w:rsidP="003331EF">
            <w:pPr>
              <w:spacing w:before="0"/>
              <w:rPr>
                <w:sz w:val="22"/>
                <w:szCs w:val="22"/>
                <w:lang w:eastAsia="en-US"/>
              </w:rPr>
            </w:pPr>
            <w:r w:rsidRPr="003331EF">
              <w:rPr>
                <w:sz w:val="22"/>
                <w:szCs w:val="22"/>
                <w:lang w:eastAsia="en-US"/>
              </w:rPr>
              <w:t>Jah</w:t>
            </w:r>
          </w:p>
        </w:tc>
        <w:tc>
          <w:tcPr>
            <w:tcW w:w="2869" w:type="dxa"/>
            <w:tcBorders>
              <w:top w:val="single" w:sz="4" w:space="0" w:color="auto"/>
              <w:left w:val="single" w:sz="4" w:space="0" w:color="auto"/>
              <w:bottom w:val="single" w:sz="4" w:space="0" w:color="auto"/>
              <w:right w:val="single" w:sz="4" w:space="0" w:color="auto"/>
            </w:tcBorders>
          </w:tcPr>
          <w:p w14:paraId="0AF0CA20" w14:textId="77777777" w:rsidR="00B1453B" w:rsidRPr="003331EF" w:rsidRDefault="00B1453B" w:rsidP="003331EF">
            <w:pPr>
              <w:spacing w:before="0"/>
              <w:rPr>
                <w:sz w:val="22"/>
                <w:szCs w:val="22"/>
                <w:lang w:eastAsia="en-US"/>
              </w:rPr>
            </w:pPr>
            <w:r w:rsidRPr="003331EF">
              <w:rPr>
                <w:sz w:val="22"/>
                <w:szCs w:val="22"/>
                <w:lang w:eastAsia="en-US"/>
              </w:rPr>
              <w:t>RahaPTS § 64</w:t>
            </w:r>
          </w:p>
        </w:tc>
        <w:tc>
          <w:tcPr>
            <w:tcW w:w="2899" w:type="dxa"/>
            <w:tcBorders>
              <w:top w:val="single" w:sz="4" w:space="0" w:color="auto"/>
              <w:left w:val="single" w:sz="4" w:space="0" w:color="auto"/>
              <w:bottom w:val="single" w:sz="4" w:space="0" w:color="auto"/>
              <w:right w:val="single" w:sz="4" w:space="0" w:color="auto"/>
            </w:tcBorders>
          </w:tcPr>
          <w:p w14:paraId="5286F64E" w14:textId="77777777" w:rsidR="00B1453B" w:rsidRPr="003331EF" w:rsidRDefault="00B1453B" w:rsidP="003331EF">
            <w:pPr>
              <w:pStyle w:val="NumPar1"/>
              <w:numPr>
                <w:ilvl w:val="0"/>
                <w:numId w:val="0"/>
              </w:numPr>
              <w:spacing w:before="0" w:after="0"/>
              <w:rPr>
                <w:sz w:val="22"/>
                <w:szCs w:val="22"/>
                <w:lang w:val="et-EE"/>
              </w:rPr>
            </w:pPr>
            <w:r w:rsidRPr="003331EF">
              <w:rPr>
                <w:sz w:val="22"/>
                <w:szCs w:val="22"/>
                <w:lang w:val="et-EE"/>
              </w:rPr>
              <w:t>Järelevalve/seire</w:t>
            </w:r>
          </w:p>
        </w:tc>
      </w:tr>
      <w:tr w:rsidR="003331EF" w:rsidRPr="003331EF" w14:paraId="6A9BCAC6" w14:textId="77777777" w:rsidTr="00E102BB">
        <w:tc>
          <w:tcPr>
            <w:tcW w:w="1731" w:type="dxa"/>
            <w:tcBorders>
              <w:top w:val="single" w:sz="4" w:space="0" w:color="auto"/>
              <w:left w:val="single" w:sz="4" w:space="0" w:color="auto"/>
              <w:bottom w:val="single" w:sz="4" w:space="0" w:color="auto"/>
              <w:right w:val="single" w:sz="4" w:space="0" w:color="auto"/>
            </w:tcBorders>
          </w:tcPr>
          <w:p w14:paraId="12288B59" w14:textId="77777777" w:rsidR="00B1453B" w:rsidRPr="003331EF" w:rsidRDefault="00B1453B" w:rsidP="003331EF">
            <w:pPr>
              <w:spacing w:before="0"/>
              <w:rPr>
                <w:sz w:val="22"/>
                <w:szCs w:val="22"/>
                <w:lang w:eastAsia="en-US"/>
              </w:rPr>
            </w:pPr>
            <w:r w:rsidRPr="003331EF">
              <w:rPr>
                <w:sz w:val="22"/>
                <w:szCs w:val="22"/>
                <w:lang w:eastAsia="en-US"/>
              </w:rPr>
              <w:t>Art 38 lg 1</w:t>
            </w:r>
          </w:p>
        </w:tc>
        <w:tc>
          <w:tcPr>
            <w:tcW w:w="1563" w:type="dxa"/>
            <w:tcBorders>
              <w:top w:val="single" w:sz="4" w:space="0" w:color="auto"/>
              <w:left w:val="single" w:sz="4" w:space="0" w:color="auto"/>
              <w:bottom w:val="single" w:sz="4" w:space="0" w:color="auto"/>
              <w:right w:val="single" w:sz="4" w:space="0" w:color="auto"/>
            </w:tcBorders>
          </w:tcPr>
          <w:p w14:paraId="38769A7E" w14:textId="77777777" w:rsidR="00B1453B" w:rsidRPr="003331EF" w:rsidRDefault="00B1453B" w:rsidP="003331EF">
            <w:pPr>
              <w:spacing w:before="0"/>
              <w:rPr>
                <w:sz w:val="22"/>
                <w:szCs w:val="22"/>
                <w:lang w:eastAsia="en-US"/>
              </w:rPr>
            </w:pPr>
            <w:r w:rsidRPr="003331EF">
              <w:rPr>
                <w:sz w:val="22"/>
                <w:szCs w:val="22"/>
                <w:lang w:eastAsia="en-US"/>
              </w:rPr>
              <w:t>Jah</w:t>
            </w:r>
          </w:p>
        </w:tc>
        <w:tc>
          <w:tcPr>
            <w:tcW w:w="2869" w:type="dxa"/>
            <w:tcBorders>
              <w:top w:val="single" w:sz="4" w:space="0" w:color="auto"/>
              <w:left w:val="single" w:sz="4" w:space="0" w:color="auto"/>
              <w:bottom w:val="single" w:sz="4" w:space="0" w:color="auto"/>
              <w:right w:val="single" w:sz="4" w:space="0" w:color="auto"/>
            </w:tcBorders>
          </w:tcPr>
          <w:p w14:paraId="3911A05A" w14:textId="2F509971" w:rsidR="00B1453B" w:rsidRPr="003331EF" w:rsidRDefault="00B1453B" w:rsidP="003331EF">
            <w:pPr>
              <w:spacing w:before="0"/>
              <w:rPr>
                <w:sz w:val="22"/>
                <w:szCs w:val="22"/>
                <w:lang w:eastAsia="en-US"/>
              </w:rPr>
            </w:pPr>
            <w:r w:rsidRPr="003331EF">
              <w:rPr>
                <w:sz w:val="22"/>
                <w:szCs w:val="22"/>
                <w:lang w:eastAsia="en-US"/>
              </w:rPr>
              <w:t>Eelnõu § 5</w:t>
            </w:r>
            <w:r w:rsidR="00AF140D" w:rsidRPr="003331EF">
              <w:rPr>
                <w:sz w:val="22"/>
                <w:szCs w:val="22"/>
                <w:lang w:eastAsia="en-US"/>
              </w:rPr>
              <w:t>5</w:t>
            </w:r>
            <w:r w:rsidRPr="003331EF">
              <w:rPr>
                <w:sz w:val="22"/>
                <w:szCs w:val="22"/>
                <w:lang w:eastAsia="en-US"/>
              </w:rPr>
              <w:t xml:space="preserve"> punkt 1</w:t>
            </w:r>
          </w:p>
        </w:tc>
        <w:tc>
          <w:tcPr>
            <w:tcW w:w="2899" w:type="dxa"/>
            <w:tcBorders>
              <w:top w:val="single" w:sz="4" w:space="0" w:color="auto"/>
              <w:left w:val="single" w:sz="4" w:space="0" w:color="auto"/>
              <w:bottom w:val="single" w:sz="4" w:space="0" w:color="auto"/>
              <w:right w:val="single" w:sz="4" w:space="0" w:color="auto"/>
            </w:tcBorders>
          </w:tcPr>
          <w:p w14:paraId="74416898" w14:textId="77777777" w:rsidR="00B1453B" w:rsidRPr="003331EF" w:rsidRDefault="00B1453B" w:rsidP="003331EF">
            <w:pPr>
              <w:pStyle w:val="NumPar1"/>
              <w:numPr>
                <w:ilvl w:val="0"/>
                <w:numId w:val="0"/>
              </w:numPr>
              <w:spacing w:before="0" w:after="0"/>
              <w:rPr>
                <w:sz w:val="22"/>
                <w:szCs w:val="22"/>
                <w:lang w:val="et-EE"/>
              </w:rPr>
            </w:pPr>
            <w:r w:rsidRPr="003331EF">
              <w:rPr>
                <w:sz w:val="22"/>
                <w:szCs w:val="22"/>
                <w:lang w:val="et-EE"/>
              </w:rPr>
              <w:t>Virtuaalvääringu teenuse pakkujate kustutamine teenusepakkujate loetelust</w:t>
            </w:r>
          </w:p>
        </w:tc>
      </w:tr>
      <w:tr w:rsidR="003331EF" w:rsidRPr="003331EF" w14:paraId="5D44BF32" w14:textId="77777777" w:rsidTr="00E102BB">
        <w:tc>
          <w:tcPr>
            <w:tcW w:w="1731" w:type="dxa"/>
            <w:tcBorders>
              <w:top w:val="single" w:sz="4" w:space="0" w:color="auto"/>
              <w:left w:val="single" w:sz="4" w:space="0" w:color="auto"/>
              <w:bottom w:val="single" w:sz="4" w:space="0" w:color="auto"/>
              <w:right w:val="single" w:sz="4" w:space="0" w:color="auto"/>
            </w:tcBorders>
          </w:tcPr>
          <w:p w14:paraId="6FCBD3C6" w14:textId="77777777" w:rsidR="00B1453B" w:rsidRPr="003331EF" w:rsidRDefault="00B1453B" w:rsidP="003331EF">
            <w:pPr>
              <w:spacing w:before="0"/>
              <w:rPr>
                <w:sz w:val="22"/>
                <w:szCs w:val="22"/>
                <w:lang w:eastAsia="en-US"/>
              </w:rPr>
            </w:pPr>
            <w:r w:rsidRPr="003331EF">
              <w:rPr>
                <w:sz w:val="22"/>
                <w:szCs w:val="22"/>
                <w:lang w:eastAsia="en-US"/>
              </w:rPr>
              <w:t>Art 38 lg 2</w:t>
            </w:r>
          </w:p>
        </w:tc>
        <w:tc>
          <w:tcPr>
            <w:tcW w:w="1563" w:type="dxa"/>
            <w:tcBorders>
              <w:top w:val="single" w:sz="4" w:space="0" w:color="auto"/>
              <w:left w:val="single" w:sz="4" w:space="0" w:color="auto"/>
              <w:bottom w:val="single" w:sz="4" w:space="0" w:color="auto"/>
              <w:right w:val="single" w:sz="4" w:space="0" w:color="auto"/>
            </w:tcBorders>
          </w:tcPr>
          <w:p w14:paraId="79884E8F" w14:textId="77777777" w:rsidR="00B1453B" w:rsidRPr="003331EF" w:rsidRDefault="00B1453B" w:rsidP="003331EF">
            <w:pPr>
              <w:spacing w:before="0"/>
              <w:rPr>
                <w:sz w:val="22"/>
                <w:szCs w:val="22"/>
                <w:lang w:eastAsia="en-US"/>
              </w:rPr>
            </w:pPr>
            <w:r w:rsidRPr="003331EF">
              <w:rPr>
                <w:sz w:val="22"/>
                <w:szCs w:val="22"/>
                <w:lang w:eastAsia="en-US"/>
              </w:rPr>
              <w:t>Jah</w:t>
            </w:r>
          </w:p>
        </w:tc>
        <w:tc>
          <w:tcPr>
            <w:tcW w:w="2869" w:type="dxa"/>
            <w:tcBorders>
              <w:top w:val="single" w:sz="4" w:space="0" w:color="auto"/>
              <w:left w:val="single" w:sz="4" w:space="0" w:color="auto"/>
              <w:bottom w:val="single" w:sz="4" w:space="0" w:color="auto"/>
              <w:right w:val="single" w:sz="4" w:space="0" w:color="auto"/>
            </w:tcBorders>
          </w:tcPr>
          <w:p w14:paraId="7D3AB90F" w14:textId="2F640AED" w:rsidR="00B1453B" w:rsidRPr="003331EF" w:rsidRDefault="00B1453B" w:rsidP="003331EF">
            <w:pPr>
              <w:spacing w:before="0"/>
              <w:rPr>
                <w:sz w:val="22"/>
                <w:szCs w:val="22"/>
                <w:lang w:eastAsia="en-US"/>
              </w:rPr>
            </w:pPr>
            <w:r w:rsidRPr="003331EF">
              <w:rPr>
                <w:sz w:val="22"/>
                <w:szCs w:val="22"/>
                <w:lang w:eastAsia="en-US"/>
              </w:rPr>
              <w:t>Eelnõu § 5</w:t>
            </w:r>
            <w:r w:rsidR="00AF140D" w:rsidRPr="003331EF">
              <w:rPr>
                <w:sz w:val="22"/>
                <w:szCs w:val="22"/>
                <w:lang w:eastAsia="en-US"/>
              </w:rPr>
              <w:t>5</w:t>
            </w:r>
            <w:r w:rsidRPr="003331EF">
              <w:rPr>
                <w:sz w:val="22"/>
                <w:szCs w:val="22"/>
                <w:lang w:eastAsia="en-US"/>
              </w:rPr>
              <w:t xml:space="preserve"> punkt 1, RahaPTS § 3 p 19 ja p 20, § 6 lg 2 p 13, § 7 p 2</w:t>
            </w:r>
          </w:p>
        </w:tc>
        <w:tc>
          <w:tcPr>
            <w:tcW w:w="2899" w:type="dxa"/>
            <w:tcBorders>
              <w:top w:val="single" w:sz="4" w:space="0" w:color="auto"/>
              <w:left w:val="single" w:sz="4" w:space="0" w:color="auto"/>
              <w:bottom w:val="single" w:sz="4" w:space="0" w:color="auto"/>
              <w:right w:val="single" w:sz="4" w:space="0" w:color="auto"/>
            </w:tcBorders>
          </w:tcPr>
          <w:p w14:paraId="50DA710E" w14:textId="77777777" w:rsidR="00B1453B" w:rsidRPr="003331EF" w:rsidRDefault="00B1453B" w:rsidP="003331EF">
            <w:pPr>
              <w:pStyle w:val="NumPar1"/>
              <w:numPr>
                <w:ilvl w:val="0"/>
                <w:numId w:val="0"/>
              </w:numPr>
              <w:spacing w:before="0" w:after="0"/>
              <w:rPr>
                <w:sz w:val="22"/>
                <w:szCs w:val="22"/>
                <w:lang w:val="et-EE"/>
              </w:rPr>
            </w:pPr>
            <w:r w:rsidRPr="003331EF">
              <w:rPr>
                <w:sz w:val="22"/>
                <w:szCs w:val="22"/>
                <w:lang w:val="et-EE"/>
              </w:rPr>
              <w:t>Virtuaalvääringu ja virtuaalvääringu teenuste mõistete kustutamine, korrespondentsuhte mõiste täiendamine, krüptovara, krüptovara teenuse osutaja ja isehallatava aadressi lisamine RahaPTS-i</w:t>
            </w:r>
          </w:p>
        </w:tc>
      </w:tr>
      <w:tr w:rsidR="003331EF" w:rsidRPr="003331EF" w14:paraId="1087B8CD" w14:textId="77777777" w:rsidTr="00E102BB">
        <w:tc>
          <w:tcPr>
            <w:tcW w:w="1731" w:type="dxa"/>
            <w:tcBorders>
              <w:top w:val="single" w:sz="4" w:space="0" w:color="auto"/>
              <w:left w:val="single" w:sz="4" w:space="0" w:color="auto"/>
              <w:bottom w:val="single" w:sz="4" w:space="0" w:color="auto"/>
              <w:right w:val="single" w:sz="4" w:space="0" w:color="auto"/>
            </w:tcBorders>
          </w:tcPr>
          <w:p w14:paraId="37E1741D" w14:textId="77777777" w:rsidR="00B1453B" w:rsidRPr="003331EF" w:rsidRDefault="00B1453B" w:rsidP="003331EF">
            <w:pPr>
              <w:spacing w:before="0"/>
              <w:rPr>
                <w:sz w:val="22"/>
                <w:szCs w:val="22"/>
                <w:lang w:eastAsia="en-US"/>
              </w:rPr>
            </w:pPr>
            <w:r w:rsidRPr="003331EF">
              <w:rPr>
                <w:sz w:val="22"/>
                <w:szCs w:val="22"/>
                <w:lang w:eastAsia="en-US"/>
              </w:rPr>
              <w:t>Art 38 lg 3</w:t>
            </w:r>
          </w:p>
        </w:tc>
        <w:tc>
          <w:tcPr>
            <w:tcW w:w="1563" w:type="dxa"/>
            <w:tcBorders>
              <w:top w:val="single" w:sz="4" w:space="0" w:color="auto"/>
              <w:left w:val="single" w:sz="4" w:space="0" w:color="auto"/>
              <w:bottom w:val="single" w:sz="4" w:space="0" w:color="auto"/>
              <w:right w:val="single" w:sz="4" w:space="0" w:color="auto"/>
            </w:tcBorders>
          </w:tcPr>
          <w:p w14:paraId="5F305B05" w14:textId="77777777" w:rsidR="00B1453B" w:rsidRPr="003331EF" w:rsidRDefault="00B1453B" w:rsidP="003331EF">
            <w:pPr>
              <w:spacing w:before="0"/>
              <w:rPr>
                <w:sz w:val="22"/>
                <w:szCs w:val="22"/>
                <w:lang w:eastAsia="en-US"/>
              </w:rPr>
            </w:pPr>
            <w:r w:rsidRPr="003331EF">
              <w:rPr>
                <w:sz w:val="22"/>
                <w:szCs w:val="22"/>
                <w:lang w:eastAsia="en-US"/>
              </w:rPr>
              <w:t>Jah</w:t>
            </w:r>
          </w:p>
        </w:tc>
        <w:tc>
          <w:tcPr>
            <w:tcW w:w="2869" w:type="dxa"/>
            <w:tcBorders>
              <w:top w:val="single" w:sz="4" w:space="0" w:color="auto"/>
              <w:left w:val="single" w:sz="4" w:space="0" w:color="auto"/>
              <w:bottom w:val="single" w:sz="4" w:space="0" w:color="auto"/>
              <w:right w:val="single" w:sz="4" w:space="0" w:color="auto"/>
            </w:tcBorders>
          </w:tcPr>
          <w:p w14:paraId="5D20AA87" w14:textId="77777777" w:rsidR="00B1453B" w:rsidRPr="003331EF" w:rsidRDefault="00B1453B" w:rsidP="003331EF">
            <w:pPr>
              <w:spacing w:before="0"/>
              <w:rPr>
                <w:sz w:val="22"/>
                <w:szCs w:val="22"/>
                <w:lang w:eastAsia="en-US"/>
              </w:rPr>
            </w:pPr>
            <w:r w:rsidRPr="003331EF">
              <w:rPr>
                <w:sz w:val="22"/>
                <w:szCs w:val="22"/>
                <w:lang w:eastAsia="en-US"/>
              </w:rPr>
              <w:t>RahaPTS § 37 lg 5</w:t>
            </w:r>
          </w:p>
        </w:tc>
        <w:tc>
          <w:tcPr>
            <w:tcW w:w="2899" w:type="dxa"/>
            <w:tcBorders>
              <w:top w:val="single" w:sz="4" w:space="0" w:color="auto"/>
              <w:left w:val="single" w:sz="4" w:space="0" w:color="auto"/>
              <w:bottom w:val="single" w:sz="4" w:space="0" w:color="auto"/>
              <w:right w:val="single" w:sz="4" w:space="0" w:color="auto"/>
            </w:tcBorders>
          </w:tcPr>
          <w:p w14:paraId="493AE378" w14:textId="77777777" w:rsidR="00B1453B" w:rsidRPr="003331EF" w:rsidRDefault="00B1453B" w:rsidP="003331EF">
            <w:pPr>
              <w:pStyle w:val="NumPar1"/>
              <w:numPr>
                <w:ilvl w:val="0"/>
                <w:numId w:val="0"/>
              </w:numPr>
              <w:spacing w:before="0" w:after="0"/>
              <w:rPr>
                <w:sz w:val="22"/>
                <w:szCs w:val="22"/>
                <w:lang w:val="et-EE"/>
              </w:rPr>
            </w:pPr>
            <w:r w:rsidRPr="003331EF">
              <w:rPr>
                <w:sz w:val="22"/>
                <w:szCs w:val="22"/>
                <w:lang w:val="et-EE"/>
              </w:rPr>
              <w:t>EBA soovituste arvestamise kohustus</w:t>
            </w:r>
          </w:p>
        </w:tc>
      </w:tr>
      <w:tr w:rsidR="003331EF" w:rsidRPr="003331EF" w14:paraId="23E20837" w14:textId="77777777" w:rsidTr="00E102BB">
        <w:tc>
          <w:tcPr>
            <w:tcW w:w="1731" w:type="dxa"/>
            <w:tcBorders>
              <w:top w:val="single" w:sz="4" w:space="0" w:color="auto"/>
              <w:left w:val="single" w:sz="4" w:space="0" w:color="auto"/>
              <w:bottom w:val="single" w:sz="4" w:space="0" w:color="auto"/>
              <w:right w:val="single" w:sz="4" w:space="0" w:color="auto"/>
            </w:tcBorders>
          </w:tcPr>
          <w:p w14:paraId="607F9BF3" w14:textId="77777777" w:rsidR="00B1453B" w:rsidRPr="003331EF" w:rsidRDefault="00B1453B" w:rsidP="003331EF">
            <w:pPr>
              <w:spacing w:before="0"/>
              <w:rPr>
                <w:sz w:val="22"/>
                <w:szCs w:val="22"/>
                <w:lang w:eastAsia="en-US"/>
              </w:rPr>
            </w:pPr>
            <w:r w:rsidRPr="003331EF">
              <w:rPr>
                <w:sz w:val="22"/>
                <w:szCs w:val="22"/>
                <w:lang w:eastAsia="en-US"/>
              </w:rPr>
              <w:t>Art 38 lg 4</w:t>
            </w:r>
          </w:p>
        </w:tc>
        <w:tc>
          <w:tcPr>
            <w:tcW w:w="1563" w:type="dxa"/>
            <w:tcBorders>
              <w:top w:val="single" w:sz="4" w:space="0" w:color="auto"/>
              <w:left w:val="single" w:sz="4" w:space="0" w:color="auto"/>
              <w:bottom w:val="single" w:sz="4" w:space="0" w:color="auto"/>
              <w:right w:val="single" w:sz="4" w:space="0" w:color="auto"/>
            </w:tcBorders>
          </w:tcPr>
          <w:p w14:paraId="1A8EA028" w14:textId="77777777" w:rsidR="00B1453B" w:rsidRPr="003331EF" w:rsidRDefault="00B1453B" w:rsidP="003331EF">
            <w:pPr>
              <w:spacing w:before="0"/>
              <w:rPr>
                <w:sz w:val="22"/>
                <w:szCs w:val="22"/>
                <w:lang w:eastAsia="en-US"/>
              </w:rPr>
            </w:pPr>
            <w:r w:rsidRPr="003331EF">
              <w:rPr>
                <w:sz w:val="22"/>
                <w:szCs w:val="22"/>
                <w:lang w:eastAsia="en-US"/>
              </w:rPr>
              <w:t>Jah</w:t>
            </w:r>
          </w:p>
        </w:tc>
        <w:tc>
          <w:tcPr>
            <w:tcW w:w="2869" w:type="dxa"/>
            <w:tcBorders>
              <w:top w:val="single" w:sz="4" w:space="0" w:color="auto"/>
              <w:left w:val="single" w:sz="4" w:space="0" w:color="auto"/>
              <w:bottom w:val="single" w:sz="4" w:space="0" w:color="auto"/>
              <w:right w:val="single" w:sz="4" w:space="0" w:color="auto"/>
            </w:tcBorders>
          </w:tcPr>
          <w:p w14:paraId="6CA2E111" w14:textId="77777777" w:rsidR="00B1453B" w:rsidRPr="003331EF" w:rsidRDefault="00B1453B" w:rsidP="003331EF">
            <w:pPr>
              <w:spacing w:before="0"/>
              <w:rPr>
                <w:sz w:val="22"/>
                <w:szCs w:val="22"/>
                <w:lang w:eastAsia="en-US"/>
              </w:rPr>
            </w:pPr>
            <w:r w:rsidRPr="003331EF">
              <w:rPr>
                <w:sz w:val="22"/>
                <w:szCs w:val="22"/>
                <w:lang w:eastAsia="en-US"/>
              </w:rPr>
              <w:t>RahaPTS § 13 lg 31 ja 4, § 14, § 18, § 19 lg 1 p 3, § 20 lg 1 p 6, § 23 lg 2 p 2, § 36-38, § 40 ja 41, RSanS § 20-23</w:t>
            </w:r>
          </w:p>
        </w:tc>
        <w:tc>
          <w:tcPr>
            <w:tcW w:w="2899" w:type="dxa"/>
            <w:tcBorders>
              <w:top w:val="single" w:sz="4" w:space="0" w:color="auto"/>
              <w:left w:val="single" w:sz="4" w:space="0" w:color="auto"/>
              <w:bottom w:val="single" w:sz="4" w:space="0" w:color="auto"/>
              <w:right w:val="single" w:sz="4" w:space="0" w:color="auto"/>
            </w:tcBorders>
          </w:tcPr>
          <w:p w14:paraId="3FA12E67" w14:textId="267B8CFD" w:rsidR="00B1453B" w:rsidRPr="003331EF" w:rsidRDefault="00B1453B" w:rsidP="003331EF">
            <w:pPr>
              <w:pStyle w:val="NumPar1"/>
              <w:numPr>
                <w:ilvl w:val="0"/>
                <w:numId w:val="0"/>
              </w:numPr>
              <w:spacing w:before="0" w:after="0"/>
              <w:rPr>
                <w:sz w:val="22"/>
                <w:szCs w:val="22"/>
                <w:lang w:val="et-EE"/>
              </w:rPr>
            </w:pPr>
            <w:r w:rsidRPr="003331EF">
              <w:rPr>
                <w:sz w:val="22"/>
                <w:szCs w:val="22"/>
                <w:lang w:val="et-EE"/>
              </w:rPr>
              <w:t>Suurem osa viidatud sätetest täidavad direktiivis sätestatud nõudeid kehtival kujul, kuid täiendused ja muudatused puudutavad järgnevaid sätteid: RahaPTS § 13 lg 31; § 38 lg 2, § 40 lg 1 p 5, lg 11, lg 5</w:t>
            </w:r>
            <w:r w:rsidR="00E47EB0" w:rsidRPr="003331EF">
              <w:rPr>
                <w:sz w:val="22"/>
                <w:szCs w:val="22"/>
                <w:lang w:val="et-EE"/>
              </w:rPr>
              <w:t xml:space="preserve">. </w:t>
            </w:r>
            <w:r w:rsidRPr="003331EF">
              <w:rPr>
                <w:sz w:val="22"/>
                <w:szCs w:val="22"/>
                <w:lang w:val="et-EE"/>
              </w:rPr>
              <w:t>Tegemist on krüptovarateenustele kohl</w:t>
            </w:r>
            <w:r w:rsidR="00E47EB0" w:rsidRPr="003331EF">
              <w:rPr>
                <w:sz w:val="22"/>
                <w:szCs w:val="22"/>
                <w:lang w:val="et-EE"/>
              </w:rPr>
              <w:t>a</w:t>
            </w:r>
            <w:r w:rsidRPr="003331EF">
              <w:rPr>
                <w:sz w:val="22"/>
                <w:szCs w:val="22"/>
                <w:lang w:val="et-EE"/>
              </w:rPr>
              <w:t>duvate erisustega riskide hindamisel, protseduurireeglites, hoolsusmeetmetes ja andmete säilitamises.</w:t>
            </w:r>
          </w:p>
        </w:tc>
      </w:tr>
      <w:tr w:rsidR="003331EF" w:rsidRPr="003331EF" w14:paraId="7E4EFEA7" w14:textId="77777777" w:rsidTr="00E102BB">
        <w:tc>
          <w:tcPr>
            <w:tcW w:w="1731" w:type="dxa"/>
            <w:tcBorders>
              <w:top w:val="single" w:sz="4" w:space="0" w:color="auto"/>
              <w:left w:val="single" w:sz="4" w:space="0" w:color="auto"/>
              <w:bottom w:val="single" w:sz="4" w:space="0" w:color="auto"/>
              <w:right w:val="single" w:sz="4" w:space="0" w:color="auto"/>
            </w:tcBorders>
          </w:tcPr>
          <w:p w14:paraId="7000BE43" w14:textId="77777777" w:rsidR="00B1453B" w:rsidRPr="003331EF" w:rsidRDefault="00B1453B" w:rsidP="003331EF">
            <w:pPr>
              <w:spacing w:before="0"/>
              <w:rPr>
                <w:sz w:val="22"/>
                <w:szCs w:val="22"/>
                <w:lang w:eastAsia="en-US"/>
              </w:rPr>
            </w:pPr>
            <w:r w:rsidRPr="003331EF">
              <w:rPr>
                <w:sz w:val="22"/>
                <w:szCs w:val="22"/>
                <w:lang w:eastAsia="en-US"/>
              </w:rPr>
              <w:t>Art 38 lg 5</w:t>
            </w:r>
          </w:p>
        </w:tc>
        <w:tc>
          <w:tcPr>
            <w:tcW w:w="1563" w:type="dxa"/>
            <w:tcBorders>
              <w:top w:val="single" w:sz="4" w:space="0" w:color="auto"/>
              <w:left w:val="single" w:sz="4" w:space="0" w:color="auto"/>
              <w:bottom w:val="single" w:sz="4" w:space="0" w:color="auto"/>
              <w:right w:val="single" w:sz="4" w:space="0" w:color="auto"/>
            </w:tcBorders>
          </w:tcPr>
          <w:p w14:paraId="67901363" w14:textId="77777777" w:rsidR="00B1453B" w:rsidRPr="003331EF" w:rsidRDefault="00B1453B" w:rsidP="003331EF">
            <w:pPr>
              <w:spacing w:before="0"/>
              <w:rPr>
                <w:sz w:val="22"/>
                <w:szCs w:val="22"/>
                <w:lang w:eastAsia="en-US"/>
              </w:rPr>
            </w:pPr>
            <w:r w:rsidRPr="003331EF">
              <w:rPr>
                <w:sz w:val="22"/>
                <w:szCs w:val="22"/>
                <w:lang w:eastAsia="en-US"/>
              </w:rPr>
              <w:t>Jah</w:t>
            </w:r>
          </w:p>
        </w:tc>
        <w:tc>
          <w:tcPr>
            <w:tcW w:w="2869" w:type="dxa"/>
            <w:tcBorders>
              <w:top w:val="single" w:sz="4" w:space="0" w:color="auto"/>
              <w:left w:val="single" w:sz="4" w:space="0" w:color="auto"/>
              <w:bottom w:val="single" w:sz="4" w:space="0" w:color="auto"/>
              <w:right w:val="single" w:sz="4" w:space="0" w:color="auto"/>
            </w:tcBorders>
          </w:tcPr>
          <w:p w14:paraId="1D44B155" w14:textId="77777777" w:rsidR="00B1453B" w:rsidRPr="003331EF" w:rsidRDefault="00B1453B" w:rsidP="003331EF">
            <w:pPr>
              <w:spacing w:before="0"/>
              <w:rPr>
                <w:sz w:val="22"/>
                <w:szCs w:val="22"/>
                <w:lang w:eastAsia="en-US"/>
              </w:rPr>
            </w:pPr>
            <w:r w:rsidRPr="003331EF">
              <w:rPr>
                <w:sz w:val="22"/>
                <w:szCs w:val="22"/>
                <w:lang w:eastAsia="en-US"/>
              </w:rPr>
              <w:t>RahaPTS § 38 lg 41</w:t>
            </w:r>
          </w:p>
        </w:tc>
        <w:tc>
          <w:tcPr>
            <w:tcW w:w="2899" w:type="dxa"/>
            <w:tcBorders>
              <w:top w:val="single" w:sz="4" w:space="0" w:color="auto"/>
              <w:left w:val="single" w:sz="4" w:space="0" w:color="auto"/>
              <w:bottom w:val="single" w:sz="4" w:space="0" w:color="auto"/>
              <w:right w:val="single" w:sz="4" w:space="0" w:color="auto"/>
            </w:tcBorders>
          </w:tcPr>
          <w:p w14:paraId="6F53C0B9" w14:textId="77777777" w:rsidR="00B1453B" w:rsidRPr="003331EF" w:rsidRDefault="00B1453B" w:rsidP="003331EF">
            <w:pPr>
              <w:pStyle w:val="NumPar1"/>
              <w:numPr>
                <w:ilvl w:val="0"/>
                <w:numId w:val="0"/>
              </w:numPr>
              <w:spacing w:before="0" w:after="0"/>
              <w:rPr>
                <w:sz w:val="22"/>
                <w:szCs w:val="22"/>
                <w:lang w:val="et-EE"/>
              </w:rPr>
            </w:pPr>
            <w:r w:rsidRPr="003331EF">
              <w:rPr>
                <w:sz w:val="22"/>
                <w:szCs w:val="22"/>
                <w:lang w:val="et-EE"/>
              </w:rPr>
              <w:t>EBA tõhustatud hoolsusmeetmete suuniste rakendamise kohustus.</w:t>
            </w:r>
          </w:p>
        </w:tc>
      </w:tr>
      <w:tr w:rsidR="003331EF" w:rsidRPr="003331EF" w14:paraId="3BB40DBF" w14:textId="77777777" w:rsidTr="00E102BB">
        <w:tc>
          <w:tcPr>
            <w:tcW w:w="1731" w:type="dxa"/>
            <w:tcBorders>
              <w:top w:val="single" w:sz="4" w:space="0" w:color="auto"/>
              <w:left w:val="single" w:sz="4" w:space="0" w:color="auto"/>
              <w:bottom w:val="single" w:sz="4" w:space="0" w:color="auto"/>
              <w:right w:val="single" w:sz="4" w:space="0" w:color="auto"/>
            </w:tcBorders>
          </w:tcPr>
          <w:p w14:paraId="01A6057B" w14:textId="77777777" w:rsidR="00B1453B" w:rsidRPr="003331EF" w:rsidRDefault="00B1453B" w:rsidP="003331EF">
            <w:pPr>
              <w:spacing w:before="0"/>
              <w:rPr>
                <w:sz w:val="22"/>
                <w:szCs w:val="22"/>
                <w:lang w:eastAsia="en-US"/>
              </w:rPr>
            </w:pPr>
            <w:r w:rsidRPr="003331EF">
              <w:rPr>
                <w:sz w:val="22"/>
                <w:szCs w:val="22"/>
                <w:lang w:eastAsia="en-US"/>
              </w:rPr>
              <w:t>Art 38 lg 6</w:t>
            </w:r>
          </w:p>
        </w:tc>
        <w:tc>
          <w:tcPr>
            <w:tcW w:w="1563" w:type="dxa"/>
            <w:tcBorders>
              <w:top w:val="single" w:sz="4" w:space="0" w:color="auto"/>
              <w:left w:val="single" w:sz="4" w:space="0" w:color="auto"/>
              <w:bottom w:val="single" w:sz="4" w:space="0" w:color="auto"/>
              <w:right w:val="single" w:sz="4" w:space="0" w:color="auto"/>
            </w:tcBorders>
          </w:tcPr>
          <w:p w14:paraId="592CFF72" w14:textId="77777777" w:rsidR="00B1453B" w:rsidRPr="003331EF" w:rsidRDefault="00B1453B" w:rsidP="003331EF">
            <w:pPr>
              <w:spacing w:before="0"/>
              <w:rPr>
                <w:sz w:val="22"/>
                <w:szCs w:val="22"/>
                <w:lang w:eastAsia="en-US"/>
              </w:rPr>
            </w:pPr>
            <w:r w:rsidRPr="003331EF">
              <w:rPr>
                <w:sz w:val="22"/>
                <w:szCs w:val="22"/>
                <w:lang w:eastAsia="en-US"/>
              </w:rPr>
              <w:t>Jah</w:t>
            </w:r>
          </w:p>
        </w:tc>
        <w:tc>
          <w:tcPr>
            <w:tcW w:w="2869" w:type="dxa"/>
            <w:tcBorders>
              <w:top w:val="single" w:sz="4" w:space="0" w:color="auto"/>
              <w:left w:val="single" w:sz="4" w:space="0" w:color="auto"/>
              <w:bottom w:val="single" w:sz="4" w:space="0" w:color="auto"/>
              <w:right w:val="single" w:sz="4" w:space="0" w:color="auto"/>
            </w:tcBorders>
          </w:tcPr>
          <w:p w14:paraId="2E50A85C" w14:textId="77777777" w:rsidR="00B1453B" w:rsidRPr="003331EF" w:rsidRDefault="00B1453B" w:rsidP="003331EF">
            <w:pPr>
              <w:spacing w:before="0"/>
              <w:rPr>
                <w:sz w:val="22"/>
                <w:szCs w:val="22"/>
                <w:lang w:eastAsia="en-US"/>
              </w:rPr>
            </w:pPr>
            <w:r w:rsidRPr="003331EF">
              <w:rPr>
                <w:sz w:val="22"/>
                <w:szCs w:val="22"/>
                <w:lang w:eastAsia="en-US"/>
              </w:rPr>
              <w:t>RahaPTS § 15 lg 6</w:t>
            </w:r>
          </w:p>
        </w:tc>
        <w:tc>
          <w:tcPr>
            <w:tcW w:w="2899" w:type="dxa"/>
            <w:tcBorders>
              <w:top w:val="single" w:sz="4" w:space="0" w:color="auto"/>
              <w:left w:val="single" w:sz="4" w:space="0" w:color="auto"/>
              <w:bottom w:val="single" w:sz="4" w:space="0" w:color="auto"/>
              <w:right w:val="single" w:sz="4" w:space="0" w:color="auto"/>
            </w:tcBorders>
          </w:tcPr>
          <w:p w14:paraId="67579E99" w14:textId="77777777" w:rsidR="00B1453B" w:rsidRPr="003331EF" w:rsidRDefault="00B1453B" w:rsidP="003331EF">
            <w:pPr>
              <w:pStyle w:val="NumPar1"/>
              <w:numPr>
                <w:ilvl w:val="0"/>
                <w:numId w:val="0"/>
              </w:numPr>
              <w:spacing w:before="0" w:after="0"/>
              <w:rPr>
                <w:sz w:val="22"/>
                <w:szCs w:val="22"/>
                <w:lang w:val="et-EE"/>
              </w:rPr>
            </w:pPr>
            <w:r w:rsidRPr="003331EF">
              <w:rPr>
                <w:sz w:val="22"/>
                <w:szCs w:val="22"/>
                <w:lang w:val="et-EE"/>
              </w:rPr>
              <w:t>Keskse kontaktpunkti määramise kohustuse kehtestamise võimalus.</w:t>
            </w:r>
          </w:p>
        </w:tc>
      </w:tr>
      <w:tr w:rsidR="003331EF" w:rsidRPr="003331EF" w14:paraId="784F6081" w14:textId="77777777" w:rsidTr="00E102BB">
        <w:tc>
          <w:tcPr>
            <w:tcW w:w="1731" w:type="dxa"/>
            <w:tcBorders>
              <w:top w:val="single" w:sz="4" w:space="0" w:color="auto"/>
              <w:left w:val="single" w:sz="4" w:space="0" w:color="auto"/>
              <w:bottom w:val="single" w:sz="4" w:space="0" w:color="auto"/>
              <w:right w:val="single" w:sz="4" w:space="0" w:color="auto"/>
            </w:tcBorders>
          </w:tcPr>
          <w:p w14:paraId="7C9B93F4" w14:textId="77777777" w:rsidR="00B1453B" w:rsidRPr="003331EF" w:rsidRDefault="00B1453B" w:rsidP="003331EF">
            <w:pPr>
              <w:spacing w:before="0"/>
              <w:rPr>
                <w:sz w:val="22"/>
                <w:szCs w:val="22"/>
                <w:lang w:eastAsia="en-US"/>
              </w:rPr>
            </w:pPr>
            <w:r w:rsidRPr="003331EF">
              <w:rPr>
                <w:sz w:val="22"/>
                <w:szCs w:val="22"/>
                <w:lang w:eastAsia="en-US"/>
              </w:rPr>
              <w:t>Art 38 lg 7</w:t>
            </w:r>
          </w:p>
        </w:tc>
        <w:tc>
          <w:tcPr>
            <w:tcW w:w="1563" w:type="dxa"/>
            <w:tcBorders>
              <w:top w:val="single" w:sz="4" w:space="0" w:color="auto"/>
              <w:left w:val="single" w:sz="4" w:space="0" w:color="auto"/>
              <w:bottom w:val="single" w:sz="4" w:space="0" w:color="auto"/>
              <w:right w:val="single" w:sz="4" w:space="0" w:color="auto"/>
            </w:tcBorders>
          </w:tcPr>
          <w:p w14:paraId="7787F9A3" w14:textId="77777777" w:rsidR="00B1453B" w:rsidRPr="003331EF" w:rsidRDefault="00B1453B" w:rsidP="003331EF">
            <w:pPr>
              <w:spacing w:before="0"/>
              <w:rPr>
                <w:sz w:val="22"/>
                <w:szCs w:val="22"/>
                <w:lang w:eastAsia="en-US"/>
              </w:rPr>
            </w:pPr>
            <w:r w:rsidRPr="003331EF">
              <w:rPr>
                <w:sz w:val="22"/>
                <w:szCs w:val="22"/>
                <w:lang w:eastAsia="en-US"/>
              </w:rPr>
              <w:t>Jah</w:t>
            </w:r>
          </w:p>
        </w:tc>
        <w:tc>
          <w:tcPr>
            <w:tcW w:w="2869" w:type="dxa"/>
            <w:tcBorders>
              <w:top w:val="single" w:sz="4" w:space="0" w:color="auto"/>
              <w:left w:val="single" w:sz="4" w:space="0" w:color="auto"/>
              <w:bottom w:val="single" w:sz="4" w:space="0" w:color="auto"/>
              <w:right w:val="single" w:sz="4" w:space="0" w:color="auto"/>
            </w:tcBorders>
          </w:tcPr>
          <w:p w14:paraId="3680E81D" w14:textId="48CA313D" w:rsidR="00B1453B" w:rsidRPr="003331EF" w:rsidRDefault="00B1453B" w:rsidP="003331EF">
            <w:pPr>
              <w:spacing w:before="0"/>
              <w:rPr>
                <w:sz w:val="22"/>
                <w:szCs w:val="22"/>
                <w:lang w:eastAsia="en-US"/>
              </w:rPr>
            </w:pPr>
            <w:r w:rsidRPr="003331EF">
              <w:rPr>
                <w:sz w:val="22"/>
                <w:szCs w:val="22"/>
                <w:lang w:eastAsia="en-US"/>
              </w:rPr>
              <w:t>Eelnõu § 5</w:t>
            </w:r>
            <w:r w:rsidR="00AF140D" w:rsidRPr="003331EF">
              <w:rPr>
                <w:sz w:val="22"/>
                <w:szCs w:val="22"/>
                <w:lang w:eastAsia="en-US"/>
              </w:rPr>
              <w:t>5</w:t>
            </w:r>
            <w:r w:rsidRPr="003331EF">
              <w:rPr>
                <w:sz w:val="22"/>
                <w:szCs w:val="22"/>
                <w:lang w:eastAsia="en-US"/>
              </w:rPr>
              <w:t xml:space="preserve"> p 1</w:t>
            </w:r>
          </w:p>
        </w:tc>
        <w:tc>
          <w:tcPr>
            <w:tcW w:w="2899" w:type="dxa"/>
            <w:tcBorders>
              <w:top w:val="single" w:sz="4" w:space="0" w:color="auto"/>
              <w:left w:val="single" w:sz="4" w:space="0" w:color="auto"/>
              <w:bottom w:val="single" w:sz="4" w:space="0" w:color="auto"/>
              <w:right w:val="single" w:sz="4" w:space="0" w:color="auto"/>
            </w:tcBorders>
          </w:tcPr>
          <w:p w14:paraId="0A556ACB" w14:textId="77777777" w:rsidR="00B1453B" w:rsidRPr="003331EF" w:rsidRDefault="00B1453B" w:rsidP="003331EF">
            <w:pPr>
              <w:pStyle w:val="NumPar1"/>
              <w:numPr>
                <w:ilvl w:val="0"/>
                <w:numId w:val="0"/>
              </w:numPr>
              <w:spacing w:before="0" w:after="0"/>
              <w:rPr>
                <w:sz w:val="22"/>
                <w:szCs w:val="22"/>
                <w:lang w:val="et-EE"/>
              </w:rPr>
            </w:pPr>
            <w:r w:rsidRPr="003331EF">
              <w:rPr>
                <w:sz w:val="22"/>
                <w:szCs w:val="22"/>
                <w:lang w:val="et-EE"/>
              </w:rPr>
              <w:t>Tegevusloa nõue ei tulene enam AMLD-st.</w:t>
            </w:r>
          </w:p>
        </w:tc>
      </w:tr>
      <w:tr w:rsidR="00B1453B" w:rsidRPr="003331EF" w14:paraId="323CCAA4" w14:textId="77777777" w:rsidTr="001771C8">
        <w:trPr>
          <w:trHeight w:val="50"/>
        </w:trPr>
        <w:tc>
          <w:tcPr>
            <w:tcW w:w="1731" w:type="dxa"/>
            <w:tcBorders>
              <w:top w:val="single" w:sz="4" w:space="0" w:color="auto"/>
              <w:left w:val="single" w:sz="4" w:space="0" w:color="auto"/>
              <w:bottom w:val="single" w:sz="4" w:space="0" w:color="auto"/>
              <w:right w:val="single" w:sz="4" w:space="0" w:color="auto"/>
            </w:tcBorders>
          </w:tcPr>
          <w:p w14:paraId="22B478FE" w14:textId="77777777" w:rsidR="00B1453B" w:rsidRPr="003331EF" w:rsidRDefault="00B1453B" w:rsidP="003331EF">
            <w:pPr>
              <w:spacing w:before="0"/>
              <w:rPr>
                <w:sz w:val="22"/>
                <w:szCs w:val="22"/>
                <w:lang w:eastAsia="en-US"/>
              </w:rPr>
            </w:pPr>
            <w:r w:rsidRPr="003331EF">
              <w:rPr>
                <w:sz w:val="22"/>
                <w:szCs w:val="22"/>
                <w:lang w:eastAsia="en-US"/>
              </w:rPr>
              <w:t>Art 38 lg 8</w:t>
            </w:r>
          </w:p>
        </w:tc>
        <w:tc>
          <w:tcPr>
            <w:tcW w:w="1563" w:type="dxa"/>
            <w:tcBorders>
              <w:top w:val="single" w:sz="4" w:space="0" w:color="auto"/>
              <w:left w:val="single" w:sz="4" w:space="0" w:color="auto"/>
              <w:bottom w:val="single" w:sz="4" w:space="0" w:color="auto"/>
              <w:right w:val="single" w:sz="4" w:space="0" w:color="auto"/>
            </w:tcBorders>
          </w:tcPr>
          <w:p w14:paraId="0092754E" w14:textId="77777777" w:rsidR="00B1453B" w:rsidRPr="003331EF" w:rsidRDefault="00B1453B" w:rsidP="003331EF">
            <w:pPr>
              <w:spacing w:before="0"/>
              <w:rPr>
                <w:sz w:val="22"/>
                <w:szCs w:val="22"/>
                <w:lang w:eastAsia="en-US"/>
              </w:rPr>
            </w:pPr>
            <w:r w:rsidRPr="003331EF">
              <w:rPr>
                <w:sz w:val="22"/>
                <w:szCs w:val="22"/>
                <w:lang w:eastAsia="en-US"/>
              </w:rPr>
              <w:t>Jah</w:t>
            </w:r>
          </w:p>
        </w:tc>
        <w:tc>
          <w:tcPr>
            <w:tcW w:w="2869" w:type="dxa"/>
            <w:tcBorders>
              <w:top w:val="single" w:sz="4" w:space="0" w:color="auto"/>
              <w:left w:val="single" w:sz="4" w:space="0" w:color="auto"/>
              <w:bottom w:val="single" w:sz="4" w:space="0" w:color="auto"/>
              <w:right w:val="single" w:sz="4" w:space="0" w:color="auto"/>
            </w:tcBorders>
          </w:tcPr>
          <w:p w14:paraId="0DAADA53" w14:textId="5BE8938B" w:rsidR="00B1453B" w:rsidRPr="003331EF" w:rsidRDefault="00E47EB0" w:rsidP="003331EF">
            <w:pPr>
              <w:spacing w:before="0"/>
              <w:rPr>
                <w:sz w:val="22"/>
                <w:szCs w:val="22"/>
                <w:lang w:eastAsia="en-US"/>
              </w:rPr>
            </w:pPr>
            <w:r w:rsidRPr="003331EF">
              <w:rPr>
                <w:sz w:val="22"/>
                <w:szCs w:val="22"/>
                <w:lang w:eastAsia="en-US"/>
              </w:rPr>
              <w:t xml:space="preserve">Eelnõu § </w:t>
            </w:r>
            <w:r w:rsidR="00834619" w:rsidRPr="003331EF">
              <w:rPr>
                <w:sz w:val="22"/>
                <w:szCs w:val="22"/>
                <w:lang w:eastAsia="en-US"/>
              </w:rPr>
              <w:t>60</w:t>
            </w:r>
            <w:r w:rsidRPr="003331EF">
              <w:rPr>
                <w:sz w:val="22"/>
                <w:szCs w:val="22"/>
                <w:lang w:eastAsia="en-US"/>
              </w:rPr>
              <w:t xml:space="preserve"> lg </w:t>
            </w:r>
            <w:r w:rsidR="001771C8" w:rsidRPr="003331EF">
              <w:rPr>
                <w:sz w:val="22"/>
                <w:szCs w:val="22"/>
                <w:lang w:eastAsia="en-US"/>
              </w:rPr>
              <w:t>1</w:t>
            </w:r>
          </w:p>
        </w:tc>
        <w:tc>
          <w:tcPr>
            <w:tcW w:w="2899" w:type="dxa"/>
            <w:tcBorders>
              <w:top w:val="single" w:sz="4" w:space="0" w:color="auto"/>
              <w:left w:val="single" w:sz="4" w:space="0" w:color="auto"/>
              <w:bottom w:val="single" w:sz="4" w:space="0" w:color="auto"/>
              <w:right w:val="single" w:sz="4" w:space="0" w:color="auto"/>
            </w:tcBorders>
          </w:tcPr>
          <w:p w14:paraId="6E866357" w14:textId="77777777" w:rsidR="00B1453B" w:rsidRPr="003331EF" w:rsidRDefault="00B1453B" w:rsidP="003331EF">
            <w:pPr>
              <w:pStyle w:val="NumPar1"/>
              <w:numPr>
                <w:ilvl w:val="0"/>
                <w:numId w:val="0"/>
              </w:numPr>
              <w:spacing w:before="0" w:after="0"/>
              <w:rPr>
                <w:sz w:val="22"/>
                <w:szCs w:val="22"/>
                <w:lang w:val="et-EE"/>
              </w:rPr>
            </w:pPr>
            <w:r w:rsidRPr="003331EF">
              <w:rPr>
                <w:sz w:val="22"/>
                <w:szCs w:val="22"/>
                <w:lang w:val="et-EE"/>
              </w:rPr>
              <w:t>Jõustumissäte</w:t>
            </w:r>
          </w:p>
        </w:tc>
      </w:tr>
    </w:tbl>
    <w:p w14:paraId="41F43423" w14:textId="77777777" w:rsidR="00253A7E" w:rsidRPr="003331EF" w:rsidRDefault="00253A7E" w:rsidP="003331EF">
      <w:pPr>
        <w:spacing w:before="0"/>
        <w:rPr>
          <w:lang w:eastAsia="en-US"/>
        </w:rPr>
      </w:pPr>
    </w:p>
    <w:p w14:paraId="1B5EB24F" w14:textId="77777777" w:rsidR="00B34F15" w:rsidRPr="003331EF" w:rsidRDefault="00B34F15" w:rsidP="003331EF">
      <w:pPr>
        <w:spacing w:before="0"/>
        <w:contextualSpacing/>
        <w:rPr>
          <w:b/>
        </w:rPr>
      </w:pPr>
    </w:p>
    <w:p w14:paraId="4FBE4BAB" w14:textId="77777777" w:rsidR="00B34F15" w:rsidRPr="003331EF" w:rsidRDefault="00B34F15" w:rsidP="003331EF">
      <w:pPr>
        <w:spacing w:before="0"/>
        <w:contextualSpacing/>
        <w:rPr>
          <w:b/>
        </w:rPr>
      </w:pPr>
    </w:p>
    <w:p w14:paraId="326C6D00" w14:textId="71235043" w:rsidR="00B1453B" w:rsidRPr="003331EF" w:rsidRDefault="00B1453B" w:rsidP="003331EF">
      <w:pPr>
        <w:spacing w:before="0"/>
        <w:jc w:val="left"/>
        <w:rPr>
          <w:b/>
        </w:rPr>
      </w:pPr>
    </w:p>
    <w:p w14:paraId="4C43DA35" w14:textId="77777777" w:rsidR="00722CBB" w:rsidRPr="003331EF" w:rsidRDefault="00722CBB" w:rsidP="003331EF">
      <w:pPr>
        <w:spacing w:before="0"/>
        <w:jc w:val="left"/>
        <w:rPr>
          <w:b/>
        </w:rPr>
      </w:pPr>
    </w:p>
    <w:p w14:paraId="768254B2" w14:textId="77777777" w:rsidR="00722CBB" w:rsidRPr="003331EF" w:rsidRDefault="00722CBB" w:rsidP="003331EF">
      <w:pPr>
        <w:spacing w:before="0"/>
        <w:jc w:val="left"/>
        <w:rPr>
          <w:b/>
        </w:rPr>
      </w:pPr>
    </w:p>
    <w:p w14:paraId="6E5B6C4D" w14:textId="77777777" w:rsidR="00722CBB" w:rsidRPr="003331EF" w:rsidRDefault="00722CBB" w:rsidP="003331EF">
      <w:pPr>
        <w:spacing w:before="0"/>
        <w:jc w:val="left"/>
        <w:rPr>
          <w:b/>
        </w:rPr>
      </w:pPr>
    </w:p>
    <w:p w14:paraId="07F8FA21" w14:textId="77777777" w:rsidR="00722CBB" w:rsidRPr="003331EF" w:rsidRDefault="00722CBB" w:rsidP="003331EF">
      <w:pPr>
        <w:spacing w:before="0"/>
        <w:jc w:val="left"/>
        <w:rPr>
          <w:b/>
        </w:rPr>
      </w:pPr>
    </w:p>
    <w:p w14:paraId="7B8F98A4" w14:textId="77777777" w:rsidR="00722CBB" w:rsidRPr="003331EF" w:rsidRDefault="00722CBB" w:rsidP="003331EF">
      <w:pPr>
        <w:spacing w:before="0"/>
        <w:jc w:val="left"/>
        <w:rPr>
          <w:b/>
        </w:rPr>
      </w:pPr>
    </w:p>
    <w:p w14:paraId="01214997" w14:textId="77777777" w:rsidR="00722CBB" w:rsidRPr="003331EF" w:rsidRDefault="00722CBB" w:rsidP="003331EF">
      <w:pPr>
        <w:spacing w:before="0"/>
        <w:jc w:val="left"/>
        <w:rPr>
          <w:b/>
        </w:rPr>
      </w:pPr>
    </w:p>
    <w:p w14:paraId="7FC6276A" w14:textId="77777777" w:rsidR="00722CBB" w:rsidRPr="003331EF" w:rsidRDefault="00722CBB" w:rsidP="003331EF">
      <w:pPr>
        <w:spacing w:before="0"/>
        <w:jc w:val="left"/>
        <w:rPr>
          <w:b/>
        </w:rPr>
      </w:pPr>
    </w:p>
    <w:p w14:paraId="482E264E" w14:textId="77777777" w:rsidR="00722CBB" w:rsidRPr="003331EF" w:rsidRDefault="00722CBB" w:rsidP="003331EF">
      <w:pPr>
        <w:spacing w:before="0"/>
        <w:jc w:val="left"/>
        <w:rPr>
          <w:b/>
        </w:rPr>
      </w:pPr>
    </w:p>
    <w:p w14:paraId="72DF9521" w14:textId="77777777" w:rsidR="00722CBB" w:rsidRPr="003331EF" w:rsidRDefault="00722CBB" w:rsidP="003331EF">
      <w:pPr>
        <w:spacing w:before="0"/>
        <w:jc w:val="left"/>
        <w:rPr>
          <w:b/>
        </w:rPr>
      </w:pPr>
    </w:p>
    <w:p w14:paraId="72A2FD09" w14:textId="77777777" w:rsidR="00722CBB" w:rsidRPr="003331EF" w:rsidRDefault="00722CBB" w:rsidP="003331EF">
      <w:pPr>
        <w:spacing w:before="0"/>
        <w:jc w:val="left"/>
        <w:rPr>
          <w:b/>
        </w:rPr>
      </w:pPr>
    </w:p>
    <w:p w14:paraId="3683CD6C" w14:textId="77777777" w:rsidR="00722CBB" w:rsidRPr="003331EF" w:rsidRDefault="00722CBB" w:rsidP="003331EF">
      <w:pPr>
        <w:spacing w:before="0"/>
        <w:jc w:val="left"/>
        <w:rPr>
          <w:b/>
        </w:rPr>
      </w:pPr>
    </w:p>
    <w:p w14:paraId="5E2A88E9" w14:textId="77777777" w:rsidR="00722CBB" w:rsidRPr="003331EF" w:rsidRDefault="00722CBB" w:rsidP="003331EF">
      <w:pPr>
        <w:spacing w:before="0"/>
        <w:jc w:val="left"/>
        <w:rPr>
          <w:b/>
        </w:rPr>
      </w:pPr>
    </w:p>
    <w:p w14:paraId="4D3533FF" w14:textId="77777777" w:rsidR="00722CBB" w:rsidRPr="003331EF" w:rsidRDefault="00722CBB" w:rsidP="003331EF">
      <w:pPr>
        <w:spacing w:before="0"/>
        <w:jc w:val="left"/>
        <w:rPr>
          <w:b/>
        </w:rPr>
      </w:pPr>
    </w:p>
    <w:p w14:paraId="7D9D39CE" w14:textId="77777777" w:rsidR="00722CBB" w:rsidRPr="003331EF" w:rsidRDefault="00722CBB" w:rsidP="003331EF">
      <w:pPr>
        <w:spacing w:before="0"/>
        <w:jc w:val="left"/>
        <w:rPr>
          <w:b/>
        </w:rPr>
      </w:pPr>
    </w:p>
    <w:p w14:paraId="3A9E96BD" w14:textId="77777777" w:rsidR="00722CBB" w:rsidRPr="003331EF" w:rsidRDefault="00722CBB" w:rsidP="003331EF">
      <w:pPr>
        <w:spacing w:before="0"/>
        <w:jc w:val="left"/>
        <w:rPr>
          <w:b/>
        </w:rPr>
      </w:pPr>
    </w:p>
    <w:p w14:paraId="1B68C3EE" w14:textId="77777777" w:rsidR="00722CBB" w:rsidRPr="003331EF" w:rsidRDefault="00722CBB" w:rsidP="003331EF">
      <w:pPr>
        <w:spacing w:before="0"/>
        <w:jc w:val="left"/>
        <w:rPr>
          <w:b/>
        </w:rPr>
      </w:pPr>
    </w:p>
    <w:p w14:paraId="770483F7" w14:textId="77777777" w:rsidR="00722CBB" w:rsidRPr="003331EF" w:rsidRDefault="00722CBB" w:rsidP="003331EF">
      <w:pPr>
        <w:spacing w:before="0"/>
        <w:jc w:val="left"/>
        <w:rPr>
          <w:b/>
        </w:rPr>
      </w:pPr>
    </w:p>
    <w:p w14:paraId="377DEBDF" w14:textId="77777777" w:rsidR="00722CBB" w:rsidRPr="003331EF" w:rsidRDefault="00722CBB" w:rsidP="003331EF">
      <w:pPr>
        <w:spacing w:before="0"/>
        <w:jc w:val="left"/>
        <w:rPr>
          <w:b/>
        </w:rPr>
      </w:pPr>
    </w:p>
    <w:p w14:paraId="0156A4AC" w14:textId="77777777" w:rsidR="00722CBB" w:rsidRPr="003331EF" w:rsidRDefault="00722CBB" w:rsidP="003331EF">
      <w:pPr>
        <w:spacing w:before="0"/>
        <w:jc w:val="left"/>
        <w:rPr>
          <w:b/>
        </w:rPr>
      </w:pPr>
    </w:p>
    <w:p w14:paraId="7A298D62" w14:textId="77777777" w:rsidR="00722CBB" w:rsidRPr="003331EF" w:rsidRDefault="00722CBB" w:rsidP="003331EF">
      <w:pPr>
        <w:spacing w:before="0"/>
        <w:jc w:val="left"/>
        <w:rPr>
          <w:b/>
        </w:rPr>
      </w:pPr>
    </w:p>
    <w:p w14:paraId="03821DDA" w14:textId="77777777" w:rsidR="00722CBB" w:rsidRPr="003331EF" w:rsidRDefault="00722CBB" w:rsidP="003331EF">
      <w:pPr>
        <w:spacing w:before="0"/>
        <w:jc w:val="left"/>
        <w:rPr>
          <w:b/>
        </w:rPr>
      </w:pPr>
    </w:p>
    <w:p w14:paraId="51480E48" w14:textId="77777777" w:rsidR="00722CBB" w:rsidRPr="003331EF" w:rsidRDefault="00722CBB" w:rsidP="003331EF">
      <w:pPr>
        <w:spacing w:before="0"/>
        <w:jc w:val="left"/>
        <w:rPr>
          <w:b/>
        </w:rPr>
      </w:pPr>
    </w:p>
    <w:p w14:paraId="3B1F97EF" w14:textId="77777777" w:rsidR="00722CBB" w:rsidRPr="003331EF" w:rsidRDefault="00722CBB" w:rsidP="003331EF">
      <w:pPr>
        <w:spacing w:before="0"/>
        <w:jc w:val="left"/>
        <w:rPr>
          <w:b/>
        </w:rPr>
      </w:pPr>
    </w:p>
    <w:p w14:paraId="22E3B2C8" w14:textId="77777777" w:rsidR="00722CBB" w:rsidRPr="003331EF" w:rsidRDefault="00722CBB" w:rsidP="003331EF">
      <w:pPr>
        <w:spacing w:before="0"/>
        <w:jc w:val="left"/>
        <w:rPr>
          <w:b/>
        </w:rPr>
      </w:pPr>
    </w:p>
    <w:p w14:paraId="1FC3C21D" w14:textId="77777777" w:rsidR="00722CBB" w:rsidRPr="003331EF" w:rsidRDefault="00722CBB" w:rsidP="003331EF">
      <w:pPr>
        <w:spacing w:before="0"/>
        <w:jc w:val="left"/>
        <w:rPr>
          <w:b/>
        </w:rPr>
      </w:pPr>
    </w:p>
    <w:p w14:paraId="3C3AE3E8" w14:textId="77777777" w:rsidR="00596213" w:rsidRPr="003331EF" w:rsidRDefault="00596213" w:rsidP="003331EF">
      <w:pPr>
        <w:spacing w:before="0"/>
        <w:contextualSpacing/>
        <w:rPr>
          <w:b/>
        </w:rPr>
      </w:pPr>
    </w:p>
    <w:p w14:paraId="2F45E52F" w14:textId="77777777" w:rsidR="00596213" w:rsidRPr="003331EF" w:rsidRDefault="00596213" w:rsidP="003331EF">
      <w:pPr>
        <w:spacing w:before="0"/>
        <w:contextualSpacing/>
        <w:rPr>
          <w:b/>
        </w:rPr>
      </w:pPr>
    </w:p>
    <w:p w14:paraId="74D24A9B" w14:textId="77777777" w:rsidR="00596213" w:rsidRPr="003331EF" w:rsidRDefault="00596213" w:rsidP="003331EF">
      <w:pPr>
        <w:spacing w:before="0"/>
        <w:contextualSpacing/>
        <w:rPr>
          <w:b/>
        </w:rPr>
      </w:pPr>
    </w:p>
    <w:p w14:paraId="03BE2C24" w14:textId="77777777" w:rsidR="00596213" w:rsidRPr="003331EF" w:rsidRDefault="00596213" w:rsidP="003331EF">
      <w:pPr>
        <w:spacing w:before="0"/>
        <w:contextualSpacing/>
        <w:rPr>
          <w:b/>
        </w:rPr>
      </w:pPr>
    </w:p>
    <w:p w14:paraId="4C956BCC" w14:textId="77777777" w:rsidR="00596213" w:rsidRPr="003331EF" w:rsidRDefault="00596213" w:rsidP="003331EF">
      <w:pPr>
        <w:spacing w:before="0"/>
        <w:contextualSpacing/>
        <w:rPr>
          <w:b/>
        </w:rPr>
      </w:pPr>
    </w:p>
    <w:p w14:paraId="34F4DDBF" w14:textId="77777777" w:rsidR="00596213" w:rsidRPr="003331EF" w:rsidRDefault="00596213" w:rsidP="003331EF">
      <w:pPr>
        <w:spacing w:before="0"/>
        <w:contextualSpacing/>
        <w:rPr>
          <w:b/>
        </w:rPr>
      </w:pPr>
    </w:p>
    <w:p w14:paraId="60E88CD5" w14:textId="77777777" w:rsidR="00596213" w:rsidRPr="003331EF" w:rsidRDefault="00596213" w:rsidP="003331EF">
      <w:pPr>
        <w:spacing w:before="0"/>
        <w:contextualSpacing/>
        <w:rPr>
          <w:b/>
        </w:rPr>
      </w:pPr>
    </w:p>
    <w:p w14:paraId="5DFDDFAC" w14:textId="77777777" w:rsidR="00596213" w:rsidRPr="003331EF" w:rsidRDefault="00596213" w:rsidP="003331EF">
      <w:pPr>
        <w:spacing w:before="0"/>
        <w:contextualSpacing/>
        <w:rPr>
          <w:b/>
        </w:rPr>
      </w:pPr>
    </w:p>
    <w:p w14:paraId="480DFDD4" w14:textId="546FBEF7" w:rsidR="0025116F" w:rsidRPr="003331EF" w:rsidRDefault="00F42347" w:rsidP="003331EF">
      <w:pPr>
        <w:spacing w:before="0"/>
        <w:contextualSpacing/>
        <w:rPr>
          <w:rFonts w:eastAsia="Calibri"/>
          <w:b/>
        </w:rPr>
      </w:pPr>
      <w:r w:rsidRPr="003331EF">
        <w:rPr>
          <w:b/>
        </w:rPr>
        <w:t xml:space="preserve">LISA 2.  </w:t>
      </w:r>
      <w:r w:rsidRPr="003331EF">
        <w:rPr>
          <w:rFonts w:eastAsia="Calibri"/>
          <w:b/>
        </w:rPr>
        <w:t>Rakendusaktide kavand</w:t>
      </w:r>
    </w:p>
    <w:p w14:paraId="608410C2" w14:textId="77777777" w:rsidR="00F42347" w:rsidRPr="003331EF" w:rsidRDefault="00F42347" w:rsidP="003331EF">
      <w:pPr>
        <w:spacing w:before="0"/>
        <w:contextualSpacing/>
        <w:rPr>
          <w:rFonts w:eastAsia="Calibri"/>
          <w:b/>
        </w:rPr>
      </w:pPr>
    </w:p>
    <w:p w14:paraId="69B12309" w14:textId="77777777" w:rsidR="00F42347" w:rsidRPr="003331EF" w:rsidRDefault="00F42347" w:rsidP="003331EF">
      <w:pPr>
        <w:spacing w:before="0"/>
        <w:contextualSpacing/>
        <w:rPr>
          <w:rFonts w:eastAsia="Calibri"/>
          <w:b/>
        </w:rPr>
      </w:pPr>
    </w:p>
    <w:p w14:paraId="5CD09E6F" w14:textId="77777777" w:rsidR="00F42347" w:rsidRPr="003331EF" w:rsidRDefault="00F42347" w:rsidP="003331EF">
      <w:pPr>
        <w:spacing w:before="0"/>
        <w:rPr>
          <w:b/>
          <w:bCs/>
        </w:rPr>
      </w:pPr>
      <w:r w:rsidRPr="003331EF">
        <w:rPr>
          <w:b/>
          <w:bCs/>
        </w:rPr>
        <w:t xml:space="preserve">Rahandusministri määrus </w:t>
      </w:r>
    </w:p>
    <w:p w14:paraId="4A5AF472" w14:textId="006E5781" w:rsidR="00F42347" w:rsidRPr="003331EF" w:rsidRDefault="00F42347" w:rsidP="003331EF">
      <w:pPr>
        <w:spacing w:before="0"/>
        <w:rPr>
          <w:b/>
          <w:bCs/>
        </w:rPr>
      </w:pPr>
      <w:r w:rsidRPr="003331EF">
        <w:rPr>
          <w:b/>
          <w:bCs/>
        </w:rPr>
        <w:t xml:space="preserve">„Krüptovarateenuse </w:t>
      </w:r>
      <w:r w:rsidRPr="003331EF">
        <w:rPr>
          <w:b/>
          <w:bCs/>
          <w:bdr w:val="none" w:sz="0" w:space="0" w:color="auto" w:frame="1"/>
          <w:lang w:eastAsia="en-GB"/>
        </w:rPr>
        <w:t>osutaja Finantsinspektsioonile esitatavate aruannete sisu, vormid, koostamise metoodika ja esitamise kord</w:t>
      </w:r>
      <w:r w:rsidRPr="003331EF">
        <w:rPr>
          <w:b/>
          <w:bCs/>
        </w:rPr>
        <w:t xml:space="preserve">“ </w:t>
      </w:r>
    </w:p>
    <w:p w14:paraId="1E609760" w14:textId="77777777" w:rsidR="00F42347" w:rsidRPr="003331EF" w:rsidRDefault="00F42347" w:rsidP="003331EF">
      <w:pPr>
        <w:spacing w:before="0"/>
      </w:pPr>
    </w:p>
    <w:p w14:paraId="7A9C0F2B" w14:textId="6ED160B0" w:rsidR="00F42347" w:rsidRPr="003331EF" w:rsidRDefault="00F42347" w:rsidP="003331EF">
      <w:pPr>
        <w:spacing w:before="0"/>
      </w:pPr>
      <w:r w:rsidRPr="003331EF">
        <w:t xml:space="preserve">Määrus kehtestatakse </w:t>
      </w:r>
      <w:hyperlink r:id="rId20" w:history="1">
        <w:r w:rsidRPr="003331EF">
          <w:t>krüptovaraturu seaduse</w:t>
        </w:r>
      </w:hyperlink>
      <w:r w:rsidRPr="003331EF">
        <w:t xml:space="preserve"> (edaspidi </w:t>
      </w:r>
      <w:r w:rsidRPr="003331EF">
        <w:rPr>
          <w:i/>
          <w:iCs/>
        </w:rPr>
        <w:t>seadus</w:t>
      </w:r>
      <w:r w:rsidRPr="003331EF">
        <w:t>) § 1</w:t>
      </w:r>
      <w:r w:rsidR="00722CBB" w:rsidRPr="003331EF">
        <w:t>4</w:t>
      </w:r>
      <w:r w:rsidRPr="003331EF">
        <w:t xml:space="preserve"> lõike </w:t>
      </w:r>
      <w:r w:rsidR="00722CBB" w:rsidRPr="003331EF">
        <w:t>8</w:t>
      </w:r>
      <w:r w:rsidRPr="003331EF">
        <w:t xml:space="preserve"> alusel.</w:t>
      </w:r>
    </w:p>
    <w:p w14:paraId="4FFEE7E5" w14:textId="77777777" w:rsidR="00F42347" w:rsidRPr="003331EF" w:rsidRDefault="00F42347" w:rsidP="003331EF">
      <w:pPr>
        <w:spacing w:before="0"/>
      </w:pPr>
    </w:p>
    <w:p w14:paraId="01131F07" w14:textId="77777777" w:rsidR="00F42347" w:rsidRPr="003331EF" w:rsidRDefault="00F42347" w:rsidP="003331EF">
      <w:pPr>
        <w:shd w:val="clear" w:color="auto" w:fill="FFFFFF"/>
        <w:spacing w:before="0"/>
        <w:outlineLvl w:val="2"/>
        <w:rPr>
          <w:b/>
          <w:bCs/>
          <w:bdr w:val="none" w:sz="0" w:space="0" w:color="auto" w:frame="1"/>
          <w:lang w:eastAsia="en-GB"/>
        </w:rPr>
      </w:pPr>
      <w:r w:rsidRPr="003331EF">
        <w:rPr>
          <w:b/>
          <w:bCs/>
          <w:bdr w:val="none" w:sz="0" w:space="0" w:color="auto" w:frame="1"/>
          <w:lang w:eastAsia="en-GB"/>
        </w:rPr>
        <w:t>§ 1.  Reguleerimisala</w:t>
      </w:r>
    </w:p>
    <w:p w14:paraId="5599F30F" w14:textId="77777777" w:rsidR="00F42347" w:rsidRPr="003331EF" w:rsidRDefault="00F42347" w:rsidP="003331EF">
      <w:pPr>
        <w:shd w:val="clear" w:color="auto" w:fill="FFFFFF"/>
        <w:spacing w:before="0"/>
        <w:outlineLvl w:val="2"/>
        <w:rPr>
          <w:b/>
          <w:bCs/>
          <w:bdr w:val="none" w:sz="0" w:space="0" w:color="auto" w:frame="1"/>
          <w:lang w:eastAsia="en-GB"/>
        </w:rPr>
      </w:pPr>
    </w:p>
    <w:p w14:paraId="0E0E640A" w14:textId="367D8847" w:rsidR="00F42347" w:rsidRPr="003331EF" w:rsidRDefault="00F42347" w:rsidP="003331EF">
      <w:pPr>
        <w:shd w:val="clear" w:color="auto" w:fill="FFFFFF"/>
        <w:spacing w:before="0"/>
        <w:outlineLvl w:val="2"/>
        <w:rPr>
          <w:bCs/>
          <w:bdr w:val="none" w:sz="0" w:space="0" w:color="auto" w:frame="1"/>
          <w:lang w:eastAsia="en-GB"/>
        </w:rPr>
      </w:pPr>
      <w:r w:rsidRPr="003331EF">
        <w:rPr>
          <w:bCs/>
          <w:bdr w:val="none" w:sz="0" w:space="0" w:color="auto" w:frame="1"/>
          <w:lang w:eastAsia="en-GB"/>
        </w:rPr>
        <w:t>Käesolev määrus sätestab krüptovarateenuse osuta</w:t>
      </w:r>
      <w:r w:rsidR="004A1953" w:rsidRPr="003331EF">
        <w:rPr>
          <w:bCs/>
          <w:bdr w:val="none" w:sz="0" w:space="0" w:color="auto" w:frame="1"/>
          <w:lang w:eastAsia="en-GB"/>
        </w:rPr>
        <w:t>mise kohta</w:t>
      </w:r>
      <w:r w:rsidRPr="003331EF">
        <w:rPr>
          <w:bCs/>
          <w:bdr w:val="none" w:sz="0" w:space="0" w:color="auto" w:frame="1"/>
          <w:lang w:eastAsia="en-GB"/>
        </w:rPr>
        <w:t xml:space="preserve"> Finantsinspektsioonile esitatavate aruannete </w:t>
      </w:r>
      <w:r w:rsidR="008C63BC" w:rsidRPr="003331EF">
        <w:t>sisu, vormid, koostamise metoodika ja esitamise korra</w:t>
      </w:r>
      <w:r w:rsidR="008C63BC" w:rsidRPr="003331EF">
        <w:rPr>
          <w:bCs/>
          <w:bdr w:val="none" w:sz="0" w:space="0" w:color="auto" w:frame="1"/>
          <w:lang w:eastAsia="en-GB"/>
        </w:rPr>
        <w:t>.</w:t>
      </w:r>
    </w:p>
    <w:p w14:paraId="59208D8D" w14:textId="77777777" w:rsidR="00F42347" w:rsidRPr="003331EF" w:rsidRDefault="00F42347" w:rsidP="003331EF">
      <w:pPr>
        <w:shd w:val="clear" w:color="auto" w:fill="FFFFFF"/>
        <w:spacing w:before="0"/>
        <w:outlineLvl w:val="2"/>
        <w:rPr>
          <w:b/>
          <w:bCs/>
          <w:bdr w:val="none" w:sz="0" w:space="0" w:color="auto" w:frame="1"/>
          <w:lang w:eastAsia="en-GB"/>
        </w:rPr>
      </w:pPr>
    </w:p>
    <w:p w14:paraId="45C73A4A" w14:textId="310FF487" w:rsidR="00F42347" w:rsidRPr="003331EF" w:rsidRDefault="00F42347" w:rsidP="003331EF">
      <w:pPr>
        <w:shd w:val="clear" w:color="auto" w:fill="FFFFFF"/>
        <w:spacing w:before="0"/>
        <w:outlineLvl w:val="2"/>
        <w:rPr>
          <w:b/>
          <w:bCs/>
          <w:bdr w:val="none" w:sz="0" w:space="0" w:color="auto" w:frame="1"/>
          <w:lang w:eastAsia="en-GB"/>
        </w:rPr>
      </w:pPr>
      <w:r w:rsidRPr="003331EF">
        <w:rPr>
          <w:b/>
          <w:bCs/>
          <w:bdr w:val="none" w:sz="0" w:space="0" w:color="auto" w:frame="1"/>
          <w:lang w:eastAsia="en-GB"/>
        </w:rPr>
        <w:t xml:space="preserve">§ 2. </w:t>
      </w:r>
      <w:r w:rsidR="008C63BC" w:rsidRPr="003331EF">
        <w:rPr>
          <w:b/>
          <w:bCs/>
          <w:bdr w:val="none" w:sz="0" w:space="0" w:color="auto" w:frame="1"/>
          <w:lang w:eastAsia="en-GB"/>
        </w:rPr>
        <w:t>Kohaldamisala</w:t>
      </w:r>
    </w:p>
    <w:p w14:paraId="37400E80" w14:textId="77777777" w:rsidR="008C63BC" w:rsidRPr="003331EF" w:rsidRDefault="008C63BC" w:rsidP="003331EF">
      <w:pPr>
        <w:shd w:val="clear" w:color="auto" w:fill="FFFFFF"/>
        <w:spacing w:before="0"/>
        <w:outlineLvl w:val="2"/>
        <w:rPr>
          <w:b/>
          <w:bCs/>
          <w:bdr w:val="none" w:sz="0" w:space="0" w:color="auto" w:frame="1"/>
          <w:lang w:eastAsia="en-GB"/>
        </w:rPr>
      </w:pPr>
    </w:p>
    <w:p w14:paraId="521B1D78" w14:textId="38943235" w:rsidR="008C63BC" w:rsidRPr="003331EF" w:rsidRDefault="008C63BC" w:rsidP="003331EF">
      <w:pPr>
        <w:shd w:val="clear" w:color="auto" w:fill="FFFFFF"/>
        <w:spacing w:before="0"/>
        <w:outlineLvl w:val="2"/>
        <w:rPr>
          <w:bCs/>
          <w:bdr w:val="none" w:sz="0" w:space="0" w:color="auto" w:frame="1"/>
          <w:lang w:eastAsia="en-GB"/>
        </w:rPr>
      </w:pPr>
      <w:bookmarkStart w:id="130" w:name="para2lg1"/>
      <w:r w:rsidRPr="003331EF">
        <w:rPr>
          <w:bCs/>
          <w:bdr w:val="none" w:sz="0" w:space="0" w:color="auto" w:frame="1"/>
          <w:lang w:eastAsia="en-GB"/>
        </w:rPr>
        <w:t> </w:t>
      </w:r>
      <w:bookmarkEnd w:id="130"/>
      <w:r w:rsidRPr="003331EF">
        <w:rPr>
          <w:bCs/>
          <w:bdr w:val="none" w:sz="0" w:space="0" w:color="auto" w:frame="1"/>
          <w:lang w:eastAsia="en-GB"/>
        </w:rPr>
        <w:t xml:space="preserve">Määrusekohased aruanded koostavad ja esitavad Eestis krüptovarateenuse osutamiseks </w:t>
      </w:r>
      <w:r w:rsidR="004A1953" w:rsidRPr="003331EF">
        <w:rPr>
          <w:bCs/>
          <w:bdr w:val="none" w:sz="0" w:space="0" w:color="auto" w:frame="1"/>
          <w:lang w:eastAsia="en-GB"/>
        </w:rPr>
        <w:t>õigust omavad</w:t>
      </w:r>
      <w:r w:rsidRPr="003331EF">
        <w:rPr>
          <w:bCs/>
          <w:bdr w:val="none" w:sz="0" w:space="0" w:color="auto" w:frame="1"/>
          <w:lang w:eastAsia="en-GB"/>
        </w:rPr>
        <w:t xml:space="preserve"> </w:t>
      </w:r>
      <w:r w:rsidR="004A1953" w:rsidRPr="003331EF">
        <w:rPr>
          <w:bCs/>
          <w:bdr w:val="none" w:sz="0" w:space="0" w:color="auto" w:frame="1"/>
          <w:lang w:eastAsia="en-GB"/>
        </w:rPr>
        <w:t xml:space="preserve">krüptoravateenuse osutajad ja lepinguriigi krüptovarateenuse osutaja Eesti filiaalid. </w:t>
      </w:r>
    </w:p>
    <w:p w14:paraId="071413E2" w14:textId="77777777" w:rsidR="00F42347" w:rsidRPr="003331EF" w:rsidRDefault="00F42347" w:rsidP="003331EF">
      <w:pPr>
        <w:shd w:val="clear" w:color="auto" w:fill="FFFFFF"/>
        <w:spacing w:before="0"/>
        <w:outlineLvl w:val="2"/>
        <w:rPr>
          <w:b/>
          <w:bCs/>
          <w:bdr w:val="none" w:sz="0" w:space="0" w:color="auto" w:frame="1"/>
          <w:lang w:eastAsia="en-GB"/>
        </w:rPr>
      </w:pPr>
    </w:p>
    <w:p w14:paraId="284B8744" w14:textId="77777777" w:rsidR="00F42347" w:rsidRPr="003331EF" w:rsidRDefault="00F42347" w:rsidP="003331EF">
      <w:pPr>
        <w:pStyle w:val="Pealkiri30"/>
        <w:shd w:val="clear" w:color="auto" w:fill="FFFFFF"/>
        <w:spacing w:before="0"/>
        <w:rPr>
          <w:b w:val="0"/>
          <w:bCs w:val="0"/>
          <w:color w:val="auto"/>
          <w:lang w:val="et-EE"/>
        </w:rPr>
      </w:pPr>
      <w:r w:rsidRPr="003331EF">
        <w:rPr>
          <w:color w:val="auto"/>
          <w:bdr w:val="none" w:sz="0" w:space="0" w:color="auto" w:frame="1"/>
          <w:lang w:val="et-EE"/>
        </w:rPr>
        <w:t xml:space="preserve">§ 3. </w:t>
      </w:r>
      <w:r w:rsidRPr="003331EF">
        <w:rPr>
          <w:color w:val="auto"/>
          <w:lang w:val="et-EE"/>
        </w:rPr>
        <w:t>Koostatavad aruanded</w:t>
      </w:r>
    </w:p>
    <w:p w14:paraId="7490FE16" w14:textId="77777777" w:rsidR="00F42347" w:rsidRPr="003331EF" w:rsidRDefault="00F42347" w:rsidP="003331EF">
      <w:pPr>
        <w:pStyle w:val="Pealkiri30"/>
        <w:shd w:val="clear" w:color="auto" w:fill="FFFFFF"/>
        <w:spacing w:before="0"/>
        <w:rPr>
          <w:color w:val="auto"/>
          <w:lang w:val="et-EE"/>
        </w:rPr>
      </w:pPr>
    </w:p>
    <w:p w14:paraId="79708FA5" w14:textId="39CE6E76" w:rsidR="00F42347" w:rsidRPr="003331EF" w:rsidRDefault="00F42347" w:rsidP="003331EF">
      <w:pPr>
        <w:shd w:val="clear" w:color="auto" w:fill="FFFFFF"/>
        <w:spacing w:before="0"/>
        <w:jc w:val="left"/>
      </w:pPr>
      <w:r w:rsidRPr="003331EF">
        <w:t>Teenuseosutaja koostab ja esitab Finantsinspektsioonile:</w:t>
      </w:r>
      <w:r w:rsidRPr="003331EF">
        <w:br/>
        <w:t>1) „Tehingute aruande” vastavalt lisale 1</w:t>
      </w:r>
      <w:r w:rsidR="004A1953" w:rsidRPr="003331EF">
        <w:t>, aruandekoodiga xxxa</w:t>
      </w:r>
      <w:r w:rsidRPr="003331EF">
        <w:t>;</w:t>
      </w:r>
      <w:r w:rsidRPr="003331EF">
        <w:br/>
        <w:t>2) „Klientide vara aruande” vastavalt lisale 2</w:t>
      </w:r>
      <w:r w:rsidR="004A1953" w:rsidRPr="003331EF">
        <w:t>, aruandekoodiga xxxb</w:t>
      </w:r>
      <w:r w:rsidRPr="003331EF">
        <w:t>;</w:t>
      </w:r>
      <w:r w:rsidRPr="003331EF">
        <w:br/>
        <w:t>3) „Omavahendite aruande” vastavalt lisale 3</w:t>
      </w:r>
      <w:r w:rsidR="004A1953" w:rsidRPr="003331EF">
        <w:t>, aruandekoodiga xxxc</w:t>
      </w:r>
      <w:r w:rsidRPr="003331EF">
        <w:t>;</w:t>
      </w:r>
      <w:r w:rsidRPr="003331EF">
        <w:br/>
        <w:t>4) „</w:t>
      </w:r>
      <w:r w:rsidR="00634E3B" w:rsidRPr="003331EF">
        <w:t>B</w:t>
      </w:r>
      <w:r w:rsidRPr="003331EF">
        <w:t>ilans</w:t>
      </w:r>
      <w:r w:rsidR="004A1953" w:rsidRPr="003331EF">
        <w:t>s</w:t>
      </w:r>
      <w:r w:rsidRPr="003331EF">
        <w:t>” vastavalt lisale 4</w:t>
      </w:r>
      <w:r w:rsidR="004A1953" w:rsidRPr="003331EF">
        <w:t>, aruandekoodiga xxxd</w:t>
      </w:r>
      <w:r w:rsidRPr="003331EF">
        <w:t>;</w:t>
      </w:r>
      <w:r w:rsidRPr="003331EF">
        <w:br/>
        <w:t>5) „</w:t>
      </w:r>
      <w:r w:rsidR="00634E3B" w:rsidRPr="003331EF">
        <w:t>K</w:t>
      </w:r>
      <w:r w:rsidRPr="003331EF">
        <w:t>asumiaruande” vastavalt lisale 5</w:t>
      </w:r>
      <w:r w:rsidR="004A1953" w:rsidRPr="003331EF">
        <w:t>, aruandekoodiga xxxf</w:t>
      </w:r>
      <w:r w:rsidRPr="003331EF">
        <w:t>.</w:t>
      </w:r>
    </w:p>
    <w:p w14:paraId="6E439E4E" w14:textId="77777777" w:rsidR="00F42347" w:rsidRPr="003331EF" w:rsidRDefault="00F42347" w:rsidP="003331EF">
      <w:pPr>
        <w:shd w:val="clear" w:color="auto" w:fill="FFFFFF"/>
        <w:spacing w:before="0"/>
        <w:rPr>
          <w:bdr w:val="none" w:sz="0" w:space="0" w:color="auto" w:frame="1"/>
        </w:rPr>
      </w:pPr>
    </w:p>
    <w:p w14:paraId="7CF3C984" w14:textId="77777777" w:rsidR="00F42347" w:rsidRPr="003331EF" w:rsidRDefault="00F42347" w:rsidP="003331EF">
      <w:pPr>
        <w:pStyle w:val="Pealkiri30"/>
        <w:shd w:val="clear" w:color="auto" w:fill="FFFFFF"/>
        <w:spacing w:before="0"/>
        <w:rPr>
          <w:color w:val="auto"/>
          <w:lang w:val="et-EE"/>
        </w:rPr>
      </w:pPr>
      <w:r w:rsidRPr="003331EF">
        <w:rPr>
          <w:bCs w:val="0"/>
          <w:color w:val="auto"/>
          <w:bdr w:val="none" w:sz="0" w:space="0" w:color="auto" w:frame="1"/>
          <w:lang w:val="et-EE"/>
        </w:rPr>
        <w:t>§ 4.</w:t>
      </w:r>
      <w:r w:rsidRPr="003331EF">
        <w:rPr>
          <w:color w:val="auto"/>
          <w:bdr w:val="none" w:sz="0" w:space="0" w:color="auto" w:frame="1"/>
          <w:lang w:val="et-EE"/>
        </w:rPr>
        <w:t xml:space="preserve"> </w:t>
      </w:r>
      <w:r w:rsidRPr="003331EF">
        <w:rPr>
          <w:color w:val="auto"/>
          <w:lang w:val="et-EE"/>
        </w:rPr>
        <w:t>Aruannete koostamise alused</w:t>
      </w:r>
      <w:r w:rsidRPr="003331EF">
        <w:rPr>
          <w:color w:val="auto"/>
          <w:lang w:val="et-EE"/>
        </w:rPr>
        <w:br/>
      </w:r>
    </w:p>
    <w:p w14:paraId="1211F0FA" w14:textId="0D36009B" w:rsidR="00634E3B" w:rsidRPr="003331EF" w:rsidRDefault="00F42347" w:rsidP="003331EF">
      <w:pPr>
        <w:shd w:val="clear" w:color="auto" w:fill="FFFFFF"/>
        <w:spacing w:before="0"/>
        <w:jc w:val="left"/>
      </w:pPr>
      <w:r w:rsidRPr="003331EF">
        <w:t xml:space="preserve">(1) </w:t>
      </w:r>
      <w:r w:rsidR="004A1953" w:rsidRPr="003331EF">
        <w:rPr>
          <w:bCs/>
          <w:bdr w:val="none" w:sz="0" w:space="0" w:color="auto" w:frame="1"/>
          <w:lang w:eastAsia="en-GB"/>
        </w:rPr>
        <w:t>Aruanded koostatakse eurodes ümardatuna kahe kohani pärast koma, välja arvatud juhul, kui käesolevas määruses või selle lisades on sätestatud teisiti.</w:t>
      </w:r>
      <w:r w:rsidR="004A1953" w:rsidRPr="003331EF">
        <w:br/>
      </w:r>
    </w:p>
    <w:p w14:paraId="608AB3EF" w14:textId="77777777" w:rsidR="00F42347" w:rsidRPr="003331EF" w:rsidRDefault="00F42347" w:rsidP="003331EF">
      <w:pPr>
        <w:shd w:val="clear" w:color="auto" w:fill="FFFFFF"/>
        <w:spacing w:before="0"/>
      </w:pPr>
      <w:r w:rsidRPr="003331EF">
        <w:t>(2) Käesoleva määruse paragrahvi 3 lõikes 1 nimetatud aruannetes kajastatavad andmed esitatakse täisühikutes, kui õigusaktis ei ole sätestatud teisiti.</w:t>
      </w:r>
    </w:p>
    <w:p w14:paraId="21033B2F" w14:textId="77777777" w:rsidR="00634E3B" w:rsidRPr="003331EF" w:rsidRDefault="00634E3B" w:rsidP="003331EF">
      <w:pPr>
        <w:shd w:val="clear" w:color="auto" w:fill="FFFFFF"/>
        <w:spacing w:before="0"/>
      </w:pPr>
    </w:p>
    <w:p w14:paraId="4425D45B" w14:textId="77777777" w:rsidR="00F42347" w:rsidRPr="003331EF" w:rsidRDefault="00F42347" w:rsidP="003331EF">
      <w:pPr>
        <w:shd w:val="clear" w:color="auto" w:fill="FFFFFF"/>
        <w:spacing w:before="0"/>
      </w:pPr>
      <w:r w:rsidRPr="003331EF">
        <w:t>(3) Välisvaluutas fikseeritud summad arvutatakse eurodesse ümber aruandeperioodi viimase tööpäeva Euroopa Keskpanga kursiga.</w:t>
      </w:r>
    </w:p>
    <w:p w14:paraId="369F5D99" w14:textId="77777777" w:rsidR="00634E3B" w:rsidRPr="003331EF" w:rsidRDefault="00634E3B" w:rsidP="003331EF">
      <w:pPr>
        <w:shd w:val="clear" w:color="auto" w:fill="FFFFFF"/>
        <w:spacing w:before="0"/>
      </w:pPr>
    </w:p>
    <w:p w14:paraId="7A507C8C" w14:textId="77777777" w:rsidR="00F42347" w:rsidRPr="003331EF" w:rsidRDefault="00F42347" w:rsidP="003331EF">
      <w:pPr>
        <w:shd w:val="clear" w:color="auto" w:fill="FFFFFF"/>
        <w:spacing w:before="0"/>
      </w:pPr>
      <w:r w:rsidRPr="003331EF">
        <w:t xml:space="preserve">(4) Muude käesoleva paragrahvi lõikes 2 või 3 nimetamata varade puhul kajastatakse nende varade turuväärtus eurodes aruandeperioodi viimase tööpäeva seisuga. </w:t>
      </w:r>
    </w:p>
    <w:p w14:paraId="31BD6FF2" w14:textId="77777777" w:rsidR="00634E3B" w:rsidRPr="003331EF" w:rsidRDefault="00634E3B" w:rsidP="003331EF">
      <w:pPr>
        <w:shd w:val="clear" w:color="auto" w:fill="FFFFFF"/>
        <w:spacing w:before="0"/>
      </w:pPr>
    </w:p>
    <w:p w14:paraId="64BB4468" w14:textId="364021C9" w:rsidR="00F42347" w:rsidRPr="003331EF" w:rsidRDefault="00F42347" w:rsidP="003331EF">
      <w:pPr>
        <w:shd w:val="clear" w:color="auto" w:fill="FFFFFF"/>
        <w:spacing w:before="0"/>
        <w:rPr>
          <w:b/>
          <w:bCs/>
        </w:rPr>
      </w:pPr>
      <w:r w:rsidRPr="003331EF">
        <w:rPr>
          <w:b/>
          <w:bCs/>
          <w:bdr w:val="none" w:sz="0" w:space="0" w:color="auto" w:frame="1"/>
        </w:rPr>
        <w:t>§ 5. Aruannete esitamine</w:t>
      </w:r>
    </w:p>
    <w:p w14:paraId="7F3C2903" w14:textId="77777777" w:rsidR="00F42347" w:rsidRPr="003331EF" w:rsidRDefault="00F42347" w:rsidP="003331EF">
      <w:pPr>
        <w:shd w:val="clear" w:color="auto" w:fill="FFFFFF"/>
        <w:spacing w:before="0"/>
        <w:rPr>
          <w:bdr w:val="none" w:sz="0" w:space="0" w:color="auto" w:frame="1"/>
        </w:rPr>
      </w:pPr>
      <w:bookmarkStart w:id="131" w:name="lg57"/>
    </w:p>
    <w:bookmarkEnd w:id="131"/>
    <w:p w14:paraId="1ECDBC9A" w14:textId="77777777" w:rsidR="00F42347" w:rsidRPr="003331EF" w:rsidRDefault="00F42347" w:rsidP="003331EF">
      <w:pPr>
        <w:shd w:val="clear" w:color="auto" w:fill="FFFFFF"/>
        <w:spacing w:before="0"/>
      </w:pPr>
      <w:r w:rsidRPr="003331EF">
        <w:t>(1) Aruanded esitatakse Finantsinspektsioonile elektrooniliselt XMLis (</w:t>
      </w:r>
      <w:r w:rsidRPr="003331EF">
        <w:rPr>
          <w:i/>
          <w:iCs/>
          <w:bdr w:val="none" w:sz="0" w:space="0" w:color="auto" w:frame="1"/>
        </w:rPr>
        <w:t>Extensible Markup Language</w:t>
      </w:r>
      <w:r w:rsidRPr="003331EF">
        <w:t>) vormindatud dokumentidena.</w:t>
      </w:r>
    </w:p>
    <w:p w14:paraId="41FE531F" w14:textId="09B8EFFA" w:rsidR="00F42347" w:rsidRPr="003331EF" w:rsidRDefault="00F42347" w:rsidP="003331EF">
      <w:pPr>
        <w:shd w:val="clear" w:color="auto" w:fill="FFFFFF"/>
        <w:spacing w:before="0"/>
      </w:pPr>
      <w:r w:rsidRPr="003331EF">
        <w:br/>
        <w:t xml:space="preserve">(2) </w:t>
      </w:r>
      <w:r w:rsidR="00634E3B" w:rsidRPr="003331EF">
        <w:rPr>
          <w:bCs/>
          <w:bdr w:val="none" w:sz="0" w:space="0" w:color="auto" w:frame="1"/>
          <w:lang w:eastAsia="en-GB"/>
        </w:rPr>
        <w:t xml:space="preserve">Krüptovarateenuse osutaja </w:t>
      </w:r>
      <w:r w:rsidRPr="003331EF">
        <w:t>on aruannete esitamisel kohustatud järgima tehnilisi nõudeid, mis on avaldatud Finantsinspektsiooni veebilehel.</w:t>
      </w:r>
    </w:p>
    <w:p w14:paraId="202CBB75" w14:textId="77777777" w:rsidR="00F42347" w:rsidRPr="003331EF" w:rsidRDefault="00F42347" w:rsidP="003331EF">
      <w:pPr>
        <w:shd w:val="clear" w:color="auto" w:fill="FFFFFF"/>
        <w:spacing w:before="0"/>
      </w:pPr>
    </w:p>
    <w:p w14:paraId="54C7AFFE" w14:textId="77777777" w:rsidR="00F42347" w:rsidRPr="003331EF" w:rsidRDefault="00F42347" w:rsidP="003331EF">
      <w:pPr>
        <w:shd w:val="clear" w:color="auto" w:fill="FFFFFF"/>
        <w:spacing w:before="0"/>
      </w:pPr>
      <w:r w:rsidRPr="003331EF">
        <w:t>(3) Aruande valdkonda kuuluvate andmete puudumisel tuleb esitada tühi aruanne.</w:t>
      </w:r>
      <w:r w:rsidRPr="003331EF">
        <w:br/>
      </w:r>
    </w:p>
    <w:p w14:paraId="62A99773" w14:textId="24FA77E3" w:rsidR="000A091F" w:rsidRPr="003331EF" w:rsidRDefault="000A091F" w:rsidP="003331EF">
      <w:pPr>
        <w:pStyle w:val="Pealkiri30"/>
        <w:shd w:val="clear" w:color="auto" w:fill="FFFFFF"/>
        <w:spacing w:before="0"/>
        <w:rPr>
          <w:color w:val="auto"/>
          <w:bdr w:val="none" w:sz="0" w:space="0" w:color="auto" w:frame="1"/>
          <w:lang w:val="et-EE"/>
        </w:rPr>
      </w:pPr>
      <w:r w:rsidRPr="003331EF">
        <w:rPr>
          <w:color w:val="auto"/>
          <w:lang w:val="et-EE"/>
        </w:rPr>
        <w:t>§ 6.</w:t>
      </w:r>
      <w:bookmarkStart w:id="132" w:name="para11"/>
      <w:r w:rsidRPr="003331EF">
        <w:rPr>
          <w:color w:val="auto"/>
          <w:bdr w:val="none" w:sz="0" w:space="0" w:color="auto" w:frame="1"/>
          <w:lang w:val="et-EE"/>
        </w:rPr>
        <w:t>  </w:t>
      </w:r>
      <w:bookmarkEnd w:id="132"/>
      <w:r w:rsidRPr="003331EF">
        <w:rPr>
          <w:color w:val="auto"/>
          <w:bdr w:val="none" w:sz="0" w:space="0" w:color="auto" w:frame="1"/>
          <w:lang w:val="et-EE"/>
        </w:rPr>
        <w:t>Määruse rakendamine</w:t>
      </w:r>
    </w:p>
    <w:p w14:paraId="094E4476" w14:textId="77777777" w:rsidR="000A091F" w:rsidRPr="003331EF" w:rsidRDefault="000A091F" w:rsidP="003331EF">
      <w:pPr>
        <w:pStyle w:val="Normaallaadveeb"/>
        <w:shd w:val="clear" w:color="auto" w:fill="FFFFFF"/>
        <w:spacing w:before="0" w:beforeAutospacing="0" w:after="0" w:afterAutospacing="0"/>
        <w:rPr>
          <w:rFonts w:eastAsia="Times New Roman"/>
          <w:lang w:val="et-EE"/>
        </w:rPr>
      </w:pPr>
    </w:p>
    <w:p w14:paraId="1F23F171" w14:textId="47F91D85" w:rsidR="000A091F" w:rsidRPr="003331EF" w:rsidRDefault="000A091F" w:rsidP="003331EF">
      <w:pPr>
        <w:pStyle w:val="Normaallaadveeb"/>
        <w:shd w:val="clear" w:color="auto" w:fill="FFFFFF"/>
        <w:spacing w:before="0" w:beforeAutospacing="0" w:after="0" w:afterAutospacing="0"/>
        <w:rPr>
          <w:rFonts w:eastAsia="Times New Roman"/>
          <w:lang w:val="et-EE"/>
        </w:rPr>
      </w:pPr>
      <w:r w:rsidRPr="003331EF">
        <w:rPr>
          <w:rFonts w:eastAsia="Times New Roman"/>
          <w:lang w:val="et-EE"/>
        </w:rPr>
        <w:t>Määrust kohaldatakse aruannete koostamisel ja esitamisel aruandeperioodide kohta, mis lõppevad 20</w:t>
      </w:r>
      <w:r w:rsidR="000618C0" w:rsidRPr="003331EF">
        <w:rPr>
          <w:rFonts w:eastAsia="Times New Roman"/>
          <w:lang w:val="et-EE"/>
        </w:rPr>
        <w:t>25</w:t>
      </w:r>
      <w:r w:rsidRPr="003331EF">
        <w:rPr>
          <w:rFonts w:eastAsia="Times New Roman"/>
          <w:lang w:val="et-EE"/>
        </w:rPr>
        <w:t>. aasta 31. detsembril ja hiljem.</w:t>
      </w:r>
    </w:p>
    <w:p w14:paraId="2E5F5173" w14:textId="77777777" w:rsidR="000A091F" w:rsidRPr="003331EF" w:rsidRDefault="000A091F" w:rsidP="003331EF">
      <w:pPr>
        <w:shd w:val="clear" w:color="auto" w:fill="FFFFFF"/>
        <w:spacing w:before="0"/>
      </w:pPr>
    </w:p>
    <w:p w14:paraId="5EC78671" w14:textId="320BA3AD" w:rsidR="000618C0" w:rsidRPr="003331EF" w:rsidRDefault="000618C0" w:rsidP="003331EF">
      <w:pPr>
        <w:pStyle w:val="Normaallaadveeb"/>
        <w:shd w:val="clear" w:color="auto" w:fill="FFFFFF"/>
        <w:spacing w:before="0" w:beforeAutospacing="0" w:after="0" w:afterAutospacing="0"/>
        <w:rPr>
          <w:rFonts w:ascii="Arial" w:hAnsi="Arial" w:cs="Arial"/>
          <w:lang w:val="et-EE"/>
        </w:rPr>
      </w:pPr>
      <w:r w:rsidRPr="003331EF">
        <w:rPr>
          <w:rFonts w:ascii="Arial" w:hAnsi="Arial" w:cs="Arial"/>
          <w:bdr w:val="none" w:sz="0" w:space="0" w:color="auto" w:frame="1"/>
        </w:rPr>
        <w:t>Lisa 1</w:t>
      </w:r>
      <w:r w:rsidRPr="003331EF">
        <w:rPr>
          <w:rFonts w:ascii="Arial" w:hAnsi="Arial" w:cs="Arial"/>
        </w:rPr>
        <w:t> </w:t>
      </w:r>
      <w:r w:rsidR="00E04836" w:rsidRPr="003331EF">
        <w:t>Tehingute aruan</w:t>
      </w:r>
      <w:r w:rsidR="00E04836" w:rsidRPr="003331EF">
        <w:rPr>
          <w:lang w:val="et-EE"/>
        </w:rPr>
        <w:t>ne</w:t>
      </w:r>
    </w:p>
    <w:p w14:paraId="277D8B6C" w14:textId="50771EEA" w:rsidR="000618C0" w:rsidRPr="003331EF" w:rsidRDefault="000618C0" w:rsidP="003331EF">
      <w:pPr>
        <w:pStyle w:val="Normaallaadveeb"/>
        <w:shd w:val="clear" w:color="auto" w:fill="FFFFFF"/>
        <w:spacing w:before="0" w:beforeAutospacing="0" w:after="0" w:afterAutospacing="0"/>
        <w:rPr>
          <w:lang w:val="et-EE"/>
        </w:rPr>
      </w:pPr>
      <w:r w:rsidRPr="003331EF">
        <w:rPr>
          <w:rFonts w:ascii="Arial" w:hAnsi="Arial" w:cs="Arial"/>
          <w:bdr w:val="none" w:sz="0" w:space="0" w:color="auto" w:frame="1"/>
        </w:rPr>
        <w:t>Lisa 2</w:t>
      </w:r>
      <w:r w:rsidRPr="003331EF">
        <w:rPr>
          <w:rFonts w:ascii="Arial" w:hAnsi="Arial" w:cs="Arial"/>
        </w:rPr>
        <w:t> </w:t>
      </w:r>
      <w:r w:rsidR="00E04836" w:rsidRPr="003331EF">
        <w:t>Klientide vara aruan</w:t>
      </w:r>
      <w:r w:rsidR="00E04836" w:rsidRPr="003331EF">
        <w:rPr>
          <w:lang w:val="et-EE"/>
        </w:rPr>
        <w:t>ne</w:t>
      </w:r>
    </w:p>
    <w:p w14:paraId="0E4AB9E3" w14:textId="08226D61" w:rsidR="00E04836" w:rsidRPr="003331EF" w:rsidRDefault="00E04836" w:rsidP="003331EF">
      <w:pPr>
        <w:pStyle w:val="Normaallaadveeb"/>
        <w:shd w:val="clear" w:color="auto" w:fill="FFFFFF"/>
        <w:spacing w:before="0" w:beforeAutospacing="0" w:after="0" w:afterAutospacing="0"/>
        <w:rPr>
          <w:lang w:val="et-EE"/>
        </w:rPr>
      </w:pPr>
      <w:r w:rsidRPr="003331EF">
        <w:rPr>
          <w:lang w:val="et-EE"/>
        </w:rPr>
        <w:t xml:space="preserve">Lisa 3 </w:t>
      </w:r>
      <w:r w:rsidRPr="003331EF">
        <w:t>Omavahendite aruan</w:t>
      </w:r>
      <w:r w:rsidRPr="003331EF">
        <w:rPr>
          <w:lang w:val="et-EE"/>
        </w:rPr>
        <w:t>ne</w:t>
      </w:r>
    </w:p>
    <w:p w14:paraId="1FEB79DA" w14:textId="1C29F70F" w:rsidR="00E04836" w:rsidRPr="003331EF" w:rsidRDefault="00E04836" w:rsidP="003331EF">
      <w:pPr>
        <w:pStyle w:val="Normaallaadveeb"/>
        <w:shd w:val="clear" w:color="auto" w:fill="FFFFFF"/>
        <w:spacing w:before="0" w:beforeAutospacing="0" w:after="0" w:afterAutospacing="0"/>
        <w:rPr>
          <w:lang w:val="et-EE"/>
        </w:rPr>
      </w:pPr>
      <w:r w:rsidRPr="003331EF">
        <w:rPr>
          <w:lang w:val="et-EE"/>
        </w:rPr>
        <w:t>Lisa 4 Bilanss</w:t>
      </w:r>
    </w:p>
    <w:p w14:paraId="0BBDCD68" w14:textId="5A9BC7AB" w:rsidR="00E04836" w:rsidRPr="003331EF" w:rsidRDefault="00E04836" w:rsidP="003331EF">
      <w:pPr>
        <w:pStyle w:val="Normaallaadveeb"/>
        <w:shd w:val="clear" w:color="auto" w:fill="FFFFFF"/>
        <w:spacing w:before="0" w:beforeAutospacing="0" w:after="0" w:afterAutospacing="0"/>
        <w:rPr>
          <w:rFonts w:ascii="Arial" w:hAnsi="Arial" w:cs="Arial"/>
          <w:lang w:val="et-EE"/>
        </w:rPr>
      </w:pPr>
      <w:r w:rsidRPr="003331EF">
        <w:rPr>
          <w:lang w:val="et-EE"/>
        </w:rPr>
        <w:t>Lisa 5 Kasumisaruanne</w:t>
      </w:r>
    </w:p>
    <w:p w14:paraId="6358E0F4" w14:textId="77777777" w:rsidR="000618C0" w:rsidRPr="003331EF" w:rsidRDefault="000618C0" w:rsidP="003331EF">
      <w:pPr>
        <w:shd w:val="clear" w:color="auto" w:fill="FFFFFF"/>
        <w:spacing w:before="0"/>
      </w:pPr>
    </w:p>
    <w:sectPr w:rsidR="000618C0" w:rsidRPr="003331EF" w:rsidSect="0025116F">
      <w:headerReference w:type="default" r:id="rId21"/>
      <w:footerReference w:type="default" r:id="rId22"/>
      <w:pgSz w:w="11906" w:h="16838"/>
      <w:pgMar w:top="1134"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el Kook" w:date="2024-01-17T14:29:00Z" w:initials="JK">
    <w:p w14:paraId="550737C8" w14:textId="24A9E101" w:rsidR="007A30AC" w:rsidRDefault="007A30AC" w:rsidP="0038035C">
      <w:pPr>
        <w:pStyle w:val="Kommentaaritekst"/>
      </w:pPr>
      <w:r>
        <w:rPr>
          <w:rStyle w:val="Kommentaariviide"/>
        </w:rPr>
        <w:annotationRef/>
      </w:r>
      <w:r>
        <w:t>Sellest muudatusest on EN uues versioonis loobutud, tuleks siit ka kustutada.</w:t>
      </w:r>
    </w:p>
  </w:comment>
  <w:comment w:id="3" w:author="Joel Kook" w:date="2024-01-17T14:31:00Z" w:initials="JK">
    <w:p w14:paraId="5EB7D4B5" w14:textId="77777777" w:rsidR="007A30AC" w:rsidRDefault="007A30AC" w:rsidP="00CA4B3D">
      <w:pPr>
        <w:pStyle w:val="Kommentaaritekst"/>
      </w:pPr>
      <w:r>
        <w:rPr>
          <w:rStyle w:val="Kommentaariviide"/>
        </w:rPr>
        <w:annotationRef/>
      </w:r>
      <w:r>
        <w:t>Ilmselt mõeldud VASP-dele.</w:t>
      </w:r>
    </w:p>
  </w:comment>
  <w:comment w:id="4" w:author="Joel Kook" w:date="2024-01-17T14:41:00Z" w:initials="JK">
    <w:p w14:paraId="264AE8DA" w14:textId="77777777" w:rsidR="0075560B" w:rsidRDefault="0075560B" w:rsidP="001B5109">
      <w:pPr>
        <w:pStyle w:val="Kommentaaritekst"/>
      </w:pPr>
      <w:r>
        <w:rPr>
          <w:rStyle w:val="Kommentaariviide"/>
        </w:rPr>
        <w:annotationRef/>
      </w:r>
      <w:r>
        <w:t>Võiks täpsustada, et silmas on peetud eelkõige esitatud teabega seotud järelevalve tegevusi, mis on osutunud tänu neis esinevatele rohketele vigadele mahukamaks kui võis eeldada.</w:t>
      </w:r>
    </w:p>
  </w:comment>
  <w:comment w:id="64" w:author="Joel Kook" w:date="2024-01-17T14:51:00Z" w:initials="JK">
    <w:p w14:paraId="061B9697" w14:textId="77777777" w:rsidR="00574F00" w:rsidRDefault="00574F00" w:rsidP="00D55FBE">
      <w:pPr>
        <w:pStyle w:val="Kommentaaritekst"/>
      </w:pPr>
      <w:r>
        <w:rPr>
          <w:rStyle w:val="Kommentaariviide"/>
        </w:rPr>
        <w:annotationRef/>
      </w:r>
      <w:r>
        <w:t>Kas otse teksti tooduna peaks siinkohal esitama ka eestikeelse tõlke või sisukokkuvõtte?</w:t>
      </w:r>
    </w:p>
  </w:comment>
  <w:comment w:id="65" w:author="Iivika Sale" w:date="2024-01-22T15:10:00Z" w:initials="IS">
    <w:p w14:paraId="200F3A46" w14:textId="77777777" w:rsidR="00B62AD0" w:rsidRDefault="00B62AD0" w:rsidP="00F03667">
      <w:pPr>
        <w:pStyle w:val="Kommentaaritekst"/>
      </w:pPr>
      <w:r>
        <w:rPr>
          <w:rStyle w:val="Kommentaariviide"/>
        </w:rPr>
        <w:annotationRef/>
      </w:r>
      <w:r>
        <w:t>Kuidas see kindlaks tehakse?</w:t>
      </w:r>
    </w:p>
  </w:comment>
  <w:comment w:id="75" w:author="Iivika Sale" w:date="2024-01-19T12:32:00Z" w:initials="IS">
    <w:p w14:paraId="2F1EE22E" w14:textId="77777777" w:rsidR="00FF3444" w:rsidRDefault="00FF3444" w:rsidP="005F6DDD">
      <w:pPr>
        <w:pStyle w:val="Kommentaaritekst"/>
      </w:pPr>
      <w:r>
        <w:rPr>
          <w:rStyle w:val="Kommentaariviide"/>
        </w:rPr>
        <w:annotationRef/>
      </w:r>
      <w:r>
        <w:t>Juhime tähelepanu, et rahaline karistus on kuriteo eest ettenähtud karistus. Väärtegude puhul tuleb rääkida „rahatrahvist“. Palume seletuskirja vastavalt parandada.</w:t>
      </w:r>
    </w:p>
  </w:comment>
  <w:comment w:id="76" w:author="Joel Kook" w:date="2024-01-17T14:59:00Z" w:initials="JK">
    <w:p w14:paraId="4044C6EA" w14:textId="0A354D11" w:rsidR="00574F00" w:rsidRDefault="00574F00" w:rsidP="00AD4E60">
      <w:pPr>
        <w:pStyle w:val="Kommentaaritekst"/>
      </w:pPr>
      <w:r>
        <w:rPr>
          <w:rStyle w:val="Kommentaariviide"/>
        </w:rPr>
        <w:annotationRef/>
      </w:r>
      <w:r>
        <w:t>EN-s on summa 2000 eurot, parandada.</w:t>
      </w:r>
    </w:p>
  </w:comment>
  <w:comment w:id="77" w:author="Toimetaja" w:date="2024-01-09T09:52:00Z" w:initials="AK">
    <w:p w14:paraId="7734B433" w14:textId="6A9D7818" w:rsidR="00A4579B" w:rsidRDefault="00A4579B" w:rsidP="00FB1A4B">
      <w:pPr>
        <w:pStyle w:val="Kommentaaritekst"/>
      </w:pPr>
      <w:r>
        <w:rPr>
          <w:rStyle w:val="Kommentaariviide"/>
        </w:rPr>
        <w:annotationRef/>
      </w:r>
      <w:r>
        <w:t>Siin on poolik lause.</w:t>
      </w:r>
    </w:p>
  </w:comment>
  <w:comment w:id="78" w:author="Joel Kook" w:date="2024-01-17T15:17:00Z" w:initials="JK">
    <w:p w14:paraId="487A7B43" w14:textId="77777777" w:rsidR="00CD0231" w:rsidRDefault="00CD0231" w:rsidP="003B2856">
      <w:pPr>
        <w:pStyle w:val="Kommentaaritekst"/>
      </w:pPr>
      <w:r>
        <w:rPr>
          <w:rStyle w:val="Kommentaariviide"/>
        </w:rPr>
        <w:annotationRef/>
      </w:r>
      <w:r>
        <w:t>Kas see lause on jäänud poolikuks?</w:t>
      </w:r>
    </w:p>
  </w:comment>
  <w:comment w:id="116" w:author="Joel Kook" w:date="2024-01-17T15:19:00Z" w:initials="JK">
    <w:p w14:paraId="7F4C90AC" w14:textId="77777777" w:rsidR="00CD0231" w:rsidRDefault="00CD0231" w:rsidP="00D2613D">
      <w:pPr>
        <w:pStyle w:val="Kommentaaritekst"/>
      </w:pPr>
      <w:r>
        <w:rPr>
          <w:rStyle w:val="Kommentaariviide"/>
        </w:rPr>
        <w:annotationRef/>
      </w:r>
      <w:r>
        <w:t>Vajaks veidi täpsustamist – kas silmas on peetud seda, et kuigi halduskoormus emitentidele teatud juhtudel väheneb (nende emissioonide osas, mis jäävad edaspidi vahemikku 5-8 milj eurot), tuleb endale selgeks teha rahandusministri määrusest tulenevad nõuded ja seetõttu on sihtrühmal vaja oma käitumist muuta?</w:t>
      </w:r>
    </w:p>
  </w:comment>
  <w:comment w:id="117" w:author="Joel Kook" w:date="2024-01-17T15:20:00Z" w:initials="JK">
    <w:p w14:paraId="4A64ECAA" w14:textId="77777777" w:rsidR="00CD0231" w:rsidRDefault="00CD0231" w:rsidP="00BE1D1D">
      <w:pPr>
        <w:pStyle w:val="Kommentaaritekst"/>
      </w:pPr>
      <w:r>
        <w:rPr>
          <w:rStyle w:val="Kommentaariviide"/>
        </w:rPr>
        <w:annotationRef/>
      </w:r>
      <w:r>
        <w:t>Pigem saaks sagedusnäitaja väiksust põhjendada sellega, et see väike osa ettevõtjaist teeks emissioone ilmselt ka pigem harva ja juhuslikult (vajadusel), mitte regulaarselt.</w:t>
      </w:r>
    </w:p>
  </w:comment>
  <w:comment w:id="118" w:author="Joel Kook" w:date="2024-01-17T15:21:00Z" w:initials="JK">
    <w:p w14:paraId="42EF0E84" w14:textId="77777777" w:rsidR="00CD0231" w:rsidRDefault="00CD0231" w:rsidP="00CF63D3">
      <w:pPr>
        <w:pStyle w:val="Kommentaaritekst"/>
      </w:pPr>
      <w:r>
        <w:rPr>
          <w:rStyle w:val="Kommentaariviide"/>
        </w:rPr>
        <w:annotationRef/>
      </w:r>
      <w:r>
        <w:t>Lisaks on sihtrühmaks ka finantsvaldkonnas töötavad spetsialistid.</w:t>
      </w:r>
    </w:p>
  </w:comment>
  <w:comment w:id="119" w:author="Joel Kook" w:date="2024-01-17T15:24:00Z" w:initials="JK">
    <w:p w14:paraId="06CF3D1D" w14:textId="77777777" w:rsidR="00CD0231" w:rsidRDefault="00CD0231" w:rsidP="00A42DE6">
      <w:pPr>
        <w:pStyle w:val="Kommentaaritekst"/>
      </w:pPr>
      <w:r>
        <w:rPr>
          <w:rStyle w:val="Kommentaariviide"/>
        </w:rPr>
        <w:annotationRef/>
      </w:r>
      <w:r>
        <w:t>Pigem võiks eeldada, et töökohti vahetatakse siiski harva ja vaid vajadusel, seega regulaarselt avalduvat mõju on raske ette näha ja pigem jääb see juhuslikuks ja ühekordseks võimalikuks mõjuks konkreetse töötaja vaatest.</w:t>
      </w:r>
    </w:p>
  </w:comment>
  <w:comment w:id="121" w:author="Joel Kook" w:date="2024-01-17T15:24:00Z" w:initials="JK">
    <w:p w14:paraId="5A156013" w14:textId="77777777" w:rsidR="00CD0231" w:rsidRDefault="00CD0231" w:rsidP="00F53A3C">
      <w:pPr>
        <w:pStyle w:val="Kommentaaritekst"/>
      </w:pPr>
      <w:r>
        <w:rPr>
          <w:rStyle w:val="Kommentaariviide"/>
        </w:rPr>
        <w:annotationRef/>
      </w:r>
      <w:r>
        <w:t>Arvestades praegust suhtelist ebamäärasust arengute osas, siis ilmselt ei ole päris õige eeldada tööhõive kasvu, pigem rääkida võimalikest sektorisisestest muudatustest ja liikumistest.</w:t>
      </w:r>
    </w:p>
  </w:comment>
  <w:comment w:id="122" w:author="Joel Kook" w:date="2024-01-17T15:24:00Z" w:initials="JK">
    <w:p w14:paraId="0FA2C890" w14:textId="77777777" w:rsidR="00CD0231" w:rsidRDefault="00CD0231" w:rsidP="00B5638E">
      <w:pPr>
        <w:pStyle w:val="Kommentaaritekst"/>
      </w:pPr>
      <w:r>
        <w:rPr>
          <w:rStyle w:val="Kommentaariviide"/>
        </w:rPr>
        <w:annotationRef/>
      </w:r>
      <w:r>
        <w:t xml:space="preserve">Piisab määratlusest </w:t>
      </w:r>
      <w:r>
        <w:rPr>
          <w:i/>
          <w:iCs/>
        </w:rPr>
        <w:t>mõju Finantsinspektsioonile</w:t>
      </w:r>
      <w:r>
        <w:t>.</w:t>
      </w:r>
    </w:p>
  </w:comment>
  <w:comment w:id="123" w:author="Joel Kook" w:date="2024-01-17T15:25:00Z" w:initials="JK">
    <w:p w14:paraId="2E42E32A" w14:textId="77777777" w:rsidR="00CD0231" w:rsidRDefault="00CD0231" w:rsidP="00DB46E0">
      <w:pPr>
        <w:pStyle w:val="Kommentaaritekst"/>
      </w:pPr>
      <w:r>
        <w:rPr>
          <w:rStyle w:val="Kommentaariviide"/>
        </w:rPr>
        <w:annotationRef/>
      </w:r>
      <w:r>
        <w:t xml:space="preserve">Piisab määratlusest </w:t>
      </w:r>
      <w:r>
        <w:rPr>
          <w:i/>
          <w:iCs/>
        </w:rPr>
        <w:t>mõju Rahapesu Andmebüroole</w:t>
      </w:r>
      <w:r>
        <w:t>.</w:t>
      </w:r>
    </w:p>
  </w:comment>
  <w:comment w:id="124" w:author="Joel Kook" w:date="2024-01-17T15:25:00Z" w:initials="JK">
    <w:p w14:paraId="1DBCA084" w14:textId="77777777" w:rsidR="00CD0231" w:rsidRDefault="00CD0231" w:rsidP="00A87FBF">
      <w:pPr>
        <w:pStyle w:val="Kommentaaritekst"/>
      </w:pPr>
      <w:r>
        <w:rPr>
          <w:rStyle w:val="Kommentaariviide"/>
        </w:rPr>
        <w:annotationRef/>
      </w:r>
      <w:r>
        <w:t>Euroopa Liidu?</w:t>
      </w:r>
    </w:p>
  </w:comment>
  <w:comment w:id="125" w:author="Joel Kook" w:date="2024-01-17T15:25:00Z" w:initials="JK">
    <w:p w14:paraId="5C611BA2" w14:textId="77777777" w:rsidR="00CD0231" w:rsidRDefault="00CD0231" w:rsidP="007774E5">
      <w:pPr>
        <w:pStyle w:val="Kommentaaritekst"/>
      </w:pPr>
      <w:r>
        <w:rPr>
          <w:rStyle w:val="Kommentaariviide"/>
        </w:rPr>
        <w:annotationRef/>
      </w:r>
      <w:r>
        <w:t>Kas soov on öelda, et ilmselt tänu sellele mandaadile ja järelevalvele on oodata kahjuliku mõju vähenemist keskkonnale (elektrikulu kahanemist)? Ehk et nt eeldatakse, et valdkonna reguleerimine aitab vähendada krüptovaraga tehtud kuritegelikke tehinguid või neid tehinguid, mida teeksid nõuetele mittevastavad turuosalised ning selle arvelt väheneks ka kahjulik mõju keskkonnale? Täpsustada.</w:t>
      </w:r>
    </w:p>
  </w:comment>
  <w:comment w:id="126" w:author="Joel Kook" w:date="2024-01-17T15:28:00Z" w:initials="JK">
    <w:p w14:paraId="483C5576" w14:textId="77777777" w:rsidR="007C42C8" w:rsidRDefault="00CD0231" w:rsidP="00BB4836">
      <w:pPr>
        <w:pStyle w:val="Kommentaaritekst"/>
      </w:pPr>
      <w:r>
        <w:rPr>
          <w:rStyle w:val="Kommentaariviide"/>
        </w:rPr>
        <w:annotationRef/>
      </w:r>
      <w:r w:rsidR="007C42C8">
        <w:t>Kui olemuslikult riigieelarvest rahastatavalt asutuselt (RAB) antakse funktsioonid üle asutusele, mis ei ole riigieelarveline (FI) ja mida rahastatakse turuosaliste makstavatest tasudest, võiks eeldada mõningast kulude kokkuhoidu riigieelarvele, kui selle võrra väheneks vastavalt RABi eelarve. Kui RABi eelarvet plaanis vähendada selle arvelt ei ole, siis ilmselt võib öelda, et mõju riigieelarvelistele vahenditele puudub. Võimalusel täpsustada.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0737C8" w15:done="0"/>
  <w15:commentEx w15:paraId="5EB7D4B5" w15:done="0"/>
  <w15:commentEx w15:paraId="264AE8DA" w15:done="0"/>
  <w15:commentEx w15:paraId="061B9697" w15:done="0"/>
  <w15:commentEx w15:paraId="200F3A46" w15:done="0"/>
  <w15:commentEx w15:paraId="2F1EE22E" w15:done="0"/>
  <w15:commentEx w15:paraId="4044C6EA" w15:done="0"/>
  <w15:commentEx w15:paraId="7734B433" w15:done="0"/>
  <w15:commentEx w15:paraId="487A7B43" w15:done="0"/>
  <w15:commentEx w15:paraId="7F4C90AC" w15:done="0"/>
  <w15:commentEx w15:paraId="4A64ECAA" w15:done="0"/>
  <w15:commentEx w15:paraId="42EF0E84" w15:done="0"/>
  <w15:commentEx w15:paraId="06CF3D1D" w15:done="0"/>
  <w15:commentEx w15:paraId="5A156013" w15:done="0"/>
  <w15:commentEx w15:paraId="0FA2C890" w15:done="0"/>
  <w15:commentEx w15:paraId="2E42E32A" w15:done="0"/>
  <w15:commentEx w15:paraId="1DBCA084" w15:done="0"/>
  <w15:commentEx w15:paraId="5C611BA2" w15:done="0"/>
  <w15:commentEx w15:paraId="483C55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262E5" w16cex:dateUtc="2024-01-17T12:29:00Z"/>
  <w16cex:commentExtensible w16cex:durableId="29526342" w16cex:dateUtc="2024-01-17T12:31:00Z"/>
  <w16cex:commentExtensible w16cex:durableId="295265AD" w16cex:dateUtc="2024-01-17T12:41:00Z"/>
  <w16cex:commentExtensible w16cex:durableId="29526800" w16cex:dateUtc="2024-01-17T12:51:00Z"/>
  <w16cex:commentExtensible w16cex:durableId="295903DF" w16cex:dateUtc="2024-01-22T13:10:00Z"/>
  <w16cex:commentExtensible w16cex:durableId="2954EA4A" w16cex:dateUtc="2024-01-19T10:32:00Z"/>
  <w16cex:commentExtensible w16cex:durableId="295269C0" w16cex:dateUtc="2024-01-17T12:59:00Z"/>
  <w16cex:commentExtensible w16cex:durableId="294795F3" w16cex:dateUtc="2024-01-09T07:52:00Z"/>
  <w16cex:commentExtensible w16cex:durableId="29526E18" w16cex:dateUtc="2024-01-17T13:17:00Z"/>
  <w16cex:commentExtensible w16cex:durableId="29526E6A" w16cex:dateUtc="2024-01-17T13:19:00Z"/>
  <w16cex:commentExtensible w16cex:durableId="29526EC3" w16cex:dateUtc="2024-01-17T13:20:00Z"/>
  <w16cex:commentExtensible w16cex:durableId="29526EE9" w16cex:dateUtc="2024-01-17T13:21:00Z"/>
  <w16cex:commentExtensible w16cex:durableId="29526F94" w16cex:dateUtc="2024-01-17T13:24:00Z"/>
  <w16cex:commentExtensible w16cex:durableId="29526F9E" w16cex:dateUtc="2024-01-17T13:24:00Z"/>
  <w16cex:commentExtensible w16cex:durableId="29526FB4" w16cex:dateUtc="2024-01-17T13:24:00Z"/>
  <w16cex:commentExtensible w16cex:durableId="29526FCD" w16cex:dateUtc="2024-01-17T13:25:00Z"/>
  <w16cex:commentExtensible w16cex:durableId="29526FF1" w16cex:dateUtc="2024-01-17T13:25:00Z"/>
  <w16cex:commentExtensible w16cex:durableId="29527003" w16cex:dateUtc="2024-01-17T13:25:00Z"/>
  <w16cex:commentExtensible w16cex:durableId="29527080" w16cex:dateUtc="2024-01-17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0737C8" w16cid:durableId="295262E5"/>
  <w16cid:commentId w16cid:paraId="5EB7D4B5" w16cid:durableId="29526342"/>
  <w16cid:commentId w16cid:paraId="264AE8DA" w16cid:durableId="295265AD"/>
  <w16cid:commentId w16cid:paraId="061B9697" w16cid:durableId="29526800"/>
  <w16cid:commentId w16cid:paraId="200F3A46" w16cid:durableId="295903DF"/>
  <w16cid:commentId w16cid:paraId="2F1EE22E" w16cid:durableId="2954EA4A"/>
  <w16cid:commentId w16cid:paraId="4044C6EA" w16cid:durableId="295269C0"/>
  <w16cid:commentId w16cid:paraId="7734B433" w16cid:durableId="294795F3"/>
  <w16cid:commentId w16cid:paraId="487A7B43" w16cid:durableId="29526E18"/>
  <w16cid:commentId w16cid:paraId="7F4C90AC" w16cid:durableId="29526E6A"/>
  <w16cid:commentId w16cid:paraId="4A64ECAA" w16cid:durableId="29526EC3"/>
  <w16cid:commentId w16cid:paraId="42EF0E84" w16cid:durableId="29526EE9"/>
  <w16cid:commentId w16cid:paraId="06CF3D1D" w16cid:durableId="29526F94"/>
  <w16cid:commentId w16cid:paraId="5A156013" w16cid:durableId="29526F9E"/>
  <w16cid:commentId w16cid:paraId="0FA2C890" w16cid:durableId="29526FB4"/>
  <w16cid:commentId w16cid:paraId="2E42E32A" w16cid:durableId="29526FCD"/>
  <w16cid:commentId w16cid:paraId="1DBCA084" w16cid:durableId="29526FF1"/>
  <w16cid:commentId w16cid:paraId="5C611BA2" w16cid:durableId="29527003"/>
  <w16cid:commentId w16cid:paraId="483C5576" w16cid:durableId="295270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3CDC" w14:textId="77777777" w:rsidR="005D1BEB" w:rsidRDefault="005D1BEB" w:rsidP="008C3E70">
      <w:pPr>
        <w:spacing w:before="0"/>
      </w:pPr>
      <w:r>
        <w:separator/>
      </w:r>
    </w:p>
  </w:endnote>
  <w:endnote w:type="continuationSeparator" w:id="0">
    <w:p w14:paraId="35DBD968" w14:textId="77777777" w:rsidR="005D1BEB" w:rsidRDefault="005D1BEB" w:rsidP="008C3E70">
      <w:pPr>
        <w:spacing w:before="0"/>
      </w:pPr>
      <w:r>
        <w:continuationSeparator/>
      </w:r>
    </w:p>
  </w:endnote>
  <w:endnote w:type="continuationNotice" w:id="1">
    <w:p w14:paraId="29AEDD00" w14:textId="77777777" w:rsidR="005D1BEB" w:rsidRDefault="005D1B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charset w:val="00"/>
    <w:family w:val="roman"/>
    <w:pitch w:val="default"/>
    <w:sig w:usb0="00000000" w:usb1="08070000" w:usb2="00000010" w:usb3="00000000" w:csb0="0002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097D" w14:textId="5370933B" w:rsidR="005D1BEB" w:rsidRDefault="005D1BEB" w:rsidP="005A55CA">
    <w:pPr>
      <w:jc w:val="center"/>
    </w:pPr>
    <w:r w:rsidRPr="005A55CA">
      <w:rPr>
        <w:sz w:val="22"/>
        <w:szCs w:val="22"/>
      </w:rPr>
      <w:fldChar w:fldCharType="begin"/>
    </w:r>
    <w:r w:rsidRPr="005A55CA">
      <w:rPr>
        <w:sz w:val="22"/>
        <w:szCs w:val="22"/>
      </w:rPr>
      <w:instrText xml:space="preserve"> PAGE   \* MERGEFORMAT </w:instrText>
    </w:r>
    <w:r w:rsidRPr="005A55CA">
      <w:rPr>
        <w:sz w:val="22"/>
        <w:szCs w:val="22"/>
      </w:rPr>
      <w:fldChar w:fldCharType="separate"/>
    </w:r>
    <w:r w:rsidR="00F907EC">
      <w:rPr>
        <w:noProof/>
        <w:sz w:val="22"/>
        <w:szCs w:val="22"/>
      </w:rPr>
      <w:t>79</w:t>
    </w:r>
    <w:r w:rsidRPr="005A55CA">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B05E" w14:textId="77777777" w:rsidR="005D1BEB" w:rsidRDefault="005D1BEB" w:rsidP="008C3E70">
      <w:pPr>
        <w:spacing w:before="0"/>
      </w:pPr>
      <w:r>
        <w:separator/>
      </w:r>
    </w:p>
  </w:footnote>
  <w:footnote w:type="continuationSeparator" w:id="0">
    <w:p w14:paraId="0DCDDBB9" w14:textId="77777777" w:rsidR="005D1BEB" w:rsidRDefault="005D1BEB" w:rsidP="008C3E70">
      <w:pPr>
        <w:spacing w:before="0"/>
      </w:pPr>
      <w:r>
        <w:continuationSeparator/>
      </w:r>
    </w:p>
  </w:footnote>
  <w:footnote w:type="continuationNotice" w:id="1">
    <w:p w14:paraId="31C63C5F" w14:textId="77777777" w:rsidR="005D1BEB" w:rsidRDefault="005D1BEB">
      <w:pPr>
        <w:spacing w:before="0"/>
      </w:pPr>
    </w:p>
  </w:footnote>
  <w:footnote w:id="2">
    <w:p w14:paraId="67D7AF0A" w14:textId="5ADD9E01" w:rsidR="005D1BEB" w:rsidRPr="0007264C" w:rsidRDefault="005D1BEB" w:rsidP="003E72BA">
      <w:pPr>
        <w:pStyle w:val="Allmrkusetekst"/>
        <w:jc w:val="both"/>
        <w:rPr>
          <w:sz w:val="18"/>
          <w:szCs w:val="18"/>
        </w:rPr>
      </w:pPr>
      <w:r w:rsidRPr="0007264C">
        <w:rPr>
          <w:rStyle w:val="Allmrkuseviide"/>
          <w:sz w:val="18"/>
          <w:szCs w:val="18"/>
        </w:rPr>
        <w:footnoteRef/>
      </w:r>
      <w:r w:rsidRPr="0007264C">
        <w:rPr>
          <w:sz w:val="18"/>
          <w:szCs w:val="18"/>
        </w:rPr>
        <w:t xml:space="preserve"> https://eur-lex.europa.eu/legal-content/ET/TXT/?uri=CELEX:32023R1114</w:t>
      </w:r>
    </w:p>
  </w:footnote>
  <w:footnote w:id="3">
    <w:p w14:paraId="2321F6B4" w14:textId="04627706" w:rsidR="005D1BEB" w:rsidRPr="001E6CE6" w:rsidRDefault="005D1BEB" w:rsidP="003E72BA">
      <w:pPr>
        <w:pStyle w:val="Allmrkusetekst"/>
        <w:ind w:left="0" w:hanging="11"/>
        <w:jc w:val="both"/>
        <w:rPr>
          <w:sz w:val="20"/>
          <w:szCs w:val="20"/>
        </w:rPr>
      </w:pPr>
      <w:r w:rsidRPr="001E6CE6">
        <w:rPr>
          <w:rStyle w:val="Allmrkuseviide"/>
          <w:sz w:val="20"/>
          <w:szCs w:val="20"/>
        </w:rPr>
        <w:footnoteRef/>
      </w:r>
      <w:r w:rsidRPr="001E6CE6">
        <w:rPr>
          <w:sz w:val="20"/>
          <w:szCs w:val="20"/>
        </w:rPr>
        <w:t xml:space="preserve"> 2023. a. 23. märtsis jõustunud</w:t>
      </w:r>
      <w:r w:rsidRPr="00DC268C">
        <w:rPr>
          <w:sz w:val="20"/>
          <w:szCs w:val="20"/>
        </w:rPr>
        <w:t xml:space="preserve"> määrus 2022/858 näeb ette kuidas väärtpaberibörsi korraldajad saavad hajusraamatu tehnoloogiat kasutada:</w:t>
      </w:r>
      <w:r w:rsidRPr="001E6CE6">
        <w:rPr>
          <w:sz w:val="20"/>
          <w:szCs w:val="20"/>
        </w:rPr>
        <w:t xml:space="preserve"> https://eur-lex.europa.eu/legal-content/EN/TXT/PDF/?uri=CELEX:32022R0858</w:t>
      </w:r>
    </w:p>
  </w:footnote>
  <w:footnote w:id="4">
    <w:p w14:paraId="50CB8172" w14:textId="23CC50A0" w:rsidR="005D1BEB" w:rsidRPr="006B0B55" w:rsidRDefault="005D1BEB" w:rsidP="001E6CE6">
      <w:pPr>
        <w:pStyle w:val="Allmrkusetekst"/>
        <w:ind w:left="0" w:firstLine="0"/>
      </w:pPr>
      <w:r w:rsidRPr="001E6CE6">
        <w:rPr>
          <w:rStyle w:val="Allmrkuseviide"/>
          <w:sz w:val="20"/>
          <w:szCs w:val="20"/>
        </w:rPr>
        <w:footnoteRef/>
      </w:r>
      <w:r w:rsidRPr="001E6CE6">
        <w:rPr>
          <w:sz w:val="20"/>
          <w:szCs w:val="20"/>
        </w:rPr>
        <w:t xml:space="preserve"> 2023. a. 29. mai seisuga on coinsmarket</w:t>
      </w:r>
      <w:r>
        <w:rPr>
          <w:sz w:val="20"/>
          <w:szCs w:val="20"/>
        </w:rPr>
        <w:t>cap</w:t>
      </w:r>
      <w:r w:rsidRPr="001E6CE6">
        <w:rPr>
          <w:sz w:val="20"/>
          <w:szCs w:val="20"/>
        </w:rPr>
        <w:t>.com an</w:t>
      </w:r>
      <w:r w:rsidR="003B3ACE">
        <w:rPr>
          <w:sz w:val="20"/>
          <w:szCs w:val="20"/>
        </w:rPr>
        <w:t>d</w:t>
      </w:r>
      <w:r w:rsidR="007C751F">
        <w:rPr>
          <w:sz w:val="20"/>
          <w:szCs w:val="20"/>
        </w:rPr>
        <w:t>m</w:t>
      </w:r>
      <w:r w:rsidRPr="001E6CE6">
        <w:rPr>
          <w:sz w:val="20"/>
          <w:szCs w:val="20"/>
        </w:rPr>
        <w:t xml:space="preserve">etel </w:t>
      </w:r>
      <w:r>
        <w:rPr>
          <w:sz w:val="20"/>
          <w:szCs w:val="20"/>
        </w:rPr>
        <w:t xml:space="preserve">maailmas </w:t>
      </w:r>
      <w:r w:rsidRPr="009B3D01">
        <w:rPr>
          <w:i/>
          <w:iCs/>
          <w:sz w:val="20"/>
          <w:szCs w:val="20"/>
        </w:rPr>
        <w:t>ca</w:t>
      </w:r>
      <w:r w:rsidRPr="001E6CE6">
        <w:rPr>
          <w:sz w:val="20"/>
          <w:szCs w:val="20"/>
        </w:rPr>
        <w:t xml:space="preserve"> 25 000 erinevat </w:t>
      </w:r>
      <w:proofErr w:type="spellStart"/>
      <w:r w:rsidRPr="001E6CE6">
        <w:rPr>
          <w:sz w:val="20"/>
          <w:szCs w:val="20"/>
        </w:rPr>
        <w:t>krüptovara</w:t>
      </w:r>
      <w:proofErr w:type="spellEnd"/>
      <w:r w:rsidRPr="001E6CE6">
        <w:rPr>
          <w:sz w:val="20"/>
          <w:szCs w:val="20"/>
        </w:rPr>
        <w:t>.</w:t>
      </w:r>
      <w:r>
        <w:rPr>
          <w:sz w:val="20"/>
          <w:szCs w:val="20"/>
        </w:rPr>
        <w:t xml:space="preserve"> </w:t>
      </w:r>
      <w:r w:rsidR="009B3D01">
        <w:rPr>
          <w:sz w:val="20"/>
          <w:szCs w:val="20"/>
        </w:rPr>
        <w:t>M</w:t>
      </w:r>
      <w:r>
        <w:rPr>
          <w:sz w:val="20"/>
          <w:szCs w:val="20"/>
        </w:rPr>
        <w:t xml:space="preserve">assiivsemalt tehakse tehinguid </w:t>
      </w:r>
      <w:r w:rsidR="009B3D01">
        <w:rPr>
          <w:sz w:val="20"/>
          <w:szCs w:val="20"/>
        </w:rPr>
        <w:t xml:space="preserve">siiski </w:t>
      </w:r>
      <w:r>
        <w:rPr>
          <w:sz w:val="20"/>
          <w:szCs w:val="20"/>
        </w:rPr>
        <w:t>üksnes suurematega.</w:t>
      </w:r>
    </w:p>
  </w:footnote>
  <w:footnote w:id="5">
    <w:p w14:paraId="31A98A48" w14:textId="7C7AC21B" w:rsidR="005D1BEB" w:rsidRPr="007C751F" w:rsidRDefault="005D1BEB" w:rsidP="001C3A31">
      <w:pPr>
        <w:pStyle w:val="Allmrkusetekst"/>
        <w:rPr>
          <w:i/>
          <w:iCs/>
          <w:sz w:val="20"/>
          <w:szCs w:val="20"/>
        </w:rPr>
      </w:pPr>
      <w:r>
        <w:rPr>
          <w:rStyle w:val="Allmrkuseviide"/>
        </w:rPr>
        <w:footnoteRef/>
      </w:r>
      <w:r>
        <w:t xml:space="preserve"> </w:t>
      </w:r>
      <w:r w:rsidR="007C751F" w:rsidRPr="007C751F">
        <w:rPr>
          <w:sz w:val="20"/>
          <w:szCs w:val="20"/>
        </w:rPr>
        <w:t xml:space="preserve">ingl </w:t>
      </w:r>
      <w:proofErr w:type="spellStart"/>
      <w:r w:rsidR="007C751F" w:rsidRPr="007C751F">
        <w:rPr>
          <w:i/>
          <w:iCs/>
          <w:sz w:val="20"/>
          <w:szCs w:val="20"/>
        </w:rPr>
        <w:t>v</w:t>
      </w:r>
      <w:r w:rsidRPr="007C751F">
        <w:rPr>
          <w:i/>
          <w:iCs/>
          <w:color w:val="202124"/>
          <w:sz w:val="20"/>
          <w:szCs w:val="20"/>
          <w:shd w:val="clear" w:color="auto" w:fill="FFFFFF"/>
        </w:rPr>
        <w:t>irtual</w:t>
      </w:r>
      <w:proofErr w:type="spellEnd"/>
      <w:r w:rsidRPr="007C751F">
        <w:rPr>
          <w:i/>
          <w:iCs/>
          <w:color w:val="202124"/>
          <w:sz w:val="20"/>
          <w:szCs w:val="20"/>
          <w:shd w:val="clear" w:color="auto" w:fill="FFFFFF"/>
        </w:rPr>
        <w:t xml:space="preserve"> </w:t>
      </w:r>
      <w:proofErr w:type="spellStart"/>
      <w:r w:rsidR="007C751F" w:rsidRPr="007C751F">
        <w:rPr>
          <w:i/>
          <w:iCs/>
          <w:color w:val="202124"/>
          <w:sz w:val="20"/>
          <w:szCs w:val="20"/>
          <w:shd w:val="clear" w:color="auto" w:fill="FFFFFF"/>
        </w:rPr>
        <w:t>a</w:t>
      </w:r>
      <w:r w:rsidRPr="007C751F">
        <w:rPr>
          <w:i/>
          <w:iCs/>
          <w:color w:val="202124"/>
          <w:sz w:val="20"/>
          <w:szCs w:val="20"/>
          <w:shd w:val="clear" w:color="auto" w:fill="FFFFFF"/>
        </w:rPr>
        <w:t>sset</w:t>
      </w:r>
      <w:proofErr w:type="spellEnd"/>
      <w:r w:rsidRPr="007C751F">
        <w:rPr>
          <w:i/>
          <w:iCs/>
          <w:color w:val="202124"/>
          <w:sz w:val="20"/>
          <w:szCs w:val="20"/>
          <w:shd w:val="clear" w:color="auto" w:fill="FFFFFF"/>
        </w:rPr>
        <w:t xml:space="preserve"> </w:t>
      </w:r>
      <w:proofErr w:type="spellStart"/>
      <w:r w:rsidR="007C751F" w:rsidRPr="007C751F">
        <w:rPr>
          <w:i/>
          <w:iCs/>
          <w:color w:val="202124"/>
          <w:sz w:val="20"/>
          <w:szCs w:val="20"/>
          <w:shd w:val="clear" w:color="auto" w:fill="FFFFFF"/>
        </w:rPr>
        <w:t>s</w:t>
      </w:r>
      <w:r w:rsidRPr="007C751F">
        <w:rPr>
          <w:i/>
          <w:iCs/>
          <w:color w:val="202124"/>
          <w:sz w:val="20"/>
          <w:szCs w:val="20"/>
          <w:shd w:val="clear" w:color="auto" w:fill="FFFFFF"/>
        </w:rPr>
        <w:t>ervice</w:t>
      </w:r>
      <w:proofErr w:type="spellEnd"/>
      <w:r w:rsidRPr="007C751F">
        <w:rPr>
          <w:i/>
          <w:iCs/>
          <w:color w:val="202124"/>
          <w:sz w:val="20"/>
          <w:szCs w:val="20"/>
          <w:shd w:val="clear" w:color="auto" w:fill="FFFFFF"/>
        </w:rPr>
        <w:t xml:space="preserve"> </w:t>
      </w:r>
      <w:proofErr w:type="spellStart"/>
      <w:r w:rsidR="007C751F" w:rsidRPr="007C751F">
        <w:rPr>
          <w:i/>
          <w:iCs/>
          <w:color w:val="202124"/>
          <w:sz w:val="20"/>
          <w:szCs w:val="20"/>
          <w:shd w:val="clear" w:color="auto" w:fill="FFFFFF"/>
        </w:rPr>
        <w:t>p</w:t>
      </w:r>
      <w:r w:rsidRPr="007C751F">
        <w:rPr>
          <w:i/>
          <w:iCs/>
          <w:color w:val="202124"/>
          <w:sz w:val="20"/>
          <w:szCs w:val="20"/>
          <w:shd w:val="clear" w:color="auto" w:fill="FFFFFF"/>
        </w:rPr>
        <w:t>rovider</w:t>
      </w:r>
      <w:proofErr w:type="spellEnd"/>
    </w:p>
  </w:footnote>
  <w:footnote w:id="6">
    <w:p w14:paraId="5712FF85" w14:textId="77777777" w:rsidR="005D1BEB" w:rsidRPr="00A96E97" w:rsidRDefault="005D1BEB" w:rsidP="00EC5B50">
      <w:pPr>
        <w:pStyle w:val="Allmrkusetekst"/>
        <w:rPr>
          <w:sz w:val="18"/>
          <w:szCs w:val="18"/>
        </w:rPr>
      </w:pPr>
      <w:r w:rsidRPr="00A96E97">
        <w:rPr>
          <w:rStyle w:val="Allmrkuseviide"/>
          <w:sz w:val="18"/>
          <w:szCs w:val="18"/>
        </w:rPr>
        <w:footnoteRef/>
      </w:r>
      <w:r w:rsidRPr="00A96E97">
        <w:rPr>
          <w:sz w:val="18"/>
          <w:szCs w:val="18"/>
        </w:rPr>
        <w:t xml:space="preserve"> </w:t>
      </w:r>
      <w:r w:rsidRPr="001A4938">
        <w:rPr>
          <w:sz w:val="20"/>
          <w:szCs w:val="20"/>
        </w:rPr>
        <w:t>https://eur-lex.europa.eu/legal-content/ET/TXT/?uri=CELEX:32022R2554</w:t>
      </w:r>
    </w:p>
  </w:footnote>
  <w:footnote w:id="7">
    <w:p w14:paraId="39112175" w14:textId="20362F63" w:rsidR="005D1BEB" w:rsidRPr="004530A3" w:rsidRDefault="005D1BEB">
      <w:pPr>
        <w:pStyle w:val="Allmrkusetekst"/>
        <w:rPr>
          <w:sz w:val="20"/>
          <w:szCs w:val="20"/>
        </w:rPr>
      </w:pPr>
      <w:r w:rsidRPr="004530A3">
        <w:rPr>
          <w:rStyle w:val="Allmrkuseviide"/>
          <w:sz w:val="20"/>
          <w:szCs w:val="20"/>
        </w:rPr>
        <w:footnoteRef/>
      </w:r>
      <w:r w:rsidRPr="004530A3">
        <w:rPr>
          <w:sz w:val="20"/>
          <w:szCs w:val="20"/>
        </w:rPr>
        <w:t xml:space="preserve"> https://www.esma.europa.eu/sites/default/files/library/esma31-62-1193_prospectus_thresholds.pdf</w:t>
      </w:r>
    </w:p>
  </w:footnote>
  <w:footnote w:id="8">
    <w:p w14:paraId="26DED522" w14:textId="1B10AA6A" w:rsidR="005D1BEB" w:rsidRDefault="005D1BEB">
      <w:pPr>
        <w:pStyle w:val="Allmrkusetekst"/>
      </w:pPr>
      <w:r w:rsidRPr="00A96E97">
        <w:rPr>
          <w:rStyle w:val="Allmrkuseviide"/>
          <w:sz w:val="18"/>
          <w:szCs w:val="18"/>
        </w:rPr>
        <w:footnoteRef/>
      </w:r>
      <w:r w:rsidRPr="00A96E97">
        <w:rPr>
          <w:sz w:val="18"/>
          <w:szCs w:val="18"/>
        </w:rPr>
        <w:t xml:space="preserve"> https://eur-lex.europa.eu/legal-content/ET/TXT/?uri=CELEX:32023R1113&amp;qid=1689227448452</w:t>
      </w:r>
    </w:p>
  </w:footnote>
  <w:footnote w:id="9">
    <w:p w14:paraId="2D6A6DD1" w14:textId="3D61FEF9" w:rsidR="005D1BEB" w:rsidRDefault="005D1BEB">
      <w:pPr>
        <w:pStyle w:val="Allmrkusetekst"/>
      </w:pPr>
      <w:r>
        <w:rPr>
          <w:rStyle w:val="Allmrkuseviide"/>
        </w:rPr>
        <w:footnoteRef/>
      </w:r>
      <w:r>
        <w:t xml:space="preserve"> </w:t>
      </w:r>
      <w:r w:rsidRPr="0090110A">
        <w:rPr>
          <w:sz w:val="18"/>
          <w:szCs w:val="18"/>
        </w:rPr>
        <w:t>https://eur-lex.europa.eu/legal-content/EN/TXT/?uri=CELEX%3A02011L0061-20210802</w:t>
      </w:r>
    </w:p>
  </w:footnote>
  <w:footnote w:id="10">
    <w:p w14:paraId="789FD672" w14:textId="5B91AB72" w:rsidR="005D1BEB" w:rsidRDefault="005D1BEB">
      <w:pPr>
        <w:pStyle w:val="Allmrkusetekst"/>
      </w:pPr>
      <w:r>
        <w:rPr>
          <w:rStyle w:val="Allmrkuseviide"/>
        </w:rPr>
        <w:footnoteRef/>
      </w:r>
      <w:r>
        <w:t xml:space="preserve"> </w:t>
      </w:r>
      <w:r w:rsidRPr="003E72BA">
        <w:rPr>
          <w:sz w:val="18"/>
          <w:szCs w:val="18"/>
        </w:rPr>
        <w:t>https://eur-lex.europa.eu/legal-content/ET/TXT/?uri=CELEX%3A32017R1129</w:t>
      </w:r>
    </w:p>
  </w:footnote>
  <w:footnote w:id="11">
    <w:p w14:paraId="63016150" w14:textId="3FDB668F" w:rsidR="005D1BEB" w:rsidRDefault="005D1BEB">
      <w:pPr>
        <w:pStyle w:val="Allmrkusetekst"/>
      </w:pPr>
      <w:r>
        <w:rPr>
          <w:rStyle w:val="Allmrkuseviide"/>
        </w:rPr>
        <w:footnoteRef/>
      </w:r>
      <w:r>
        <w:t xml:space="preserve"> </w:t>
      </w:r>
      <w:r w:rsidRPr="004A38A8">
        <w:rPr>
          <w:sz w:val="18"/>
          <w:szCs w:val="18"/>
        </w:rPr>
        <w:t>https://eur-lex.europa.eu/legal-content/ET/TXT/?uri=CELEX:32015L0849</w:t>
      </w:r>
    </w:p>
  </w:footnote>
  <w:footnote w:id="12">
    <w:p w14:paraId="08F40BBC" w14:textId="77777777" w:rsidR="005D1BEB" w:rsidRPr="006521CB" w:rsidRDefault="005D1BEB" w:rsidP="004A38A8">
      <w:pPr>
        <w:rPr>
          <w:sz w:val="18"/>
          <w:szCs w:val="18"/>
        </w:rPr>
      </w:pPr>
      <w:r w:rsidRPr="0034053D">
        <w:rPr>
          <w:rFonts w:eastAsiaTheme="minorEastAsia"/>
          <w:sz w:val="18"/>
          <w:szCs w:val="18"/>
          <w:vertAlign w:val="superscript"/>
        </w:rPr>
        <w:footnoteRef/>
      </w:r>
      <w:r w:rsidRPr="00D45394">
        <w:rPr>
          <w:b/>
          <w:sz w:val="18"/>
          <w:szCs w:val="18"/>
        </w:rPr>
        <w:t xml:space="preserve"> </w:t>
      </w:r>
      <w:r w:rsidRPr="00D45394">
        <w:rPr>
          <w:sz w:val="18"/>
          <w:szCs w:val="18"/>
        </w:rPr>
        <w:t xml:space="preserve">Allikas: EBA raport </w:t>
      </w:r>
      <w:proofErr w:type="spellStart"/>
      <w:r w:rsidRPr="00D45394">
        <w:rPr>
          <w:sz w:val="18"/>
          <w:szCs w:val="18"/>
        </w:rPr>
        <w:t>krüptovarade</w:t>
      </w:r>
      <w:proofErr w:type="spellEnd"/>
      <w:r w:rsidRPr="00D45394">
        <w:rPr>
          <w:sz w:val="18"/>
          <w:szCs w:val="18"/>
        </w:rPr>
        <w:t xml:space="preserve"> kohta, 9.01.2019. a, joonisel autorite kohendused. Täpsema </w:t>
      </w:r>
      <w:proofErr w:type="spellStart"/>
      <w:r w:rsidRPr="00D45394">
        <w:rPr>
          <w:sz w:val="18"/>
          <w:szCs w:val="18"/>
        </w:rPr>
        <w:t>tokenite</w:t>
      </w:r>
      <w:proofErr w:type="spellEnd"/>
      <w:r w:rsidRPr="00D45394">
        <w:rPr>
          <w:sz w:val="18"/>
          <w:szCs w:val="18"/>
        </w:rPr>
        <w:t xml:space="preserve"> kategoriseerimise võib leida siit: </w:t>
      </w:r>
      <w:hyperlink r:id="rId1" w:history="1">
        <w:r w:rsidRPr="0034053D">
          <w:rPr>
            <w:rStyle w:val="Pealkiri8Mrk"/>
            <w:b w:val="0"/>
            <w:bCs/>
            <w:sz w:val="18"/>
            <w:szCs w:val="18"/>
          </w:rPr>
          <w:t>http://www.untitled-inc.com/the-token-classification-framework-a-multi-dimensional-tool-for-understanding-and-classifying-crypto-tokens/</w:t>
        </w:r>
      </w:hyperlink>
    </w:p>
  </w:footnote>
  <w:footnote w:id="13">
    <w:p w14:paraId="60A62FA9" w14:textId="39875987" w:rsidR="005D1BEB" w:rsidRDefault="005D1BEB">
      <w:pPr>
        <w:pStyle w:val="Allmrkusetekst"/>
      </w:pPr>
      <w:r>
        <w:rPr>
          <w:rStyle w:val="Allmrkuseviide"/>
        </w:rPr>
        <w:footnoteRef/>
      </w:r>
      <w:r>
        <w:t xml:space="preserve"> </w:t>
      </w:r>
      <w:r w:rsidRPr="00A633D7">
        <w:rPr>
          <w:sz w:val="18"/>
          <w:szCs w:val="18"/>
        </w:rPr>
        <w:t>https://eur-lex.europa.eu/legal-content/ET/TXT/?uri=CELEX:32015L2366</w:t>
      </w:r>
    </w:p>
  </w:footnote>
  <w:footnote w:id="14">
    <w:p w14:paraId="655CC3CB" w14:textId="77777777" w:rsidR="005D1BEB" w:rsidRPr="00325B87" w:rsidRDefault="005D1BEB" w:rsidP="00801563">
      <w:pPr>
        <w:pStyle w:val="Allmrkusetekst"/>
        <w:ind w:left="709" w:hanging="709"/>
      </w:pPr>
      <w:r>
        <w:rPr>
          <w:rStyle w:val="Allmrkuseviide"/>
        </w:rPr>
        <w:footnoteRef/>
      </w:r>
      <w:r>
        <w:t xml:space="preserve"> </w:t>
      </w:r>
      <w:r w:rsidRPr="00801563">
        <w:rPr>
          <w:sz w:val="18"/>
          <w:szCs w:val="18"/>
        </w:rPr>
        <w:t>https://eur-lex.europa.eu/legal-content/ET/TXT/?uri=CELEX:32014L0065</w:t>
      </w:r>
    </w:p>
  </w:footnote>
  <w:footnote w:id="15">
    <w:p w14:paraId="687FEFD0" w14:textId="7C4D3358" w:rsidR="005D1BEB" w:rsidRPr="008B11D7" w:rsidRDefault="005D1BEB" w:rsidP="008B11D7">
      <w:pPr>
        <w:pStyle w:val="Allmrkusetekst"/>
        <w:rPr>
          <w:sz w:val="18"/>
          <w:szCs w:val="18"/>
        </w:rPr>
      </w:pPr>
      <w:r w:rsidRPr="008B11D7">
        <w:rPr>
          <w:rStyle w:val="Allmrkuseviide"/>
          <w:sz w:val="18"/>
          <w:szCs w:val="18"/>
        </w:rPr>
        <w:footnoteRef/>
      </w:r>
      <w:r w:rsidRPr="008B11D7">
        <w:rPr>
          <w:sz w:val="18"/>
          <w:szCs w:val="18"/>
        </w:rPr>
        <w:t xml:space="preserve"> https://eur-lex.europa.eu/legal-content/EN/TXT/?uri=CELEX%3A52020SC0380</w:t>
      </w:r>
    </w:p>
  </w:footnote>
  <w:footnote w:id="16">
    <w:p w14:paraId="6DC90736" w14:textId="2A8DAFE0" w:rsidR="005D1BEB" w:rsidRPr="008B11D7" w:rsidRDefault="005D1BEB" w:rsidP="008B11D7">
      <w:pPr>
        <w:spacing w:before="0"/>
        <w:rPr>
          <w:sz w:val="18"/>
          <w:szCs w:val="18"/>
        </w:rPr>
      </w:pPr>
      <w:r w:rsidRPr="008B11D7">
        <w:rPr>
          <w:rStyle w:val="Allmrkuseviide"/>
          <w:sz w:val="18"/>
          <w:szCs w:val="18"/>
        </w:rPr>
        <w:footnoteRef/>
      </w:r>
      <w:r w:rsidRPr="008B11D7">
        <w:rPr>
          <w:sz w:val="18"/>
          <w:szCs w:val="18"/>
        </w:rPr>
        <w:t xml:space="preserve"> https://eur-lex.europa.eu/legal-content/EN/TXT/?uri=CELEX:52020SC0198</w:t>
      </w:r>
    </w:p>
  </w:footnote>
  <w:footnote w:id="17">
    <w:p w14:paraId="31FCEAFA" w14:textId="10D31A78" w:rsidR="005D1BEB" w:rsidRDefault="005D1BEB" w:rsidP="008B11D7">
      <w:pPr>
        <w:pStyle w:val="Allmrkusetekst"/>
      </w:pPr>
      <w:r w:rsidRPr="008B11D7">
        <w:rPr>
          <w:rStyle w:val="Allmrkuseviide"/>
          <w:sz w:val="18"/>
          <w:szCs w:val="18"/>
        </w:rPr>
        <w:footnoteRef/>
      </w:r>
      <w:r w:rsidRPr="008B11D7">
        <w:rPr>
          <w:sz w:val="18"/>
          <w:szCs w:val="18"/>
        </w:rPr>
        <w:t xml:space="preserve"> https://eur-lex.europa.eu/legal-content/PL/ALL/?uri=CELEX:52021SC0190</w:t>
      </w:r>
    </w:p>
  </w:footnote>
  <w:footnote w:id="18">
    <w:p w14:paraId="5B1DC31B" w14:textId="1CC50622" w:rsidR="005D1BEB" w:rsidRPr="00105B7E" w:rsidRDefault="005D1BEB" w:rsidP="00105B7E">
      <w:pPr>
        <w:spacing w:before="0"/>
        <w:rPr>
          <w:bCs/>
          <w:iCs/>
          <w:spacing w:val="-5"/>
          <w:sz w:val="18"/>
          <w:szCs w:val="18"/>
          <w:lang w:eastAsia="en-US"/>
        </w:rPr>
      </w:pPr>
      <w:r w:rsidRPr="00BB2E40">
        <w:rPr>
          <w:rStyle w:val="Allmrkuseviide"/>
          <w:sz w:val="18"/>
          <w:szCs w:val="18"/>
        </w:rPr>
        <w:footnoteRef/>
      </w:r>
      <w:r w:rsidRPr="00BB2E40">
        <w:rPr>
          <w:sz w:val="18"/>
          <w:szCs w:val="18"/>
        </w:rPr>
        <w:t xml:space="preserve"> Väljavõte ESMA kirjast rahandusministritele: </w:t>
      </w:r>
      <w:r w:rsidRPr="00BB2E40">
        <w:rPr>
          <w:i/>
          <w:iCs/>
          <w:sz w:val="18"/>
          <w:szCs w:val="18"/>
          <w:lang w:val="en-US"/>
        </w:rPr>
        <w:t xml:space="preserve">As most of the existing national regimes are far less comprehensive than </w:t>
      </w:r>
      <w:proofErr w:type="spellStart"/>
      <w:r w:rsidRPr="00BB2E40">
        <w:rPr>
          <w:i/>
          <w:iCs/>
          <w:sz w:val="18"/>
          <w:szCs w:val="18"/>
          <w:lang w:val="en-US"/>
        </w:rPr>
        <w:t>MiCA</w:t>
      </w:r>
      <w:proofErr w:type="spellEnd"/>
      <w:r w:rsidRPr="00BB2E40">
        <w:rPr>
          <w:i/>
          <w:iCs/>
          <w:sz w:val="18"/>
          <w:szCs w:val="18"/>
          <w:lang w:val="en-US"/>
        </w:rPr>
        <w:t xml:space="preserve">, clients could face higher risks of detriment with some entities applying less protective rules up until 1 July 2026, while other entities would apply </w:t>
      </w:r>
      <w:proofErr w:type="spellStart"/>
      <w:r w:rsidRPr="00BB2E40">
        <w:rPr>
          <w:i/>
          <w:iCs/>
          <w:sz w:val="18"/>
          <w:szCs w:val="18"/>
          <w:lang w:val="en-US"/>
        </w:rPr>
        <w:t>MiCA</w:t>
      </w:r>
      <w:proofErr w:type="spellEnd"/>
      <w:r w:rsidRPr="00BB2E40">
        <w:rPr>
          <w:i/>
          <w:iCs/>
          <w:sz w:val="18"/>
          <w:szCs w:val="18"/>
          <w:lang w:val="en-US"/>
        </w:rPr>
        <w:t xml:space="preserve"> requirements from 30 December 2024. Based on a recent stocktaking exercise conducted by ESMA, the grandfathering clause could theoretically apply to more than two thousand entities in the EEA currently registered under these national regimes. With this in mind, we invite Member States to consider reducing the duration of the grandfathering clause to a maximum of twelve months, </w:t>
      </w:r>
      <w:proofErr w:type="gramStart"/>
      <w:r w:rsidRPr="00BB2E40">
        <w:rPr>
          <w:i/>
          <w:iCs/>
          <w:sz w:val="18"/>
          <w:szCs w:val="18"/>
          <w:lang w:val="en-US"/>
        </w:rPr>
        <w:t>in particular with</w:t>
      </w:r>
      <w:proofErr w:type="gramEnd"/>
      <w:r w:rsidRPr="00BB2E40">
        <w:rPr>
          <w:i/>
          <w:iCs/>
          <w:sz w:val="18"/>
          <w:szCs w:val="18"/>
          <w:lang w:val="en-US"/>
        </w:rPr>
        <w:t xml:space="preserve"> respect to entities that have not been through a fully-fledged </w:t>
      </w:r>
      <w:proofErr w:type="spellStart"/>
      <w:r w:rsidRPr="00BB2E40">
        <w:rPr>
          <w:i/>
          <w:iCs/>
          <w:sz w:val="18"/>
          <w:szCs w:val="18"/>
          <w:lang w:val="en-US"/>
        </w:rPr>
        <w:t>authorisation</w:t>
      </w:r>
      <w:proofErr w:type="spellEnd"/>
      <w:r w:rsidRPr="00BB2E40">
        <w:rPr>
          <w:i/>
          <w:iCs/>
          <w:sz w:val="18"/>
          <w:szCs w:val="18"/>
          <w:lang w:val="en-US"/>
        </w:rPr>
        <w:t xml:space="preserve"> process and that are not yet subject to effective supervision in the EU.</w:t>
      </w:r>
    </w:p>
  </w:footnote>
  <w:footnote w:id="19">
    <w:p w14:paraId="5469C90D" w14:textId="63F6DFA8" w:rsidR="005D1BEB" w:rsidRPr="00E63B4C" w:rsidRDefault="005D1BEB">
      <w:pPr>
        <w:pStyle w:val="Allmrkusetekst"/>
        <w:rPr>
          <w:sz w:val="18"/>
          <w:szCs w:val="18"/>
        </w:rPr>
      </w:pPr>
      <w:r w:rsidRPr="00E63B4C">
        <w:rPr>
          <w:rStyle w:val="Allmrkuseviide"/>
          <w:b w:val="0"/>
          <w:bCs w:val="0"/>
          <w:sz w:val="18"/>
          <w:szCs w:val="18"/>
        </w:rPr>
        <w:footnoteRef/>
      </w:r>
      <w:r w:rsidRPr="00E63B4C">
        <w:rPr>
          <w:sz w:val="18"/>
          <w:szCs w:val="18"/>
        </w:rPr>
        <w:t xml:space="preserve"> </w:t>
      </w:r>
      <w:hyperlink r:id="rId2" w:history="1">
        <w:r w:rsidRPr="00E63B4C">
          <w:rPr>
            <w:rStyle w:val="Hperlink"/>
            <w:color w:val="auto"/>
            <w:sz w:val="18"/>
            <w:szCs w:val="18"/>
          </w:rPr>
          <w:t>https://eelnoud.valitsus.ee/main/mount/docList/3d928350-1277-4000-8f17-11d554be39d4</w:t>
        </w:r>
      </w:hyperlink>
      <w:r w:rsidRPr="00E63B4C">
        <w:rPr>
          <w:rStyle w:val="cf01"/>
          <w:rFonts w:ascii="Times New Roman" w:hAnsi="Times New Roman" w:cs="Times New Roman"/>
          <w:u w:val="single"/>
        </w:rPr>
        <w:t xml:space="preserve"> </w:t>
      </w:r>
      <w:r w:rsidRPr="00E63B4C">
        <w:rPr>
          <w:sz w:val="18"/>
          <w:szCs w:val="18"/>
        </w:rPr>
        <w:t xml:space="preserve">  </w:t>
      </w:r>
    </w:p>
  </w:footnote>
  <w:footnote w:id="20">
    <w:p w14:paraId="3D6E0DB0" w14:textId="39CBDC5E" w:rsidR="005D1BEB" w:rsidRDefault="005D1BEB" w:rsidP="00933CCE">
      <w:pPr>
        <w:pStyle w:val="Allmrkusetekst"/>
        <w:ind w:left="0" w:firstLine="0"/>
        <w:jc w:val="both"/>
      </w:pPr>
      <w:r>
        <w:rPr>
          <w:rStyle w:val="Allmrkuseviide"/>
        </w:rPr>
        <w:footnoteRef/>
      </w:r>
      <w:r w:rsidRPr="006B37C1">
        <w:rPr>
          <w:sz w:val="18"/>
          <w:szCs w:val="18"/>
        </w:rPr>
        <w:t>https://www.esma.europa.eu/sites/default/files/2023-07/ESMA74-449133380-425_MiCA_Consultation_Paper_1st_package.pdf</w:t>
      </w:r>
    </w:p>
  </w:footnote>
  <w:footnote w:id="21">
    <w:p w14:paraId="27E4984A" w14:textId="23B95174" w:rsidR="005D1BEB" w:rsidRDefault="005D1BEB" w:rsidP="00151742">
      <w:pPr>
        <w:pStyle w:val="Allmrkusetekst"/>
        <w:ind w:left="0" w:firstLine="0"/>
      </w:pPr>
      <w:r>
        <w:rPr>
          <w:rStyle w:val="Allmrkuseviide"/>
        </w:rPr>
        <w:footnoteRef/>
      </w:r>
      <w:r w:rsidRPr="00151742">
        <w:rPr>
          <w:sz w:val="18"/>
          <w:szCs w:val="18"/>
        </w:rPr>
        <w:t>https://ajn.ee/kvaliteet/2022-2023</w:t>
      </w:r>
      <w:r>
        <w:t xml:space="preserve"> </w:t>
      </w:r>
    </w:p>
  </w:footnote>
  <w:footnote w:id="22">
    <w:p w14:paraId="6FFB9C38" w14:textId="77777777" w:rsidR="005D1BEB" w:rsidRPr="00320558" w:rsidRDefault="005D1BEB" w:rsidP="001A4507">
      <w:pPr>
        <w:tabs>
          <w:tab w:val="left" w:pos="426"/>
          <w:tab w:val="left" w:pos="3969"/>
        </w:tabs>
        <w:spacing w:before="0"/>
        <w:rPr>
          <w:sz w:val="18"/>
          <w:szCs w:val="18"/>
        </w:rPr>
      </w:pPr>
      <w:r w:rsidRPr="00CF2ECF">
        <w:rPr>
          <w:sz w:val="18"/>
          <w:szCs w:val="18"/>
          <w:vertAlign w:val="superscript"/>
        </w:rPr>
        <w:footnoteRef/>
      </w:r>
      <w:r w:rsidRPr="00320558">
        <w:rPr>
          <w:b/>
          <w:sz w:val="18"/>
          <w:szCs w:val="18"/>
        </w:rPr>
        <w:t xml:space="preserve"> </w:t>
      </w:r>
      <w:r w:rsidRPr="00320558">
        <w:rPr>
          <w:sz w:val="18"/>
          <w:szCs w:val="18"/>
        </w:rPr>
        <w:t xml:space="preserve">Saare, K., </w:t>
      </w:r>
      <w:proofErr w:type="spellStart"/>
      <w:r w:rsidRPr="00320558">
        <w:rPr>
          <w:sz w:val="18"/>
          <w:szCs w:val="18"/>
        </w:rPr>
        <w:t>Volens</w:t>
      </w:r>
      <w:proofErr w:type="spellEnd"/>
      <w:r w:rsidRPr="00320558">
        <w:rPr>
          <w:sz w:val="18"/>
          <w:szCs w:val="18"/>
        </w:rPr>
        <w:t>, U., Vutt, A., Vutt, M., Ühinguõigus I, Juura 2015, lk 445.</w:t>
      </w:r>
    </w:p>
  </w:footnote>
  <w:footnote w:id="23">
    <w:p w14:paraId="22A5132C" w14:textId="77777777" w:rsidR="005D1BEB" w:rsidRPr="00320558" w:rsidRDefault="005D1BEB" w:rsidP="001A4507">
      <w:pPr>
        <w:tabs>
          <w:tab w:val="left" w:pos="426"/>
          <w:tab w:val="left" w:pos="3969"/>
        </w:tabs>
        <w:spacing w:before="0"/>
        <w:rPr>
          <w:sz w:val="18"/>
          <w:szCs w:val="18"/>
        </w:rPr>
      </w:pPr>
      <w:r w:rsidRPr="00CF2ECF">
        <w:rPr>
          <w:sz w:val="18"/>
          <w:szCs w:val="18"/>
          <w:vertAlign w:val="superscript"/>
        </w:rPr>
        <w:footnoteRef/>
      </w:r>
      <w:r w:rsidRPr="00320558">
        <w:rPr>
          <w:b/>
          <w:sz w:val="18"/>
          <w:szCs w:val="18"/>
        </w:rPr>
        <w:t xml:space="preserve"> </w:t>
      </w:r>
      <w:r w:rsidRPr="00320558">
        <w:rPr>
          <w:sz w:val="18"/>
          <w:szCs w:val="18"/>
        </w:rPr>
        <w:t xml:space="preserve">Saare, K., </w:t>
      </w:r>
      <w:proofErr w:type="spellStart"/>
      <w:r w:rsidRPr="00320558">
        <w:rPr>
          <w:sz w:val="18"/>
          <w:szCs w:val="18"/>
        </w:rPr>
        <w:t>Volens</w:t>
      </w:r>
      <w:proofErr w:type="spellEnd"/>
      <w:r w:rsidRPr="00320558">
        <w:rPr>
          <w:sz w:val="18"/>
          <w:szCs w:val="18"/>
        </w:rPr>
        <w:t>, U., Vutt, A., Vutt, M., Ühinguõigus I, Juura 2015, lk 446.</w:t>
      </w:r>
    </w:p>
  </w:footnote>
  <w:footnote w:id="24">
    <w:p w14:paraId="48084738" w14:textId="20032B2C" w:rsidR="005D1BEB" w:rsidRDefault="005D1BEB" w:rsidP="001229AA">
      <w:pPr>
        <w:pStyle w:val="Allmrkusetekst"/>
        <w:ind w:left="0" w:firstLine="0"/>
      </w:pPr>
      <w:r>
        <w:rPr>
          <w:rStyle w:val="Allmrkuseviide"/>
        </w:rPr>
        <w:footnoteRef/>
      </w:r>
      <w:r>
        <w:t xml:space="preserve"> </w:t>
      </w:r>
      <w:r w:rsidRPr="001229AA">
        <w:rPr>
          <w:sz w:val="18"/>
          <w:szCs w:val="18"/>
        </w:rPr>
        <w:t>https://www.riigikogu.ee/tegevus/eelnoud/eelnou/6b6c934b-9b9c-4328-b49f-1a7c0b4ec23e/volaoigusseaduse-muutmise-ja-sellega-seonduvalt-teiste-seaduste-muutmise-seadus</w:t>
      </w:r>
    </w:p>
  </w:footnote>
  <w:footnote w:id="25">
    <w:p w14:paraId="2E6A152A" w14:textId="79F6A554" w:rsidR="005D1BEB" w:rsidRDefault="005D1BEB">
      <w:pPr>
        <w:pStyle w:val="Allmrkusetekst"/>
      </w:pPr>
      <w:r>
        <w:rPr>
          <w:rStyle w:val="Allmrkuseviide"/>
        </w:rPr>
        <w:footnoteRef/>
      </w:r>
      <w:r>
        <w:t xml:space="preserve"> </w:t>
      </w:r>
      <w:r w:rsidRPr="00482CA2">
        <w:rPr>
          <w:sz w:val="18"/>
          <w:szCs w:val="18"/>
        </w:rPr>
        <w:t>h</w:t>
      </w:r>
      <w:r w:rsidRPr="00905268">
        <w:rPr>
          <w:sz w:val="18"/>
          <w:szCs w:val="18"/>
        </w:rPr>
        <w:t>ttps://eelnoud.valitsus.ee/main/mount/docList/1991ebad-eeab-4529-95ab-76adc5a51975</w:t>
      </w:r>
    </w:p>
  </w:footnote>
  <w:footnote w:id="26">
    <w:p w14:paraId="2041F5FF" w14:textId="77777777" w:rsidR="00482CA2" w:rsidRPr="00AA4650" w:rsidRDefault="00482CA2" w:rsidP="00482CA2">
      <w:pPr>
        <w:rPr>
          <w:sz w:val="18"/>
          <w:szCs w:val="18"/>
        </w:rPr>
      </w:pPr>
      <w:r>
        <w:rPr>
          <w:rStyle w:val="Allmrkuseviide"/>
        </w:rPr>
        <w:footnoteRef/>
      </w:r>
      <w:r>
        <w:t xml:space="preserve"> </w:t>
      </w:r>
      <w:r w:rsidRPr="00AA4650">
        <w:rPr>
          <w:color w:val="333333"/>
          <w:sz w:val="18"/>
          <w:szCs w:val="18"/>
          <w:shd w:val="clear" w:color="auto" w:fill="FFFFFF"/>
        </w:rPr>
        <w:t>Euroopa Parlamendi ja nõukogu direktiiv 2011/61/</w:t>
      </w:r>
      <w:proofErr w:type="spellStart"/>
      <w:r w:rsidRPr="00AA4650">
        <w:rPr>
          <w:color w:val="333333"/>
          <w:sz w:val="18"/>
          <w:szCs w:val="18"/>
          <w:shd w:val="clear" w:color="auto" w:fill="FFFFFF"/>
        </w:rPr>
        <w:t>ELalternatiivsete</w:t>
      </w:r>
      <w:proofErr w:type="spellEnd"/>
      <w:r w:rsidRPr="00AA4650">
        <w:rPr>
          <w:color w:val="333333"/>
          <w:sz w:val="18"/>
          <w:szCs w:val="18"/>
          <w:shd w:val="clear" w:color="auto" w:fill="FFFFFF"/>
        </w:rPr>
        <w:t xml:space="preserve"> investeerimisfondide valitsejate kohta, millega muudetakse direktiive 2003/41/EÜ ja 2009/65/EÜ ning määruseid (EÜ) nr 1060/2009 ja (EL) nr 1095/2010 </w:t>
      </w:r>
      <w:proofErr w:type="spellStart"/>
      <w:r w:rsidRPr="00AA4650">
        <w:rPr>
          <w:color w:val="333333"/>
          <w:sz w:val="18"/>
          <w:szCs w:val="18"/>
          <w:shd w:val="clear" w:color="auto" w:fill="FFFFFF"/>
        </w:rPr>
        <w:t>EMPs</w:t>
      </w:r>
      <w:proofErr w:type="spellEnd"/>
      <w:r w:rsidRPr="00AA4650">
        <w:rPr>
          <w:color w:val="333333"/>
          <w:sz w:val="18"/>
          <w:szCs w:val="18"/>
          <w:shd w:val="clear" w:color="auto" w:fill="FFFFFF"/>
        </w:rPr>
        <w:t xml:space="preserve"> kohaldatav tekst</w:t>
      </w:r>
    </w:p>
    <w:p w14:paraId="430701B4" w14:textId="1D86F53B" w:rsidR="00482CA2" w:rsidRDefault="00482CA2">
      <w:pPr>
        <w:pStyle w:val="Allmrkusetekst"/>
      </w:pPr>
    </w:p>
  </w:footnote>
  <w:footnote w:id="27">
    <w:p w14:paraId="1EED0E86" w14:textId="77777777" w:rsidR="005D1BEB" w:rsidRPr="001E6CE6" w:rsidRDefault="005D1BEB" w:rsidP="001E6CE6">
      <w:pPr>
        <w:pStyle w:val="Allmrkusetekst"/>
        <w:ind w:left="0" w:hanging="11"/>
        <w:rPr>
          <w:sz w:val="20"/>
          <w:szCs w:val="20"/>
        </w:rPr>
      </w:pPr>
      <w:r w:rsidRPr="001E6CE6">
        <w:rPr>
          <w:rStyle w:val="Allmrkuseviide"/>
          <w:sz w:val="20"/>
          <w:szCs w:val="20"/>
        </w:rPr>
        <w:footnoteRef/>
      </w:r>
      <w:r w:rsidRPr="001E6CE6">
        <w:rPr>
          <w:sz w:val="20"/>
          <w:szCs w:val="20"/>
        </w:rPr>
        <w:t xml:space="preserve"> </w:t>
      </w:r>
      <w:hyperlink r:id="rId3" w:history="1">
        <w:r w:rsidRPr="001F526F">
          <w:rPr>
            <w:rStyle w:val="Hperlink"/>
            <w:color w:val="auto"/>
            <w:sz w:val="18"/>
            <w:szCs w:val="18"/>
            <w:u w:val="none"/>
          </w:rPr>
          <w:t>https://www.esma.europa.eu/sites/default/files/library/2015/11/2013-611_guidelines_on_key_concepts_of_the_aifmd_-_en.pdf</w:t>
        </w:r>
      </w:hyperlink>
      <w:r w:rsidRPr="001F526F">
        <w:rPr>
          <w:sz w:val="18"/>
          <w:szCs w:val="18"/>
        </w:rPr>
        <w:t xml:space="preserve"> </w:t>
      </w:r>
    </w:p>
  </w:footnote>
  <w:footnote w:id="28">
    <w:p w14:paraId="2DD73465" w14:textId="2EBA6D9D" w:rsidR="005D1BEB" w:rsidRDefault="005D1BEB">
      <w:pPr>
        <w:pStyle w:val="Allmrkusetekst"/>
      </w:pPr>
      <w:r>
        <w:rPr>
          <w:rStyle w:val="Allmrkuseviide"/>
        </w:rPr>
        <w:footnoteRef/>
      </w:r>
      <w:r w:rsidRPr="00936925">
        <w:rPr>
          <w:sz w:val="18"/>
          <w:szCs w:val="18"/>
        </w:rPr>
        <w:t xml:space="preserve"> https://eur-lex.europa.eu/legal-content/ET/TXT/PDF/?uri=CELEX:32020R1503&amp;from=EN</w:t>
      </w:r>
    </w:p>
  </w:footnote>
  <w:footnote w:id="29">
    <w:p w14:paraId="7C1BF62D" w14:textId="30437B5A" w:rsidR="00482CA2" w:rsidRPr="00AA4650" w:rsidRDefault="00482CA2" w:rsidP="00482CA2">
      <w:pPr>
        <w:rPr>
          <w:color w:val="333333"/>
          <w:sz w:val="18"/>
          <w:szCs w:val="18"/>
          <w:shd w:val="clear" w:color="auto" w:fill="FFFFFF"/>
        </w:rPr>
      </w:pPr>
      <w:r>
        <w:rPr>
          <w:rStyle w:val="Allmrkuseviide"/>
        </w:rPr>
        <w:footnoteRef/>
      </w:r>
      <w:r>
        <w:t xml:space="preserve"> </w:t>
      </w:r>
      <w:r w:rsidRPr="00AA4650">
        <w:rPr>
          <w:color w:val="333333"/>
          <w:sz w:val="18"/>
          <w:szCs w:val="18"/>
          <w:shd w:val="clear" w:color="auto" w:fill="FFFFFF"/>
        </w:rPr>
        <w:t>Euroopa Parlamendi ja nõukogu direktiiv (EL) 2015/849, mis käsitleb finantssüsteemi rahapesu või terrorismi rahastamise eesmärgil kasutamise tõkestamist ning millega muudetakse Euroopa Parlamendi ja nõukogu määrust (EL) nr 648/2012 ja tunnistatakse kehtetuks Euroopa Parlamendi ja nõukogu direktiiv 2005/60/EÜ ja komisjoni direktiiv 2006/70/EÜ (</w:t>
      </w:r>
      <w:proofErr w:type="spellStart"/>
      <w:r w:rsidRPr="00AA4650">
        <w:rPr>
          <w:color w:val="333333"/>
          <w:sz w:val="18"/>
          <w:szCs w:val="18"/>
          <w:shd w:val="clear" w:color="auto" w:fill="FFFFFF"/>
        </w:rPr>
        <w:t>EMPs</w:t>
      </w:r>
      <w:proofErr w:type="spellEnd"/>
      <w:r w:rsidRPr="00AA4650">
        <w:rPr>
          <w:color w:val="333333"/>
          <w:sz w:val="18"/>
          <w:szCs w:val="18"/>
          <w:shd w:val="clear" w:color="auto" w:fill="FFFFFF"/>
        </w:rPr>
        <w:t xml:space="preserve"> kohaldatav tekst)</w:t>
      </w:r>
    </w:p>
    <w:p w14:paraId="664D6C47" w14:textId="57C0288A" w:rsidR="00482CA2" w:rsidRDefault="00482CA2">
      <w:pPr>
        <w:pStyle w:val="Allmrkusetekst"/>
      </w:pPr>
    </w:p>
  </w:footnote>
  <w:footnote w:id="30">
    <w:p w14:paraId="221BD730" w14:textId="1040CB44" w:rsidR="005D1BEB" w:rsidRDefault="005D1BEB">
      <w:pPr>
        <w:pStyle w:val="Allmrkusetekst"/>
      </w:pPr>
      <w:r>
        <w:rPr>
          <w:rStyle w:val="Allmrkuseviide"/>
        </w:rPr>
        <w:footnoteRef/>
      </w:r>
      <w:r>
        <w:t xml:space="preserve"> </w:t>
      </w:r>
      <w:r w:rsidRPr="001732D0">
        <w:rPr>
          <w:sz w:val="18"/>
          <w:szCs w:val="18"/>
        </w:rPr>
        <w:t>https://mtr.ttja.ee/taotluse_tulemus</w:t>
      </w:r>
    </w:p>
  </w:footnote>
  <w:footnote w:id="31">
    <w:p w14:paraId="6C623968" w14:textId="77777777" w:rsidR="005D1BEB" w:rsidRPr="00EB54DE" w:rsidRDefault="005D1BEB" w:rsidP="00F275A0">
      <w:pPr>
        <w:spacing w:before="0"/>
        <w:rPr>
          <w:sz w:val="18"/>
          <w:szCs w:val="18"/>
        </w:rPr>
      </w:pPr>
      <w:r w:rsidRPr="00EB54DE">
        <w:rPr>
          <w:rStyle w:val="Allmrkuseviide"/>
          <w:sz w:val="18"/>
          <w:szCs w:val="18"/>
        </w:rPr>
        <w:footnoteRef/>
      </w:r>
      <w:r w:rsidRPr="00EB54DE">
        <w:rPr>
          <w:sz w:val="18"/>
          <w:szCs w:val="18"/>
        </w:rPr>
        <w:t xml:space="preserve">Väidetavalt on virtuaalvääringud aidanud kaasa ka uut liiki kuritegevuse kasvule. Rahapesu Andmebüroo uuringu raames leiti, et virtuaalvääringute kasutamine kuritegelikes skeemides on Eestis levinud, suur osa n-ö kuritegeliku keskkonna arveldamistest toimub virtuaalvääringutes ning ka kuritegude ettevalmistamise faasis kasutatakse palju virtuaalvääringuid. </w:t>
      </w:r>
      <w:proofErr w:type="spellStart"/>
      <w:r w:rsidRPr="00EB54DE">
        <w:rPr>
          <w:sz w:val="18"/>
          <w:szCs w:val="18"/>
        </w:rPr>
        <w:t>Küberkuritegude</w:t>
      </w:r>
      <w:proofErr w:type="spellEnd"/>
      <w:r w:rsidRPr="00EB54DE">
        <w:rPr>
          <w:sz w:val="18"/>
          <w:szCs w:val="18"/>
        </w:rPr>
        <w:t xml:space="preserve"> vaates kasutatakse virtuaalvääringuid peaaegu kõikide kuriteoliikide puhul, üht või paari domineerivat kuriteoliiki ei ole võimalik </w:t>
      </w:r>
      <w:proofErr w:type="spellStart"/>
      <w:r w:rsidRPr="00EB54DE">
        <w:rPr>
          <w:sz w:val="18"/>
          <w:szCs w:val="18"/>
        </w:rPr>
        <w:t>küberkuritegude</w:t>
      </w:r>
      <w:proofErr w:type="spellEnd"/>
      <w:r w:rsidRPr="00EB54DE">
        <w:rPr>
          <w:sz w:val="18"/>
          <w:szCs w:val="18"/>
        </w:rPr>
        <w:t xml:space="preserve"> uurija sõnul võimalik esile tuua, kuid väga levinud on näiteks igasuguse kuritegevuslikuks otstarbeks kasutatava taristu (nt pahavara kontrollserverite) või kuritegelike teenuste (nt varastatud andmete, pahavara lähtekoodide ostmine) eest tasumine </w:t>
      </w:r>
      <w:proofErr w:type="spellStart"/>
      <w:r w:rsidRPr="00EB54DE">
        <w:rPr>
          <w:sz w:val="18"/>
          <w:szCs w:val="18"/>
        </w:rPr>
        <w:t>krüptorahaga</w:t>
      </w:r>
      <w:proofErr w:type="spellEnd"/>
      <w:r w:rsidRPr="00EB54DE">
        <w:rPr>
          <w:sz w:val="18"/>
          <w:szCs w:val="18"/>
        </w:rPr>
        <w:t xml:space="preserve">, aga ka lunaraha nõudmine </w:t>
      </w:r>
      <w:proofErr w:type="spellStart"/>
      <w:r w:rsidRPr="00EB54DE">
        <w:rPr>
          <w:sz w:val="18"/>
          <w:szCs w:val="18"/>
        </w:rPr>
        <w:t>krüptorahas</w:t>
      </w:r>
      <w:proofErr w:type="spellEnd"/>
      <w:r w:rsidRPr="00EB54DE">
        <w:rPr>
          <w:sz w:val="18"/>
          <w:szCs w:val="18"/>
        </w:rPr>
        <w:t>:</w:t>
      </w:r>
    </w:p>
    <w:p w14:paraId="0F413110" w14:textId="77777777" w:rsidR="005D1BEB" w:rsidRPr="00EB54DE" w:rsidRDefault="009F22FB" w:rsidP="00F275A0">
      <w:pPr>
        <w:spacing w:before="0"/>
        <w:rPr>
          <w:sz w:val="18"/>
          <w:szCs w:val="18"/>
        </w:rPr>
      </w:pPr>
      <w:hyperlink r:id="rId4" w:history="1">
        <w:r w:rsidR="005D1BEB" w:rsidRPr="00EB54DE">
          <w:rPr>
            <w:rStyle w:val="Pealkiri8Mrk"/>
            <w:rFonts w:eastAsiaTheme="majorEastAsia"/>
            <w:b w:val="0"/>
            <w:bCs/>
            <w:sz w:val="18"/>
            <w:szCs w:val="18"/>
          </w:rPr>
          <w:t>https://www.politsei.ee/files/Rahapesu/virtuaalvaeaeringu-teenuse-pakkujate-uuring.pdf?9fd7e5611b</w:t>
        </w:r>
      </w:hyperlink>
      <w:r w:rsidR="005D1BEB" w:rsidRPr="00EB54DE">
        <w:rPr>
          <w:sz w:val="18"/>
          <w:szCs w:val="18"/>
        </w:rPr>
        <w:t xml:space="preserve">, lk 19 </w:t>
      </w:r>
    </w:p>
    <w:p w14:paraId="5303E40A" w14:textId="77777777" w:rsidR="005D1BEB" w:rsidRDefault="005D1BEB" w:rsidP="00F275A0">
      <w:pPr>
        <w:pStyle w:val="Allmrkusetekst"/>
      </w:pPr>
    </w:p>
  </w:footnote>
  <w:footnote w:id="32">
    <w:p w14:paraId="3CE18EA5" w14:textId="77777777" w:rsidR="005D1BEB" w:rsidRPr="00EB54DE" w:rsidRDefault="005D1BEB" w:rsidP="00750FC9">
      <w:pPr>
        <w:pStyle w:val="Allmrkusetekst"/>
        <w:ind w:left="0" w:firstLine="0"/>
        <w:jc w:val="both"/>
        <w:rPr>
          <w:sz w:val="18"/>
          <w:szCs w:val="18"/>
        </w:rPr>
      </w:pPr>
      <w:r w:rsidRPr="00D17EE5">
        <w:rPr>
          <w:rStyle w:val="Allmrkuseviide"/>
          <w:sz w:val="20"/>
          <w:szCs w:val="20"/>
        </w:rPr>
        <w:footnoteRef/>
      </w:r>
      <w:r w:rsidRPr="00D17EE5">
        <w:rPr>
          <w:sz w:val="20"/>
          <w:szCs w:val="20"/>
        </w:rPr>
        <w:t xml:space="preserve"> </w:t>
      </w:r>
      <w:r w:rsidRPr="00EB54DE">
        <w:rPr>
          <w:sz w:val="18"/>
          <w:szCs w:val="18"/>
        </w:rPr>
        <w:t xml:space="preserve">Turuosaliste register Finantsinspektsiooni veebilehel: </w:t>
      </w:r>
      <w:hyperlink r:id="rId5" w:history="1">
        <w:r w:rsidRPr="00EB54DE">
          <w:rPr>
            <w:rStyle w:val="Hperlink"/>
            <w:color w:val="auto"/>
            <w:sz w:val="18"/>
            <w:szCs w:val="18"/>
            <w:u w:val="none"/>
          </w:rPr>
          <w:t>https://www.fi.ee/et/investeerimine-0/investeerimine/fondivalitsejad/fondivalitsejad</w:t>
        </w:r>
      </w:hyperlink>
      <w:r w:rsidRPr="00EB54DE">
        <w:rPr>
          <w:sz w:val="18"/>
          <w:szCs w:val="18"/>
        </w:rPr>
        <w:t xml:space="preserve"> </w:t>
      </w:r>
    </w:p>
  </w:footnote>
  <w:footnote w:id="33">
    <w:p w14:paraId="342A14CD" w14:textId="77777777" w:rsidR="005D1BEB" w:rsidRPr="00EB54DE" w:rsidRDefault="005D1BEB" w:rsidP="00750FC9">
      <w:pPr>
        <w:pStyle w:val="Allmrkusetekst"/>
        <w:ind w:left="0" w:firstLine="0"/>
        <w:jc w:val="both"/>
        <w:rPr>
          <w:sz w:val="18"/>
          <w:szCs w:val="18"/>
        </w:rPr>
      </w:pPr>
      <w:r w:rsidRPr="00EB54DE">
        <w:rPr>
          <w:rStyle w:val="Allmrkuseviide"/>
          <w:sz w:val="18"/>
          <w:szCs w:val="18"/>
        </w:rPr>
        <w:footnoteRef/>
      </w:r>
      <w:r w:rsidRPr="00EB54DE">
        <w:rPr>
          <w:sz w:val="18"/>
          <w:szCs w:val="18"/>
        </w:rPr>
        <w:t xml:space="preserve"> Eesti majanduse aastanäitajad: </w:t>
      </w:r>
      <w:hyperlink r:id="rId6" w:anchor="/et/p/MAJANDUSKOOND/r/2053/1902" w:history="1">
        <w:r w:rsidRPr="00EB54DE">
          <w:rPr>
            <w:rStyle w:val="Hperlink"/>
            <w:color w:val="auto"/>
            <w:sz w:val="18"/>
            <w:szCs w:val="18"/>
            <w:u w:val="none"/>
          </w:rPr>
          <w:t>https://statistika.eestipank.ee/#/et/p/MAJANDUSKOOND/r/2053/1902</w:t>
        </w:r>
      </w:hyperlink>
      <w:r w:rsidRPr="00EB54DE">
        <w:rPr>
          <w:sz w:val="18"/>
          <w:szCs w:val="18"/>
        </w:rPr>
        <w:t xml:space="preserve"> </w:t>
      </w:r>
    </w:p>
  </w:footnote>
  <w:footnote w:id="34">
    <w:p w14:paraId="4D6CD38A" w14:textId="77777777" w:rsidR="005D1BEB" w:rsidRPr="00EB54DE" w:rsidRDefault="005D1BEB" w:rsidP="00750FC9">
      <w:pPr>
        <w:pStyle w:val="Allmrkusetekst"/>
        <w:ind w:left="0" w:firstLine="0"/>
        <w:jc w:val="both"/>
        <w:rPr>
          <w:sz w:val="18"/>
          <w:szCs w:val="18"/>
        </w:rPr>
      </w:pPr>
      <w:r w:rsidRPr="00EB54DE">
        <w:rPr>
          <w:rStyle w:val="Allmrkuseviide"/>
          <w:sz w:val="18"/>
          <w:szCs w:val="18"/>
        </w:rPr>
        <w:footnoteRef/>
      </w:r>
      <w:r w:rsidRPr="00EB54DE">
        <w:rPr>
          <w:sz w:val="18"/>
          <w:szCs w:val="18"/>
        </w:rPr>
        <w:t xml:space="preserve"> Fondivalitsejate ning investeerimis- ja pensionifondide sektori 2022. aasta neljanda kvartali ülevaade: </w:t>
      </w:r>
    </w:p>
    <w:p w14:paraId="62FC3185" w14:textId="77777777" w:rsidR="005D1BEB" w:rsidRDefault="009F22FB" w:rsidP="00750FC9">
      <w:pPr>
        <w:pStyle w:val="Allmrkusetekst"/>
        <w:ind w:left="0" w:firstLine="0"/>
        <w:jc w:val="both"/>
      </w:pPr>
      <w:hyperlink r:id="rId7" w:history="1">
        <w:r w:rsidR="005D1BEB" w:rsidRPr="00EB54DE">
          <w:rPr>
            <w:rStyle w:val="Hperlink"/>
            <w:color w:val="auto"/>
            <w:sz w:val="18"/>
            <w:szCs w:val="18"/>
            <w:u w:val="none"/>
          </w:rPr>
          <w:t>Fondivalitsejate ning investeerimis- ja pensionifondide sektori ülevaade IV kvartal 2022_uus_2-2_1.pdf (fi.ee)</w:t>
        </w:r>
      </w:hyperlink>
    </w:p>
  </w:footnote>
  <w:footnote w:id="35">
    <w:p w14:paraId="630D2342" w14:textId="5A474DB6" w:rsidR="005D1BEB" w:rsidRPr="00E64F39" w:rsidRDefault="005D1BEB">
      <w:pPr>
        <w:pStyle w:val="Allmrkusetekst"/>
        <w:rPr>
          <w:sz w:val="18"/>
          <w:szCs w:val="18"/>
        </w:rPr>
      </w:pPr>
      <w:r w:rsidRPr="00E64F39">
        <w:rPr>
          <w:rStyle w:val="Allmrkuseviide"/>
          <w:sz w:val="18"/>
          <w:szCs w:val="18"/>
        </w:rPr>
        <w:footnoteRef/>
      </w:r>
      <w:r w:rsidRPr="00E64F39">
        <w:rPr>
          <w:sz w:val="18"/>
          <w:szCs w:val="18"/>
        </w:rPr>
        <w:t xml:space="preserve"> https://www.riigiteataja.ee/akt/123022022016</w:t>
      </w:r>
    </w:p>
  </w:footnote>
  <w:footnote w:id="36">
    <w:p w14:paraId="71FE2945" w14:textId="77777777" w:rsidR="005D1BEB" w:rsidRPr="00225B59" w:rsidRDefault="005D1BEB" w:rsidP="00E64F39">
      <w:pPr>
        <w:pStyle w:val="Allmrkusetekst"/>
        <w:ind w:left="0" w:firstLine="0"/>
        <w:rPr>
          <w:sz w:val="18"/>
          <w:szCs w:val="18"/>
        </w:rPr>
      </w:pPr>
      <w:r w:rsidRPr="00E64F39">
        <w:rPr>
          <w:rStyle w:val="Allmrkuseviide"/>
          <w:sz w:val="18"/>
          <w:szCs w:val="18"/>
        </w:rPr>
        <w:footnoteRef/>
      </w:r>
      <w:r w:rsidRPr="00E64F39">
        <w:rPr>
          <w:sz w:val="18"/>
          <w:szCs w:val="18"/>
        </w:rPr>
        <w:t xml:space="preserve"> https://www.fi.ee/et/investeerimine/registrid-nimekirjad-ja-vormid/registreeritud-prospektid/finantsinspektsioonis-registreeritud-prospektid</w:t>
      </w:r>
    </w:p>
  </w:footnote>
  <w:footnote w:id="37">
    <w:p w14:paraId="6A50779C" w14:textId="5E9C50A1" w:rsidR="005D1BEB" w:rsidRPr="00A4579B" w:rsidRDefault="005D1BEB" w:rsidP="00143BD4">
      <w:pPr>
        <w:pStyle w:val="oj-normal"/>
        <w:spacing w:before="120" w:beforeAutospacing="0" w:after="0" w:afterAutospacing="0"/>
        <w:jc w:val="both"/>
        <w:rPr>
          <w:lang w:val="et-EE"/>
        </w:rPr>
      </w:pPr>
      <w:r>
        <w:rPr>
          <w:rStyle w:val="Allmrkuseviide"/>
        </w:rPr>
        <w:footnoteRef/>
      </w:r>
      <w:r w:rsidRPr="00A4579B">
        <w:rPr>
          <w:lang w:val="et-EE"/>
        </w:rPr>
        <w:t xml:space="preserve"> </w:t>
      </w:r>
      <w:r w:rsidRPr="00A4579B">
        <w:rPr>
          <w:color w:val="333333"/>
          <w:sz w:val="18"/>
          <w:szCs w:val="18"/>
          <w:shd w:val="clear" w:color="auto" w:fill="FFFFFF"/>
          <w:lang w:val="et-EE"/>
        </w:rPr>
        <w:t>„konsensusmehhanism“ – reeglid ja menetlused, millega saavutatakse DLT võrgusõlmede vahel kokkulepe tehingu valideerimise kohta. „DLT võrgusõlm“ – seade või protsess, mis on osa võrgust ja millel on olemas kõigi hajusraamatus tehtud tehingute kirjete täielik või osaline koopia.</w:t>
      </w:r>
    </w:p>
  </w:footnote>
  <w:footnote w:id="38">
    <w:p w14:paraId="632E8347" w14:textId="77777777" w:rsidR="005D1BEB" w:rsidRDefault="005D1BEB">
      <w:pPr>
        <w:pStyle w:val="Allmrkusetekst"/>
        <w:rPr>
          <w:sz w:val="18"/>
          <w:szCs w:val="18"/>
        </w:rPr>
      </w:pPr>
      <w:r>
        <w:rPr>
          <w:rStyle w:val="Allmrkuseviide"/>
        </w:rPr>
        <w:footnoteRef/>
      </w:r>
      <w:r>
        <w:t xml:space="preserve"> </w:t>
      </w:r>
      <w:proofErr w:type="spellStart"/>
      <w:r w:rsidRPr="009541A7">
        <w:rPr>
          <w:sz w:val="18"/>
          <w:szCs w:val="18"/>
        </w:rPr>
        <w:t>RAB-i</w:t>
      </w:r>
      <w:proofErr w:type="spellEnd"/>
      <w:r w:rsidRPr="009541A7">
        <w:rPr>
          <w:sz w:val="18"/>
          <w:szCs w:val="18"/>
        </w:rPr>
        <w:t xml:space="preserve"> uuringud ja aastaraamatud on kättesaadavad </w:t>
      </w:r>
      <w:proofErr w:type="spellStart"/>
      <w:r w:rsidRPr="009541A7">
        <w:rPr>
          <w:sz w:val="18"/>
          <w:szCs w:val="18"/>
        </w:rPr>
        <w:t>RAB-i</w:t>
      </w:r>
      <w:proofErr w:type="spellEnd"/>
      <w:r w:rsidRPr="009541A7">
        <w:rPr>
          <w:sz w:val="18"/>
          <w:szCs w:val="18"/>
        </w:rPr>
        <w:t xml:space="preserve"> kodulehelt. </w:t>
      </w:r>
    </w:p>
    <w:p w14:paraId="222747CD" w14:textId="1BB35342" w:rsidR="005D1BEB" w:rsidRDefault="005D1BEB" w:rsidP="00143BD4">
      <w:pPr>
        <w:pStyle w:val="Allmrkusetekst"/>
        <w:rPr>
          <w:sz w:val="18"/>
          <w:szCs w:val="18"/>
        </w:rPr>
      </w:pPr>
      <w:r w:rsidRPr="009541A7">
        <w:rPr>
          <w:sz w:val="18"/>
          <w:szCs w:val="18"/>
        </w:rPr>
        <w:t xml:space="preserve">Uuringud: </w:t>
      </w:r>
      <w:hyperlink r:id="rId8" w:history="1">
        <w:r w:rsidRPr="00AF6DB1">
          <w:rPr>
            <w:rStyle w:val="Hperlink"/>
            <w:sz w:val="18"/>
            <w:szCs w:val="18"/>
          </w:rPr>
          <w:t>https://fiu.ee/aastaraamatud-ja-uuringud/uuringud</w:t>
        </w:r>
      </w:hyperlink>
      <w:r w:rsidRPr="009541A7">
        <w:rPr>
          <w:sz w:val="18"/>
          <w:szCs w:val="18"/>
        </w:rPr>
        <w:t xml:space="preserve">. </w:t>
      </w:r>
    </w:p>
    <w:p w14:paraId="1E691764" w14:textId="498DC3C6" w:rsidR="005D1BEB" w:rsidRDefault="005D1BEB" w:rsidP="00805B32">
      <w:pPr>
        <w:pStyle w:val="Allmrkusetekst"/>
        <w:ind w:left="0" w:firstLine="0"/>
      </w:pPr>
      <w:r w:rsidRPr="009541A7">
        <w:rPr>
          <w:sz w:val="18"/>
          <w:szCs w:val="18"/>
        </w:rPr>
        <w:t>Aastaraamatud: https://fiu.ee/aastaraamatud-ja-uuringud/aastaraamatud</w:t>
      </w:r>
    </w:p>
  </w:footnote>
  <w:footnote w:id="39">
    <w:p w14:paraId="028787C2" w14:textId="31A32610" w:rsidR="005D1BEB" w:rsidRDefault="005D1BEB">
      <w:pPr>
        <w:pStyle w:val="Allmrkusetekst"/>
      </w:pPr>
      <w:r>
        <w:rPr>
          <w:rStyle w:val="Allmrkuseviide"/>
        </w:rPr>
        <w:footnoteRef/>
      </w:r>
      <w:r>
        <w:t xml:space="preserve"> </w:t>
      </w:r>
      <w:r w:rsidRPr="009541A7">
        <w:rPr>
          <w:sz w:val="18"/>
          <w:szCs w:val="18"/>
        </w:rPr>
        <w:t>https://www.riigiteataja.ee/akt/122112016023</w:t>
      </w:r>
    </w:p>
  </w:footnote>
  <w:footnote w:id="40">
    <w:p w14:paraId="630C258E" w14:textId="5847BAB0" w:rsidR="005D1BEB" w:rsidRDefault="005D1BEB">
      <w:pPr>
        <w:pStyle w:val="Allmrkusetekst"/>
      </w:pPr>
      <w:r>
        <w:rPr>
          <w:rStyle w:val="Allmrkuseviide"/>
        </w:rPr>
        <w:footnoteRef/>
      </w:r>
      <w:r>
        <w:t xml:space="preserve"> </w:t>
      </w:r>
      <w:r w:rsidRPr="0085766A">
        <w:rPr>
          <w:sz w:val="18"/>
          <w:szCs w:val="18"/>
        </w:rPr>
        <w:t>Haldusmenetlus</w:t>
      </w:r>
      <w:r>
        <w:rPr>
          <w:sz w:val="18"/>
          <w:szCs w:val="18"/>
        </w:rPr>
        <w:t>e s</w:t>
      </w:r>
      <w:r w:rsidRPr="0085766A">
        <w:rPr>
          <w:sz w:val="18"/>
          <w:szCs w:val="18"/>
        </w:rPr>
        <w:t>eadus</w:t>
      </w:r>
    </w:p>
  </w:footnote>
  <w:footnote w:id="41">
    <w:p w14:paraId="55C2A01E" w14:textId="2216AA1A" w:rsidR="005D1BEB" w:rsidRDefault="005D1BEB">
      <w:pPr>
        <w:pStyle w:val="Allmrkusetekst"/>
      </w:pPr>
      <w:r>
        <w:rPr>
          <w:rStyle w:val="Allmrkuseviide"/>
        </w:rPr>
        <w:footnoteRef/>
      </w:r>
      <w:r>
        <w:t xml:space="preserve"> </w:t>
      </w:r>
      <w:r w:rsidRPr="0085766A">
        <w:rPr>
          <w:sz w:val="18"/>
          <w:szCs w:val="18"/>
        </w:rPr>
        <w:t>Halduskohtumenetluse seadustik</w:t>
      </w:r>
    </w:p>
  </w:footnote>
  <w:footnote w:id="42">
    <w:p w14:paraId="48717EA0" w14:textId="0FAB8702" w:rsidR="005D1BEB" w:rsidRDefault="005D1BEB">
      <w:pPr>
        <w:pStyle w:val="Allmrkusetekst"/>
      </w:pPr>
      <w:r>
        <w:rPr>
          <w:rStyle w:val="Allmrkuseviide"/>
        </w:rPr>
        <w:footnoteRef/>
      </w:r>
      <w:r>
        <w:t xml:space="preserve"> </w:t>
      </w:r>
      <w:r w:rsidRPr="00EC1E9F">
        <w:rPr>
          <w:sz w:val="18"/>
          <w:szCs w:val="18"/>
        </w:rPr>
        <w:t>Seadus ei ole veel vastu võetud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5087" w14:textId="6DB01EC5" w:rsidR="005D1BEB" w:rsidRDefault="005D1BEB" w:rsidP="00B91631">
    <w:pPr>
      <w:pStyle w:val="Pis"/>
      <w:jc w:val="right"/>
    </w:pPr>
    <w:proofErr w:type="spellStart"/>
    <w:r>
      <w:t>KrüTS</w:t>
    </w:r>
    <w:proofErr w:type="spellEnd"/>
  </w:p>
  <w:p w14:paraId="2A819262" w14:textId="77777777" w:rsidR="005D1BEB" w:rsidRDefault="005D1BE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46DF8E"/>
    <w:lvl w:ilvl="0">
      <w:start w:val="1"/>
      <w:numFmt w:val="decimal"/>
      <w:pStyle w:val="Pealkiri3"/>
      <w:lvlText w:val="%1."/>
      <w:lvlJc w:val="left"/>
      <w:pPr>
        <w:tabs>
          <w:tab w:val="num" w:pos="360"/>
        </w:tabs>
        <w:ind w:left="360" w:hanging="360"/>
      </w:pPr>
      <w:rPr>
        <w:rFonts w:cs="Times New Roman"/>
      </w:rPr>
    </w:lvl>
  </w:abstractNum>
  <w:abstractNum w:abstractNumId="1" w15:restartNumberingAfterBreak="0">
    <w:nsid w:val="004A50C7"/>
    <w:multiLevelType w:val="hybridMultilevel"/>
    <w:tmpl w:val="8D129860"/>
    <w:lvl w:ilvl="0" w:tplc="6C06A236">
      <w:start w:val="1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863117"/>
    <w:multiLevelType w:val="hybridMultilevel"/>
    <w:tmpl w:val="145675B6"/>
    <w:lvl w:ilvl="0" w:tplc="FFFFFFFF">
      <w:start w:val="1"/>
      <w:numFmt w:val="decimal"/>
      <w:lvlText w:val="%1)"/>
      <w:lvlJc w:val="left"/>
      <w:pPr>
        <w:ind w:left="720" w:hanging="360"/>
      </w:pPr>
    </w:lvl>
    <w:lvl w:ilvl="1" w:tplc="042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9D4F37"/>
    <w:multiLevelType w:val="hybridMultilevel"/>
    <w:tmpl w:val="C504B8B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3A15DD4"/>
    <w:multiLevelType w:val="hybridMultilevel"/>
    <w:tmpl w:val="BEFC759C"/>
    <w:lvl w:ilvl="0" w:tplc="7BC80EB0">
      <w:start w:val="43"/>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05302D10"/>
    <w:multiLevelType w:val="hybridMultilevel"/>
    <w:tmpl w:val="59B63200"/>
    <w:lvl w:ilvl="0" w:tplc="51B040C0">
      <w:start w:val="1"/>
      <w:numFmt w:val="bullet"/>
      <w:lvlText w:val=""/>
      <w:lvlJc w:val="left"/>
      <w:pPr>
        <w:ind w:left="360" w:hanging="360"/>
      </w:pPr>
      <w:rPr>
        <w:rFonts w:ascii="Wingdings" w:hAnsi="Wingdings"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06F76DA6"/>
    <w:multiLevelType w:val="hybridMultilevel"/>
    <w:tmpl w:val="2C8C6C02"/>
    <w:lvl w:ilvl="0" w:tplc="EEA6ECAA">
      <w:start w:val="1"/>
      <w:numFmt w:val="upperRoman"/>
      <w:pStyle w:val="Pealkiri1"/>
      <w:lvlText w:val="%1."/>
      <w:lvlJc w:val="left"/>
      <w:pPr>
        <w:tabs>
          <w:tab w:val="num" w:pos="720"/>
        </w:tabs>
        <w:ind w:left="720" w:hanging="720"/>
      </w:pPr>
      <w:rPr>
        <w:rFonts w:cs="Times New Roman" w:hint="default"/>
      </w:rPr>
    </w:lvl>
    <w:lvl w:ilvl="1" w:tplc="20CECF32">
      <w:start w:val="1"/>
      <w:numFmt w:val="bullet"/>
      <w:lvlText w:val=""/>
      <w:lvlJc w:val="left"/>
      <w:pPr>
        <w:tabs>
          <w:tab w:val="num" w:pos="-5441"/>
        </w:tabs>
        <w:ind w:left="-5444" w:hanging="357"/>
      </w:pPr>
      <w:rPr>
        <w:rFonts w:ascii="Symbol" w:hAnsi="Symbol" w:hint="default"/>
        <w:color w:val="auto"/>
      </w:rPr>
    </w:lvl>
    <w:lvl w:ilvl="2" w:tplc="0409001B">
      <w:start w:val="1"/>
      <w:numFmt w:val="lowerRoman"/>
      <w:lvlText w:val="%3."/>
      <w:lvlJc w:val="right"/>
      <w:pPr>
        <w:tabs>
          <w:tab w:val="num" w:pos="-4721"/>
        </w:tabs>
        <w:ind w:left="-4721" w:hanging="180"/>
      </w:pPr>
      <w:rPr>
        <w:rFonts w:cs="Times New Roman"/>
      </w:rPr>
    </w:lvl>
    <w:lvl w:ilvl="3" w:tplc="0409000F">
      <w:start w:val="1"/>
      <w:numFmt w:val="decimal"/>
      <w:lvlText w:val="%4."/>
      <w:lvlJc w:val="left"/>
      <w:pPr>
        <w:tabs>
          <w:tab w:val="num" w:pos="-4001"/>
        </w:tabs>
        <w:ind w:left="-4001" w:hanging="360"/>
      </w:pPr>
      <w:rPr>
        <w:rFonts w:cs="Times New Roman"/>
      </w:rPr>
    </w:lvl>
    <w:lvl w:ilvl="4" w:tplc="04090019">
      <w:start w:val="1"/>
      <w:numFmt w:val="lowerLetter"/>
      <w:lvlText w:val="%5."/>
      <w:lvlJc w:val="left"/>
      <w:pPr>
        <w:tabs>
          <w:tab w:val="num" w:pos="-3281"/>
        </w:tabs>
        <w:ind w:left="-3281" w:hanging="360"/>
      </w:pPr>
      <w:rPr>
        <w:rFonts w:cs="Times New Roman"/>
      </w:rPr>
    </w:lvl>
    <w:lvl w:ilvl="5" w:tplc="0409001B">
      <w:start w:val="1"/>
      <w:numFmt w:val="lowerRoman"/>
      <w:lvlText w:val="%6."/>
      <w:lvlJc w:val="right"/>
      <w:pPr>
        <w:tabs>
          <w:tab w:val="num" w:pos="-2561"/>
        </w:tabs>
        <w:ind w:left="-2561" w:hanging="180"/>
      </w:pPr>
      <w:rPr>
        <w:rFonts w:cs="Times New Roman"/>
      </w:rPr>
    </w:lvl>
    <w:lvl w:ilvl="6" w:tplc="0409000F">
      <w:start w:val="1"/>
      <w:numFmt w:val="decimal"/>
      <w:lvlText w:val="%7."/>
      <w:lvlJc w:val="left"/>
      <w:pPr>
        <w:tabs>
          <w:tab w:val="num" w:pos="-1841"/>
        </w:tabs>
        <w:ind w:left="-1841" w:hanging="360"/>
      </w:pPr>
      <w:rPr>
        <w:rFonts w:cs="Times New Roman"/>
      </w:rPr>
    </w:lvl>
    <w:lvl w:ilvl="7" w:tplc="04090019">
      <w:start w:val="1"/>
      <w:numFmt w:val="lowerLetter"/>
      <w:lvlText w:val="%8."/>
      <w:lvlJc w:val="left"/>
      <w:pPr>
        <w:tabs>
          <w:tab w:val="num" w:pos="-1121"/>
        </w:tabs>
        <w:ind w:left="-1121" w:hanging="360"/>
      </w:pPr>
      <w:rPr>
        <w:rFonts w:cs="Times New Roman"/>
      </w:rPr>
    </w:lvl>
    <w:lvl w:ilvl="8" w:tplc="0409001B">
      <w:start w:val="1"/>
      <w:numFmt w:val="lowerRoman"/>
      <w:lvlText w:val="%9."/>
      <w:lvlJc w:val="right"/>
      <w:pPr>
        <w:tabs>
          <w:tab w:val="num" w:pos="-401"/>
        </w:tabs>
        <w:ind w:left="-401" w:hanging="180"/>
      </w:pPr>
      <w:rPr>
        <w:rFonts w:cs="Times New Roman"/>
      </w:rPr>
    </w:lvl>
  </w:abstractNum>
  <w:abstractNum w:abstractNumId="7" w15:restartNumberingAfterBreak="0">
    <w:nsid w:val="080678E4"/>
    <w:multiLevelType w:val="hybridMultilevel"/>
    <w:tmpl w:val="9FC4934A"/>
    <w:lvl w:ilvl="0" w:tplc="51B040C0">
      <w:start w:val="1"/>
      <w:numFmt w:val="bullet"/>
      <w:lvlText w:val=""/>
      <w:lvlJc w:val="left"/>
      <w:pPr>
        <w:ind w:left="360" w:hanging="360"/>
      </w:pPr>
      <w:rPr>
        <w:rFonts w:ascii="Wingdings" w:hAnsi="Wingdings"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08B821BB"/>
    <w:multiLevelType w:val="hybridMultilevel"/>
    <w:tmpl w:val="BA7E0230"/>
    <w:lvl w:ilvl="0" w:tplc="7BC80EB0">
      <w:start w:val="43"/>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0BDF0ED5"/>
    <w:multiLevelType w:val="hybridMultilevel"/>
    <w:tmpl w:val="64104098"/>
    <w:lvl w:ilvl="0" w:tplc="51B040C0">
      <w:start w:val="1"/>
      <w:numFmt w:val="bullet"/>
      <w:lvlText w:val=""/>
      <w:lvlJc w:val="left"/>
      <w:pPr>
        <w:ind w:left="360" w:hanging="360"/>
      </w:pPr>
      <w:rPr>
        <w:rFonts w:ascii="Wingdings" w:hAnsi="Wingdings"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0C624712"/>
    <w:multiLevelType w:val="hybridMultilevel"/>
    <w:tmpl w:val="3CC01F48"/>
    <w:lvl w:ilvl="0" w:tplc="7BC80EB0">
      <w:start w:val="43"/>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10D15AC7"/>
    <w:multiLevelType w:val="hybridMultilevel"/>
    <w:tmpl w:val="787478B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11094B2B"/>
    <w:multiLevelType w:val="hybridMultilevel"/>
    <w:tmpl w:val="D1982AB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135844A5"/>
    <w:multiLevelType w:val="hybridMultilevel"/>
    <w:tmpl w:val="691A77AC"/>
    <w:lvl w:ilvl="0" w:tplc="A5CAD444">
      <w:start w:val="3"/>
      <w:numFmt w:val="bullet"/>
      <w:lvlText w:val="-"/>
      <w:lvlJc w:val="left"/>
      <w:pPr>
        <w:ind w:left="360" w:hanging="360"/>
      </w:pPr>
      <w:rPr>
        <w:rFonts w:ascii="Times New Roman" w:eastAsia="Times New Roman" w:hAnsi="Times New Roman" w:cs="Times New Roman" w:hint="default"/>
        <w:color w:val="20202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159534D9"/>
    <w:multiLevelType w:val="hybridMultilevel"/>
    <w:tmpl w:val="2F30BA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5F517FB"/>
    <w:multiLevelType w:val="multilevel"/>
    <w:tmpl w:val="7E981D34"/>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566F47"/>
    <w:multiLevelType w:val="hybridMultilevel"/>
    <w:tmpl w:val="A530ABAE"/>
    <w:lvl w:ilvl="0" w:tplc="042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526B20"/>
    <w:multiLevelType w:val="hybridMultilevel"/>
    <w:tmpl w:val="F9CE12D4"/>
    <w:lvl w:ilvl="0" w:tplc="7BC80EB0">
      <w:start w:val="43"/>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1B623ED1"/>
    <w:multiLevelType w:val="hybridMultilevel"/>
    <w:tmpl w:val="4D8446BC"/>
    <w:lvl w:ilvl="0" w:tplc="7BC80EB0">
      <w:start w:val="43"/>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1DEF042F"/>
    <w:multiLevelType w:val="hybridMultilevel"/>
    <w:tmpl w:val="AB2AE62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967ED2"/>
    <w:multiLevelType w:val="hybridMultilevel"/>
    <w:tmpl w:val="38A475D6"/>
    <w:lvl w:ilvl="0" w:tplc="7BC80EB0">
      <w:start w:val="43"/>
      <w:numFmt w:val="bullet"/>
      <w:lvlText w:val="-"/>
      <w:lvlJc w:val="left"/>
      <w:pPr>
        <w:tabs>
          <w:tab w:val="num" w:pos="357"/>
        </w:tabs>
        <w:ind w:left="357" w:hanging="357"/>
      </w:pPr>
      <w:rPr>
        <w:rFonts w:ascii="Times New Roman" w:eastAsiaTheme="minorHAnsi" w:hAnsi="Times New Roman" w:cs="Times New Roman" w:hint="default"/>
      </w:rPr>
    </w:lvl>
    <w:lvl w:ilvl="1" w:tplc="04250001">
      <w:start w:val="1"/>
      <w:numFmt w:val="bullet"/>
      <w:lvlText w:val=""/>
      <w:lvlJc w:val="left"/>
      <w:pPr>
        <w:tabs>
          <w:tab w:val="num" w:pos="1437"/>
        </w:tabs>
        <w:ind w:left="1437" w:hanging="357"/>
      </w:pPr>
      <w:rPr>
        <w:rFonts w:ascii="Symbol" w:hAnsi="Symbol" w:hint="default"/>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3BB6B9B"/>
    <w:multiLevelType w:val="hybridMultilevel"/>
    <w:tmpl w:val="529A2EFE"/>
    <w:lvl w:ilvl="0" w:tplc="23723E0C">
      <w:start w:val="1"/>
      <w:numFmt w:val="decimal"/>
      <w:lvlText w:val="%1)"/>
      <w:lvlJc w:val="left"/>
      <w:pPr>
        <w:ind w:left="360" w:hanging="360"/>
      </w:pPr>
      <w:rPr>
        <w:rFonts w:ascii="Times New Roman" w:eastAsia="Times New Roman" w:hAnsi="Times New Roman" w:cs="Times New Roman"/>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29CF356D"/>
    <w:multiLevelType w:val="hybridMultilevel"/>
    <w:tmpl w:val="A3E4EE20"/>
    <w:lvl w:ilvl="0" w:tplc="7BC80EB0">
      <w:start w:val="43"/>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2AE416BB"/>
    <w:multiLevelType w:val="hybridMultilevel"/>
    <w:tmpl w:val="B3D8D308"/>
    <w:lvl w:ilvl="0" w:tplc="A5CAD444">
      <w:start w:val="3"/>
      <w:numFmt w:val="bullet"/>
      <w:lvlText w:val="-"/>
      <w:lvlJc w:val="left"/>
      <w:pPr>
        <w:ind w:left="360" w:hanging="360"/>
      </w:pPr>
      <w:rPr>
        <w:rFonts w:ascii="Times New Roman" w:eastAsia="Times New Roman" w:hAnsi="Times New Roman" w:cs="Times New Roman" w:hint="default"/>
        <w:color w:val="20202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31BE7A05"/>
    <w:multiLevelType w:val="hybridMultilevel"/>
    <w:tmpl w:val="8BFCB854"/>
    <w:lvl w:ilvl="0" w:tplc="51B040C0">
      <w:start w:val="1"/>
      <w:numFmt w:val="bullet"/>
      <w:lvlText w:val=""/>
      <w:lvlJc w:val="left"/>
      <w:pPr>
        <w:ind w:left="360" w:hanging="360"/>
      </w:pPr>
      <w:rPr>
        <w:rFonts w:ascii="Wingdings" w:hAnsi="Wingdings" w:hint="default"/>
        <w:color w:val="auto"/>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2C30FDA"/>
    <w:multiLevelType w:val="hybridMultilevel"/>
    <w:tmpl w:val="4D10F1DE"/>
    <w:lvl w:ilvl="0" w:tplc="51B040C0">
      <w:start w:val="1"/>
      <w:numFmt w:val="bullet"/>
      <w:lvlText w:val=""/>
      <w:lvlJc w:val="left"/>
      <w:pPr>
        <w:ind w:left="360" w:hanging="360"/>
      </w:pPr>
      <w:rPr>
        <w:rFonts w:ascii="Wingdings" w:hAnsi="Wingdings"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6" w15:restartNumberingAfterBreak="0">
    <w:nsid w:val="362612CB"/>
    <w:multiLevelType w:val="hybridMultilevel"/>
    <w:tmpl w:val="345619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36982D27"/>
    <w:multiLevelType w:val="hybridMultilevel"/>
    <w:tmpl w:val="A09635BE"/>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3A602348"/>
    <w:multiLevelType w:val="hybridMultilevel"/>
    <w:tmpl w:val="2D5686A8"/>
    <w:lvl w:ilvl="0" w:tplc="7BC80EB0">
      <w:start w:val="43"/>
      <w:numFmt w:val="bullet"/>
      <w:lvlText w:val="-"/>
      <w:lvlJc w:val="left"/>
      <w:pPr>
        <w:ind w:left="360" w:hanging="360"/>
      </w:pPr>
      <w:rPr>
        <w:rFonts w:ascii="Times New Roman" w:eastAsiaTheme="minorHAnsi" w:hAnsi="Times New Roman" w:cs="Times New Roman" w:hint="default"/>
        <w:i/>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3B9D3B09"/>
    <w:multiLevelType w:val="hybridMultilevel"/>
    <w:tmpl w:val="1088B764"/>
    <w:lvl w:ilvl="0" w:tplc="7BC80EB0">
      <w:start w:val="4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DA4C22"/>
    <w:multiLevelType w:val="hybridMultilevel"/>
    <w:tmpl w:val="02F0FA2A"/>
    <w:lvl w:ilvl="0" w:tplc="EEE67782">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36F2C62"/>
    <w:multiLevelType w:val="hybridMultilevel"/>
    <w:tmpl w:val="EABCDAD4"/>
    <w:lvl w:ilvl="0" w:tplc="7BC80EB0">
      <w:start w:val="43"/>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2" w15:restartNumberingAfterBreak="0">
    <w:nsid w:val="44C45DFB"/>
    <w:multiLevelType w:val="hybridMultilevel"/>
    <w:tmpl w:val="70CA57EE"/>
    <w:lvl w:ilvl="0" w:tplc="66E83732">
      <w:start w:val="1"/>
      <w:numFmt w:val="upperRoman"/>
      <w:pStyle w:val="StyleHeading1Garamond14ptBoldBlackSmallcapsAfter"/>
      <w:lvlText w:val="%1."/>
      <w:lvlJc w:val="left"/>
      <w:pPr>
        <w:tabs>
          <w:tab w:val="num" w:pos="363"/>
        </w:tabs>
        <w:ind w:left="363" w:hanging="363"/>
      </w:pPr>
      <w:rPr>
        <w:rFonts w:cs="Times New Roman" w:hint="default"/>
      </w:rPr>
    </w:lvl>
    <w:lvl w:ilvl="1" w:tplc="04250003">
      <w:start w:val="1"/>
      <w:numFmt w:val="decimal"/>
      <w:lvlText w:val="%2."/>
      <w:lvlJc w:val="left"/>
      <w:pPr>
        <w:tabs>
          <w:tab w:val="num" w:pos="357"/>
        </w:tabs>
        <w:ind w:left="357" w:hanging="357"/>
      </w:pPr>
      <w:rPr>
        <w:rFonts w:cs="Times New Roman" w:hint="default"/>
        <w:b/>
        <w:i w:val="0"/>
        <w:sz w:val="24"/>
      </w:rPr>
    </w:lvl>
    <w:lvl w:ilvl="2" w:tplc="C4520D2A">
      <w:start w:val="1"/>
      <w:numFmt w:val="lowerLetter"/>
      <w:lvlText w:val="%3)"/>
      <w:lvlJc w:val="left"/>
      <w:pPr>
        <w:tabs>
          <w:tab w:val="num" w:pos="1983"/>
        </w:tabs>
        <w:ind w:left="1983" w:hanging="360"/>
      </w:pPr>
      <w:rPr>
        <w:rFonts w:cs="Times New Roman" w:hint="default"/>
        <w:b w:val="0"/>
      </w:rPr>
    </w:lvl>
    <w:lvl w:ilvl="3" w:tplc="04250001" w:tentative="1">
      <w:start w:val="1"/>
      <w:numFmt w:val="decimal"/>
      <w:lvlText w:val="%4."/>
      <w:lvlJc w:val="left"/>
      <w:pPr>
        <w:tabs>
          <w:tab w:val="num" w:pos="2523"/>
        </w:tabs>
        <w:ind w:left="2523" w:hanging="360"/>
      </w:pPr>
      <w:rPr>
        <w:rFonts w:cs="Times New Roman"/>
      </w:rPr>
    </w:lvl>
    <w:lvl w:ilvl="4" w:tplc="04250003" w:tentative="1">
      <w:start w:val="1"/>
      <w:numFmt w:val="lowerLetter"/>
      <w:lvlText w:val="%5."/>
      <w:lvlJc w:val="left"/>
      <w:pPr>
        <w:tabs>
          <w:tab w:val="num" w:pos="3243"/>
        </w:tabs>
        <w:ind w:left="3243" w:hanging="360"/>
      </w:pPr>
      <w:rPr>
        <w:rFonts w:cs="Times New Roman"/>
      </w:rPr>
    </w:lvl>
    <w:lvl w:ilvl="5" w:tplc="04250005" w:tentative="1">
      <w:start w:val="1"/>
      <w:numFmt w:val="lowerRoman"/>
      <w:lvlText w:val="%6."/>
      <w:lvlJc w:val="right"/>
      <w:pPr>
        <w:tabs>
          <w:tab w:val="num" w:pos="3963"/>
        </w:tabs>
        <w:ind w:left="3963" w:hanging="180"/>
      </w:pPr>
      <w:rPr>
        <w:rFonts w:cs="Times New Roman"/>
      </w:rPr>
    </w:lvl>
    <w:lvl w:ilvl="6" w:tplc="04250001" w:tentative="1">
      <w:start w:val="1"/>
      <w:numFmt w:val="decimal"/>
      <w:lvlText w:val="%7."/>
      <w:lvlJc w:val="left"/>
      <w:pPr>
        <w:tabs>
          <w:tab w:val="num" w:pos="4683"/>
        </w:tabs>
        <w:ind w:left="4683" w:hanging="360"/>
      </w:pPr>
      <w:rPr>
        <w:rFonts w:cs="Times New Roman"/>
      </w:rPr>
    </w:lvl>
    <w:lvl w:ilvl="7" w:tplc="04250003" w:tentative="1">
      <w:start w:val="1"/>
      <w:numFmt w:val="lowerLetter"/>
      <w:lvlText w:val="%8."/>
      <w:lvlJc w:val="left"/>
      <w:pPr>
        <w:tabs>
          <w:tab w:val="num" w:pos="5403"/>
        </w:tabs>
        <w:ind w:left="5403" w:hanging="360"/>
      </w:pPr>
      <w:rPr>
        <w:rFonts w:cs="Times New Roman"/>
      </w:rPr>
    </w:lvl>
    <w:lvl w:ilvl="8" w:tplc="04250005" w:tentative="1">
      <w:start w:val="1"/>
      <w:numFmt w:val="lowerRoman"/>
      <w:lvlText w:val="%9."/>
      <w:lvlJc w:val="right"/>
      <w:pPr>
        <w:tabs>
          <w:tab w:val="num" w:pos="6123"/>
        </w:tabs>
        <w:ind w:left="6123" w:hanging="180"/>
      </w:pPr>
      <w:rPr>
        <w:rFonts w:cs="Times New Roman"/>
      </w:rPr>
    </w:lvl>
  </w:abstractNum>
  <w:abstractNum w:abstractNumId="33" w15:restartNumberingAfterBreak="0">
    <w:nsid w:val="44EF4B66"/>
    <w:multiLevelType w:val="multilevel"/>
    <w:tmpl w:val="BE983CE4"/>
    <w:lvl w:ilvl="0">
      <w:start w:val="1"/>
      <w:numFmt w:val="decimal"/>
      <w:lvlRestart w:val="0"/>
      <w:pStyle w:val="ListNumber1"/>
      <w:lvlText w:val="(%1)"/>
      <w:lvlJc w:val="left"/>
      <w:pPr>
        <w:tabs>
          <w:tab w:val="num" w:pos="1560"/>
        </w:tabs>
        <w:ind w:left="1560" w:hanging="709"/>
      </w:pPr>
      <w:rPr>
        <w:rFonts w:cs="System"/>
      </w:rPr>
    </w:lvl>
    <w:lvl w:ilvl="1">
      <w:start w:val="1"/>
      <w:numFmt w:val="lowerLetter"/>
      <w:pStyle w:val="ListNumber1Level2"/>
      <w:lvlText w:val="(%2)"/>
      <w:lvlJc w:val="left"/>
      <w:pPr>
        <w:tabs>
          <w:tab w:val="num" w:pos="2268"/>
        </w:tabs>
        <w:ind w:left="2268" w:hanging="708"/>
      </w:pPr>
      <w:rPr>
        <w:rFonts w:cs="System"/>
      </w:rPr>
    </w:lvl>
    <w:lvl w:ilvl="2">
      <w:start w:val="1"/>
      <w:numFmt w:val="bullet"/>
      <w:pStyle w:val="ListNumber1Level3"/>
      <w:lvlText w:val="–"/>
      <w:lvlJc w:val="left"/>
      <w:pPr>
        <w:tabs>
          <w:tab w:val="num" w:pos="2977"/>
        </w:tabs>
        <w:ind w:left="2977" w:hanging="709"/>
      </w:pPr>
      <w:rPr>
        <w:rFonts w:ascii="System" w:hAnsi="System"/>
      </w:rPr>
    </w:lvl>
    <w:lvl w:ilvl="3">
      <w:start w:val="1"/>
      <w:numFmt w:val="bullet"/>
      <w:pStyle w:val="ListNumber1"/>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System"/>
      </w:rPr>
    </w:lvl>
    <w:lvl w:ilvl="5">
      <w:start w:val="1"/>
      <w:numFmt w:val="lowerRoman"/>
      <w:lvlText w:val="(%6)"/>
      <w:lvlJc w:val="left"/>
      <w:pPr>
        <w:tabs>
          <w:tab w:val="num" w:pos="2160"/>
        </w:tabs>
        <w:ind w:left="2160" w:hanging="360"/>
      </w:pPr>
      <w:rPr>
        <w:rFonts w:cs="System"/>
      </w:rPr>
    </w:lvl>
    <w:lvl w:ilvl="6">
      <w:start w:val="1"/>
      <w:numFmt w:val="decimal"/>
      <w:lvlText w:val="%7."/>
      <w:lvlJc w:val="left"/>
      <w:pPr>
        <w:tabs>
          <w:tab w:val="num" w:pos="2520"/>
        </w:tabs>
        <w:ind w:left="2520" w:hanging="360"/>
      </w:pPr>
      <w:rPr>
        <w:rFonts w:cs="System"/>
      </w:rPr>
    </w:lvl>
    <w:lvl w:ilvl="7">
      <w:start w:val="1"/>
      <w:numFmt w:val="lowerLetter"/>
      <w:lvlText w:val="%8."/>
      <w:lvlJc w:val="left"/>
      <w:pPr>
        <w:tabs>
          <w:tab w:val="num" w:pos="2880"/>
        </w:tabs>
        <w:ind w:left="2880" w:hanging="360"/>
      </w:pPr>
      <w:rPr>
        <w:rFonts w:cs="System"/>
      </w:rPr>
    </w:lvl>
    <w:lvl w:ilvl="8">
      <w:start w:val="1"/>
      <w:numFmt w:val="lowerRoman"/>
      <w:lvlText w:val="%9."/>
      <w:lvlJc w:val="left"/>
      <w:pPr>
        <w:tabs>
          <w:tab w:val="num" w:pos="3240"/>
        </w:tabs>
        <w:ind w:left="3240" w:hanging="360"/>
      </w:pPr>
      <w:rPr>
        <w:rFonts w:cs="System"/>
      </w:rPr>
    </w:lvl>
  </w:abstractNum>
  <w:abstractNum w:abstractNumId="34" w15:restartNumberingAfterBreak="0">
    <w:nsid w:val="45587D31"/>
    <w:multiLevelType w:val="hybridMultilevel"/>
    <w:tmpl w:val="44D622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47E020E9"/>
    <w:multiLevelType w:val="hybridMultilevel"/>
    <w:tmpl w:val="3AF061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4C6A55DB"/>
    <w:multiLevelType w:val="hybridMultilevel"/>
    <w:tmpl w:val="0022585A"/>
    <w:lvl w:ilvl="0" w:tplc="A5CAD444">
      <w:start w:val="3"/>
      <w:numFmt w:val="bullet"/>
      <w:lvlText w:val="-"/>
      <w:lvlJc w:val="left"/>
      <w:pPr>
        <w:ind w:left="360" w:hanging="360"/>
      </w:pPr>
      <w:rPr>
        <w:rFonts w:ascii="Times New Roman" w:eastAsia="Times New Roman" w:hAnsi="Times New Roman" w:cs="Times New Roman" w:hint="default"/>
        <w:color w:val="20202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7" w15:restartNumberingAfterBreak="0">
    <w:nsid w:val="4C8978B6"/>
    <w:multiLevelType w:val="hybridMultilevel"/>
    <w:tmpl w:val="41D26442"/>
    <w:lvl w:ilvl="0" w:tplc="7BC80EB0">
      <w:start w:val="43"/>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4EE20974"/>
    <w:multiLevelType w:val="hybridMultilevel"/>
    <w:tmpl w:val="A4A84648"/>
    <w:lvl w:ilvl="0" w:tplc="6C06A236">
      <w:start w:val="1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0906261"/>
    <w:multiLevelType w:val="hybridMultilevel"/>
    <w:tmpl w:val="D7E2847E"/>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B108AE"/>
    <w:multiLevelType w:val="hybridMultilevel"/>
    <w:tmpl w:val="3FF40334"/>
    <w:lvl w:ilvl="0" w:tplc="6C06A236">
      <w:start w:val="1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57547DF5"/>
    <w:multiLevelType w:val="multilevel"/>
    <w:tmpl w:val="620AAC64"/>
    <w:lvl w:ilvl="0">
      <w:start w:val="1"/>
      <w:numFmt w:val="decimal"/>
      <w:lvlText w:val="%1."/>
      <w:lvlJc w:val="left"/>
      <w:pPr>
        <w:ind w:left="420" w:hanging="420"/>
      </w:pPr>
      <w:rPr>
        <w:rFonts w:ascii="Times New Roman" w:eastAsia="Times New Roman" w:hAnsi="Times New Roman" w:cs="Times New Roman" w:hint="default"/>
      </w:rPr>
    </w:lvl>
    <w:lvl w:ilvl="1">
      <w:start w:val="1"/>
      <w:numFmt w:val="decimal"/>
      <w:lvlText w:val="%1.%2."/>
      <w:lvlJc w:val="left"/>
      <w:pPr>
        <w:ind w:left="765" w:hanging="720"/>
      </w:pPr>
      <w:rPr>
        <w:rFonts w:cs="Times New Roman" w:hint="default"/>
      </w:rPr>
    </w:lvl>
    <w:lvl w:ilvl="2">
      <w:start w:val="1"/>
      <w:numFmt w:val="decimal"/>
      <w:lvlText w:val="%1.%2.%3."/>
      <w:lvlJc w:val="left"/>
      <w:pPr>
        <w:ind w:left="810" w:hanging="720"/>
      </w:pPr>
      <w:rPr>
        <w:rFonts w:cs="Times New Roman" w:hint="default"/>
        <w:b/>
      </w:rPr>
    </w:lvl>
    <w:lvl w:ilvl="3">
      <w:start w:val="1"/>
      <w:numFmt w:val="decimal"/>
      <w:lvlText w:val="%1.%2.%3.%4."/>
      <w:lvlJc w:val="left"/>
      <w:pPr>
        <w:ind w:left="1215" w:hanging="1080"/>
      </w:pPr>
      <w:rPr>
        <w:rFonts w:cs="Times New Roman" w:hint="default"/>
      </w:rPr>
    </w:lvl>
    <w:lvl w:ilvl="4">
      <w:start w:val="1"/>
      <w:numFmt w:val="decimal"/>
      <w:lvlText w:val="%1.%2.%3.%4.%5."/>
      <w:lvlJc w:val="left"/>
      <w:pPr>
        <w:ind w:left="1620" w:hanging="1440"/>
      </w:pPr>
      <w:rPr>
        <w:rFonts w:cs="Times New Roman" w:hint="default"/>
      </w:rPr>
    </w:lvl>
    <w:lvl w:ilvl="5">
      <w:start w:val="1"/>
      <w:numFmt w:val="decimal"/>
      <w:lvlText w:val="%1.%2.%3.%4.%5.%6."/>
      <w:lvlJc w:val="left"/>
      <w:pPr>
        <w:ind w:left="1665" w:hanging="1440"/>
      </w:pPr>
      <w:rPr>
        <w:rFonts w:cs="Times New Roman" w:hint="default"/>
      </w:rPr>
    </w:lvl>
    <w:lvl w:ilvl="6">
      <w:start w:val="1"/>
      <w:numFmt w:val="decimal"/>
      <w:lvlText w:val="%1.%2.%3.%4.%5.%6.%7."/>
      <w:lvlJc w:val="left"/>
      <w:pPr>
        <w:ind w:left="2070" w:hanging="1800"/>
      </w:pPr>
      <w:rPr>
        <w:rFonts w:cs="Times New Roman" w:hint="default"/>
      </w:rPr>
    </w:lvl>
    <w:lvl w:ilvl="7">
      <w:start w:val="1"/>
      <w:numFmt w:val="decimal"/>
      <w:lvlText w:val="%1.%2.%3.%4.%5.%6.%7.%8."/>
      <w:lvlJc w:val="left"/>
      <w:pPr>
        <w:ind w:left="2115" w:hanging="1800"/>
      </w:pPr>
      <w:rPr>
        <w:rFonts w:cs="Times New Roman" w:hint="default"/>
      </w:rPr>
    </w:lvl>
    <w:lvl w:ilvl="8">
      <w:start w:val="1"/>
      <w:numFmt w:val="decimal"/>
      <w:lvlText w:val="%1.%2.%3.%4.%5.%6.%7.%8.%9."/>
      <w:lvlJc w:val="left"/>
      <w:pPr>
        <w:ind w:left="2520" w:hanging="2160"/>
      </w:pPr>
      <w:rPr>
        <w:rFonts w:cs="Times New Roman" w:hint="default"/>
      </w:rPr>
    </w:lvl>
  </w:abstractNum>
  <w:abstractNum w:abstractNumId="42" w15:restartNumberingAfterBreak="0">
    <w:nsid w:val="57C61DB3"/>
    <w:multiLevelType w:val="hybridMultilevel"/>
    <w:tmpl w:val="1C7E93D8"/>
    <w:lvl w:ilvl="0" w:tplc="7BC80EB0">
      <w:start w:val="43"/>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5FAC0B7B"/>
    <w:multiLevelType w:val="hybridMultilevel"/>
    <w:tmpl w:val="603EC3C6"/>
    <w:lvl w:ilvl="0" w:tplc="7BC80EB0">
      <w:start w:val="43"/>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4" w15:restartNumberingAfterBreak="0">
    <w:nsid w:val="604872BB"/>
    <w:multiLevelType w:val="hybridMultilevel"/>
    <w:tmpl w:val="95789A3A"/>
    <w:lvl w:ilvl="0" w:tplc="7BC80EB0">
      <w:start w:val="43"/>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5" w15:restartNumberingAfterBreak="0">
    <w:nsid w:val="64A12FA4"/>
    <w:multiLevelType w:val="multilevel"/>
    <w:tmpl w:val="428ECF3E"/>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9995580"/>
    <w:multiLevelType w:val="singleLevel"/>
    <w:tmpl w:val="75CC7CBA"/>
    <w:name w:val="Bullet 0"/>
    <w:lvl w:ilvl="0">
      <w:start w:val="1"/>
      <w:numFmt w:val="decimal"/>
      <w:lvlRestart w:val="0"/>
      <w:pStyle w:val="Considrant"/>
      <w:lvlText w:val="(%1)"/>
      <w:lvlJc w:val="left"/>
      <w:pPr>
        <w:tabs>
          <w:tab w:val="num" w:pos="709"/>
        </w:tabs>
        <w:ind w:left="709" w:hanging="709"/>
      </w:pPr>
      <w:rPr>
        <w:rFonts w:cs="Times New Roman"/>
      </w:rPr>
    </w:lvl>
  </w:abstractNum>
  <w:abstractNum w:abstractNumId="47" w15:restartNumberingAfterBreak="0">
    <w:nsid w:val="6A34282A"/>
    <w:multiLevelType w:val="hybridMultilevel"/>
    <w:tmpl w:val="118EBAA4"/>
    <w:lvl w:ilvl="0" w:tplc="7BC80EB0">
      <w:start w:val="43"/>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8" w15:restartNumberingAfterBreak="0">
    <w:nsid w:val="6B0456EF"/>
    <w:multiLevelType w:val="multilevel"/>
    <w:tmpl w:val="26C25088"/>
    <w:lvl w:ilvl="0">
      <w:start w:val="9"/>
      <w:numFmt w:val="decimal"/>
      <w:lvlText w:val="%1."/>
      <w:lvlJc w:val="left"/>
      <w:pPr>
        <w:ind w:left="420" w:hanging="420"/>
      </w:pPr>
      <w:rPr>
        <w:rFonts w:ascii="Times New Roman" w:eastAsia="Times New Roman" w:hAnsi="Times New Roman" w:cs="Times New Roman" w:hint="default"/>
      </w:rPr>
    </w:lvl>
    <w:lvl w:ilvl="1">
      <w:start w:val="1"/>
      <w:numFmt w:val="decimal"/>
      <w:lvlText w:val="%1.%2."/>
      <w:lvlJc w:val="left"/>
      <w:pPr>
        <w:ind w:left="765" w:hanging="720"/>
      </w:pPr>
      <w:rPr>
        <w:rFonts w:cs="Times New Roman" w:hint="default"/>
      </w:rPr>
    </w:lvl>
    <w:lvl w:ilvl="2">
      <w:start w:val="1"/>
      <w:numFmt w:val="decimal"/>
      <w:lvlText w:val="%1.%2.%3."/>
      <w:lvlJc w:val="left"/>
      <w:pPr>
        <w:ind w:left="810" w:hanging="720"/>
      </w:pPr>
      <w:rPr>
        <w:rFonts w:cs="Times New Roman" w:hint="default"/>
        <w:b/>
      </w:rPr>
    </w:lvl>
    <w:lvl w:ilvl="3">
      <w:start w:val="1"/>
      <w:numFmt w:val="decimal"/>
      <w:lvlText w:val="%1.%2.%3.%4."/>
      <w:lvlJc w:val="left"/>
      <w:pPr>
        <w:ind w:left="1215" w:hanging="1080"/>
      </w:pPr>
      <w:rPr>
        <w:rFonts w:cs="Times New Roman" w:hint="default"/>
      </w:rPr>
    </w:lvl>
    <w:lvl w:ilvl="4">
      <w:start w:val="1"/>
      <w:numFmt w:val="decimal"/>
      <w:lvlText w:val="%1.%2.%3.%4.%5."/>
      <w:lvlJc w:val="left"/>
      <w:pPr>
        <w:ind w:left="1620" w:hanging="1440"/>
      </w:pPr>
      <w:rPr>
        <w:rFonts w:cs="Times New Roman" w:hint="default"/>
      </w:rPr>
    </w:lvl>
    <w:lvl w:ilvl="5">
      <w:start w:val="1"/>
      <w:numFmt w:val="decimal"/>
      <w:lvlText w:val="%1.%2.%3.%4.%5.%6."/>
      <w:lvlJc w:val="left"/>
      <w:pPr>
        <w:ind w:left="1665" w:hanging="1440"/>
      </w:pPr>
      <w:rPr>
        <w:rFonts w:cs="Times New Roman" w:hint="default"/>
      </w:rPr>
    </w:lvl>
    <w:lvl w:ilvl="6">
      <w:start w:val="1"/>
      <w:numFmt w:val="decimal"/>
      <w:lvlText w:val="%1.%2.%3.%4.%5.%6.%7."/>
      <w:lvlJc w:val="left"/>
      <w:pPr>
        <w:ind w:left="2070" w:hanging="1800"/>
      </w:pPr>
      <w:rPr>
        <w:rFonts w:cs="Times New Roman" w:hint="default"/>
      </w:rPr>
    </w:lvl>
    <w:lvl w:ilvl="7">
      <w:start w:val="1"/>
      <w:numFmt w:val="decimal"/>
      <w:lvlText w:val="%1.%2.%3.%4.%5.%6.%7.%8."/>
      <w:lvlJc w:val="left"/>
      <w:pPr>
        <w:ind w:left="2115" w:hanging="1800"/>
      </w:pPr>
      <w:rPr>
        <w:rFonts w:cs="Times New Roman" w:hint="default"/>
      </w:rPr>
    </w:lvl>
    <w:lvl w:ilvl="8">
      <w:start w:val="1"/>
      <w:numFmt w:val="decimal"/>
      <w:lvlText w:val="%1.%2.%3.%4.%5.%6.%7.%8.%9."/>
      <w:lvlJc w:val="left"/>
      <w:pPr>
        <w:ind w:left="2520" w:hanging="2160"/>
      </w:pPr>
      <w:rPr>
        <w:rFonts w:cs="Times New Roman" w:hint="default"/>
      </w:rPr>
    </w:lvl>
  </w:abstractNum>
  <w:abstractNum w:abstractNumId="49" w15:restartNumberingAfterBreak="0">
    <w:nsid w:val="6B5C01A4"/>
    <w:multiLevelType w:val="hybridMultilevel"/>
    <w:tmpl w:val="803AB07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0" w15:restartNumberingAfterBreak="0">
    <w:nsid w:val="6C216ABD"/>
    <w:multiLevelType w:val="hybridMultilevel"/>
    <w:tmpl w:val="4FF00A28"/>
    <w:lvl w:ilvl="0" w:tplc="04250005">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1" w15:restartNumberingAfterBreak="0">
    <w:nsid w:val="6E6732CE"/>
    <w:multiLevelType w:val="hybridMultilevel"/>
    <w:tmpl w:val="DFB80FE0"/>
    <w:lvl w:ilvl="0" w:tplc="04250005">
      <w:start w:val="1"/>
      <w:numFmt w:val="bullet"/>
      <w:lvlText w:val=""/>
      <w:lvlJc w:val="left"/>
      <w:pPr>
        <w:ind w:left="360" w:hanging="360"/>
      </w:pPr>
      <w:rPr>
        <w:rFonts w:ascii="Wingdings" w:hAnsi="Wingdings"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2" w15:restartNumberingAfterBreak="0">
    <w:nsid w:val="6F49069B"/>
    <w:multiLevelType w:val="hybridMultilevel"/>
    <w:tmpl w:val="CF2EA954"/>
    <w:lvl w:ilvl="0" w:tplc="7BC80EB0">
      <w:start w:val="43"/>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3" w15:restartNumberingAfterBreak="0">
    <w:nsid w:val="71B5064B"/>
    <w:multiLevelType w:val="multilevel"/>
    <w:tmpl w:val="8176255C"/>
    <w:lvl w:ilvl="0">
      <w:start w:val="1"/>
      <w:numFmt w:val="decimal"/>
      <w:lvlText w:val="%1."/>
      <w:lvlJc w:val="left"/>
      <w:pPr>
        <w:tabs>
          <w:tab w:val="num" w:pos="450"/>
        </w:tabs>
        <w:ind w:left="450" w:hanging="450"/>
      </w:pPr>
      <w:rPr>
        <w:rFonts w:cs="Times New Roman" w:hint="default"/>
        <w:b/>
        <w:sz w:val="26"/>
        <w:szCs w:val="26"/>
      </w:rPr>
    </w:lvl>
    <w:lvl w:ilvl="1">
      <w:start w:val="1"/>
      <w:numFmt w:val="none"/>
      <w:pStyle w:val="Style2"/>
      <w:lvlText w:val="4.1."/>
      <w:lvlJc w:val="left"/>
      <w:pPr>
        <w:tabs>
          <w:tab w:val="num" w:pos="720"/>
        </w:tabs>
        <w:ind w:left="720" w:hanging="720"/>
      </w:pPr>
      <w:rPr>
        <w:rFonts w:cs="Times New Roman" w:hint="default"/>
      </w:rPr>
    </w:lvl>
    <w:lvl w:ilvl="2">
      <w:start w:val="1"/>
      <w:numFmt w:val="decimal"/>
      <w:lvlText w:val="3%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4" w15:restartNumberingAfterBreak="0">
    <w:nsid w:val="794D40BA"/>
    <w:multiLevelType w:val="multilevel"/>
    <w:tmpl w:val="D5E44116"/>
    <w:name w:val="Tiret 1222"/>
    <w:lvl w:ilvl="0">
      <w:start w:val="101"/>
      <w:numFmt w:val="decimal"/>
      <w:lvlRestart w:val="0"/>
      <w:pStyle w:val="NumPar1"/>
      <w:lvlText w:val="%1."/>
      <w:lvlJc w:val="left"/>
      <w:pPr>
        <w:tabs>
          <w:tab w:val="num" w:pos="850"/>
        </w:tabs>
        <w:ind w:left="850" w:hanging="850"/>
      </w:pPr>
      <w:rPr>
        <w:rFonts w:cs="Times New Roman" w:hint="default"/>
      </w:rPr>
    </w:lvl>
    <w:lvl w:ilvl="1">
      <w:start w:val="1"/>
      <w:numFmt w:val="decimal"/>
      <w:pStyle w:val="NumPar2"/>
      <w:lvlText w:val="%1.%2."/>
      <w:lvlJc w:val="left"/>
      <w:pPr>
        <w:tabs>
          <w:tab w:val="num" w:pos="850"/>
        </w:tabs>
        <w:ind w:left="850" w:hanging="850"/>
      </w:pPr>
      <w:rPr>
        <w:rFonts w:cs="Times New Roman" w:hint="default"/>
      </w:rPr>
    </w:lvl>
    <w:lvl w:ilvl="2">
      <w:start w:val="1"/>
      <w:numFmt w:val="decimal"/>
      <w:pStyle w:val="NumPar3"/>
      <w:lvlText w:val="%1.%2.%3."/>
      <w:lvlJc w:val="left"/>
      <w:pPr>
        <w:tabs>
          <w:tab w:val="num" w:pos="850"/>
        </w:tabs>
        <w:ind w:left="850" w:hanging="850"/>
      </w:pPr>
      <w:rPr>
        <w:rFonts w:cs="Times New Roman" w:hint="default"/>
      </w:rPr>
    </w:lvl>
    <w:lvl w:ilvl="3">
      <w:start w:val="1"/>
      <w:numFmt w:val="decimal"/>
      <w:pStyle w:val="NumPar1"/>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79767BA1"/>
    <w:multiLevelType w:val="hybridMultilevel"/>
    <w:tmpl w:val="D11494DC"/>
    <w:lvl w:ilvl="0" w:tplc="5F78FDA2">
      <w:start w:val="1"/>
      <w:numFmt w:val="upperRoman"/>
      <w:pStyle w:val="Pealkiri6"/>
      <w:lvlText w:val="%1."/>
      <w:lvlJc w:val="left"/>
      <w:pPr>
        <w:tabs>
          <w:tab w:val="num" w:pos="720"/>
        </w:tabs>
        <w:ind w:left="720" w:hanging="720"/>
      </w:pPr>
      <w:rPr>
        <w:rFonts w:cs="Times New Roman" w:hint="default"/>
      </w:rPr>
    </w:lvl>
    <w:lvl w:ilvl="1" w:tplc="04250001">
      <w:start w:val="1"/>
      <w:numFmt w:val="bullet"/>
      <w:lvlText w:val=""/>
      <w:lvlJc w:val="left"/>
      <w:pPr>
        <w:tabs>
          <w:tab w:val="num" w:pos="1080"/>
        </w:tabs>
        <w:ind w:left="1080" w:hanging="360"/>
      </w:pPr>
      <w:rPr>
        <w:rFonts w:ascii="Symbol" w:hAnsi="Symbol" w:hint="default"/>
      </w:rPr>
    </w:lvl>
    <w:lvl w:ilvl="2" w:tplc="D5F48B50">
      <w:start w:val="1"/>
      <w:numFmt w:val="bullet"/>
      <w:pStyle w:val="Point1number"/>
      <w:lvlText w:val=""/>
      <w:lvlJc w:val="left"/>
      <w:pPr>
        <w:tabs>
          <w:tab w:val="num" w:pos="284"/>
        </w:tabs>
        <w:ind w:left="264" w:hanging="340"/>
      </w:pPr>
      <w:rPr>
        <w:rFonts w:ascii="Symbol" w:hAnsi="Symbol" w:hint="default"/>
        <w:color w:val="auto"/>
      </w:rPr>
    </w:lvl>
    <w:lvl w:ilvl="3" w:tplc="681A3398">
      <w:start w:val="1"/>
      <w:numFmt w:val="bullet"/>
      <w:lvlText w:val=""/>
      <w:lvlJc w:val="left"/>
      <w:pPr>
        <w:tabs>
          <w:tab w:val="num" w:pos="284"/>
        </w:tabs>
        <w:ind w:left="264" w:hanging="340"/>
      </w:pPr>
      <w:rPr>
        <w:rFonts w:ascii="Symbol" w:hAnsi="Symbol" w:hint="default"/>
        <w:color w:val="auto"/>
      </w:rPr>
    </w:lvl>
    <w:lvl w:ilvl="4" w:tplc="7AB4BB72">
      <w:start w:val="2"/>
      <w:numFmt w:val="bullet"/>
      <w:lvlText w:val="-"/>
      <w:lvlJc w:val="left"/>
      <w:pPr>
        <w:tabs>
          <w:tab w:val="num" w:pos="3465"/>
        </w:tabs>
        <w:ind w:left="3465" w:hanging="585"/>
      </w:pPr>
      <w:rPr>
        <w:rFonts w:ascii="Times New Roman" w:eastAsia="Times New Roman" w:hAnsi="Times New Roman" w:hint="default"/>
      </w:rPr>
    </w:lvl>
    <w:lvl w:ilvl="5" w:tplc="B5680A1E">
      <w:start w:val="1"/>
      <w:numFmt w:val="decimal"/>
      <w:lvlText w:val="%6."/>
      <w:lvlJc w:val="left"/>
      <w:pPr>
        <w:tabs>
          <w:tab w:val="num" w:pos="4140"/>
        </w:tabs>
        <w:ind w:left="4140" w:hanging="360"/>
      </w:pPr>
      <w:rPr>
        <w:rFonts w:cs="Times New Roman" w:hint="default"/>
      </w:rPr>
    </w:lvl>
    <w:lvl w:ilvl="6" w:tplc="5FC6A2E8">
      <w:start w:val="14"/>
      <w:numFmt w:val="decimal"/>
      <w:lvlText w:val="%7)"/>
      <w:lvlJc w:val="left"/>
      <w:pPr>
        <w:tabs>
          <w:tab w:val="num" w:pos="4680"/>
        </w:tabs>
        <w:ind w:left="4680" w:hanging="360"/>
      </w:pPr>
      <w:rPr>
        <w:rFonts w:cs="Times New Roman" w:hint="default"/>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56" w15:restartNumberingAfterBreak="0">
    <w:nsid w:val="7AAF5CAD"/>
    <w:multiLevelType w:val="hybridMultilevel"/>
    <w:tmpl w:val="3EC21F4C"/>
    <w:lvl w:ilvl="0" w:tplc="949C8E14">
      <w:start w:val="1"/>
      <w:numFmt w:val="upperLetter"/>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7" w15:restartNumberingAfterBreak="0">
    <w:nsid w:val="7C3A16D1"/>
    <w:multiLevelType w:val="multilevel"/>
    <w:tmpl w:val="374A901A"/>
    <w:lvl w:ilvl="0">
      <w:start w:val="6"/>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CCB4F53"/>
    <w:multiLevelType w:val="hybridMultilevel"/>
    <w:tmpl w:val="F88C9772"/>
    <w:lvl w:ilvl="0" w:tplc="6C06A236">
      <w:start w:val="1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44844307">
    <w:abstractNumId w:val="0"/>
  </w:num>
  <w:num w:numId="2" w16cid:durableId="1954357976">
    <w:abstractNumId w:val="55"/>
  </w:num>
  <w:num w:numId="3" w16cid:durableId="956524366">
    <w:abstractNumId w:val="6"/>
  </w:num>
  <w:num w:numId="4" w16cid:durableId="356584626">
    <w:abstractNumId w:val="32"/>
  </w:num>
  <w:num w:numId="5" w16cid:durableId="501628505">
    <w:abstractNumId w:val="53"/>
  </w:num>
  <w:num w:numId="6" w16cid:durableId="934829799">
    <w:abstractNumId w:val="33"/>
  </w:num>
  <w:num w:numId="7" w16cid:durableId="1230651703">
    <w:abstractNumId w:val="46"/>
  </w:num>
  <w:num w:numId="8" w16cid:durableId="1608806646">
    <w:abstractNumId w:val="54"/>
  </w:num>
  <w:num w:numId="9" w16cid:durableId="576478537">
    <w:abstractNumId w:val="41"/>
  </w:num>
  <w:num w:numId="10" w16cid:durableId="450900925">
    <w:abstractNumId w:val="22"/>
  </w:num>
  <w:num w:numId="11" w16cid:durableId="1194805173">
    <w:abstractNumId w:val="20"/>
  </w:num>
  <w:num w:numId="12" w16cid:durableId="1684087790">
    <w:abstractNumId w:val="29"/>
  </w:num>
  <w:num w:numId="13" w16cid:durableId="1863133282">
    <w:abstractNumId w:val="42"/>
  </w:num>
  <w:num w:numId="14" w16cid:durableId="1751536762">
    <w:abstractNumId w:val="13"/>
  </w:num>
  <w:num w:numId="15" w16cid:durableId="858736711">
    <w:abstractNumId w:val="52"/>
  </w:num>
  <w:num w:numId="16" w16cid:durableId="1384716442">
    <w:abstractNumId w:val="44"/>
  </w:num>
  <w:num w:numId="17" w16cid:durableId="1607156209">
    <w:abstractNumId w:val="11"/>
  </w:num>
  <w:num w:numId="18" w16cid:durableId="361058389">
    <w:abstractNumId w:val="30"/>
  </w:num>
  <w:num w:numId="19" w16cid:durableId="709886448">
    <w:abstractNumId w:val="57"/>
  </w:num>
  <w:num w:numId="20" w16cid:durableId="1950039604">
    <w:abstractNumId w:val="48"/>
  </w:num>
  <w:num w:numId="21" w16cid:durableId="1482116757">
    <w:abstractNumId w:val="51"/>
  </w:num>
  <w:num w:numId="22" w16cid:durableId="1393118280">
    <w:abstractNumId w:val="40"/>
  </w:num>
  <w:num w:numId="23" w16cid:durableId="538476063">
    <w:abstractNumId w:val="50"/>
  </w:num>
  <w:num w:numId="24" w16cid:durableId="806164305">
    <w:abstractNumId w:val="5"/>
  </w:num>
  <w:num w:numId="25" w16cid:durableId="944852286">
    <w:abstractNumId w:val="24"/>
  </w:num>
  <w:num w:numId="26" w16cid:durableId="715205141">
    <w:abstractNumId w:val="38"/>
  </w:num>
  <w:num w:numId="27" w16cid:durableId="1241521917">
    <w:abstractNumId w:val="7"/>
  </w:num>
  <w:num w:numId="28" w16cid:durableId="165219614">
    <w:abstractNumId w:val="58"/>
  </w:num>
  <w:num w:numId="29" w16cid:durableId="596405084">
    <w:abstractNumId w:val="25"/>
  </w:num>
  <w:num w:numId="30" w16cid:durableId="1551921723">
    <w:abstractNumId w:val="9"/>
  </w:num>
  <w:num w:numId="31" w16cid:durableId="1841194481">
    <w:abstractNumId w:val="36"/>
  </w:num>
  <w:num w:numId="32" w16cid:durableId="1859195067">
    <w:abstractNumId w:val="15"/>
  </w:num>
  <w:num w:numId="33" w16cid:durableId="1160124106">
    <w:abstractNumId w:val="28"/>
  </w:num>
  <w:num w:numId="34" w16cid:durableId="188219955">
    <w:abstractNumId w:val="6"/>
  </w:num>
  <w:num w:numId="35" w16cid:durableId="1723554240">
    <w:abstractNumId w:val="6"/>
  </w:num>
  <w:num w:numId="36" w16cid:durableId="1096052107">
    <w:abstractNumId w:val="12"/>
  </w:num>
  <w:num w:numId="37" w16cid:durableId="1682396567">
    <w:abstractNumId w:val="56"/>
  </w:num>
  <w:num w:numId="38" w16cid:durableId="1914243480">
    <w:abstractNumId w:val="14"/>
  </w:num>
  <w:num w:numId="39" w16cid:durableId="1742214593">
    <w:abstractNumId w:val="2"/>
  </w:num>
  <w:num w:numId="40" w16cid:durableId="1178075938">
    <w:abstractNumId w:val="27"/>
  </w:num>
  <w:num w:numId="41" w16cid:durableId="1906255957">
    <w:abstractNumId w:val="54"/>
  </w:num>
  <w:num w:numId="42" w16cid:durableId="1313220082">
    <w:abstractNumId w:val="21"/>
  </w:num>
  <w:num w:numId="43" w16cid:durableId="540410166">
    <w:abstractNumId w:val="31"/>
  </w:num>
  <w:num w:numId="44" w16cid:durableId="1200320998">
    <w:abstractNumId w:val="34"/>
  </w:num>
  <w:num w:numId="45" w16cid:durableId="1105271783">
    <w:abstractNumId w:val="16"/>
  </w:num>
  <w:num w:numId="46" w16cid:durableId="1663461227">
    <w:abstractNumId w:val="1"/>
  </w:num>
  <w:num w:numId="47" w16cid:durableId="2005548337">
    <w:abstractNumId w:val="26"/>
  </w:num>
  <w:num w:numId="48" w16cid:durableId="957644265">
    <w:abstractNumId w:val="8"/>
  </w:num>
  <w:num w:numId="49" w16cid:durableId="310909588">
    <w:abstractNumId w:val="10"/>
  </w:num>
  <w:num w:numId="50" w16cid:durableId="597834764">
    <w:abstractNumId w:val="23"/>
  </w:num>
  <w:num w:numId="51" w16cid:durableId="1799689555">
    <w:abstractNumId w:val="19"/>
  </w:num>
  <w:num w:numId="52" w16cid:durableId="1956253369">
    <w:abstractNumId w:val="39"/>
  </w:num>
  <w:num w:numId="53" w16cid:durableId="424496458">
    <w:abstractNumId w:val="35"/>
  </w:num>
  <w:num w:numId="54" w16cid:durableId="473330358">
    <w:abstractNumId w:val="4"/>
  </w:num>
  <w:num w:numId="55" w16cid:durableId="1840272502">
    <w:abstractNumId w:val="37"/>
  </w:num>
  <w:num w:numId="56" w16cid:durableId="1453358448">
    <w:abstractNumId w:val="3"/>
  </w:num>
  <w:num w:numId="57" w16cid:durableId="621427868">
    <w:abstractNumId w:val="49"/>
  </w:num>
  <w:num w:numId="58" w16cid:durableId="1340230638">
    <w:abstractNumId w:val="47"/>
  </w:num>
  <w:num w:numId="59" w16cid:durableId="2050184888">
    <w:abstractNumId w:val="18"/>
  </w:num>
  <w:num w:numId="60" w16cid:durableId="1024987722">
    <w:abstractNumId w:val="43"/>
  </w:num>
  <w:num w:numId="61" w16cid:durableId="1728411918">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rson w15:author="Iivika Sale">
    <w15:presenceInfo w15:providerId="AD" w15:userId="S::Iivika.Sale@just.ee::078bb3df-7791-467a-bb64-7407f2dff0b2"/>
  </w15:person>
  <w15:person w15:author="Toimetaja">
    <w15:presenceInfo w15:providerId="None" w15:userId="Toimeta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E70"/>
    <w:rsid w:val="000011AD"/>
    <w:rsid w:val="000020ED"/>
    <w:rsid w:val="00002830"/>
    <w:rsid w:val="00002C47"/>
    <w:rsid w:val="00002CB8"/>
    <w:rsid w:val="00002D42"/>
    <w:rsid w:val="00002EB5"/>
    <w:rsid w:val="000034E0"/>
    <w:rsid w:val="00003696"/>
    <w:rsid w:val="00003D1F"/>
    <w:rsid w:val="00003F92"/>
    <w:rsid w:val="00004F11"/>
    <w:rsid w:val="00005863"/>
    <w:rsid w:val="000063B4"/>
    <w:rsid w:val="00006734"/>
    <w:rsid w:val="00007905"/>
    <w:rsid w:val="00010536"/>
    <w:rsid w:val="000108CE"/>
    <w:rsid w:val="00011928"/>
    <w:rsid w:val="000121CF"/>
    <w:rsid w:val="0001476D"/>
    <w:rsid w:val="00014817"/>
    <w:rsid w:val="00014B0E"/>
    <w:rsid w:val="000154D5"/>
    <w:rsid w:val="00015CEA"/>
    <w:rsid w:val="00015FF9"/>
    <w:rsid w:val="0001735E"/>
    <w:rsid w:val="00017383"/>
    <w:rsid w:val="00017EE9"/>
    <w:rsid w:val="00020315"/>
    <w:rsid w:val="00020472"/>
    <w:rsid w:val="000204BC"/>
    <w:rsid w:val="00020539"/>
    <w:rsid w:val="00020700"/>
    <w:rsid w:val="0002125B"/>
    <w:rsid w:val="0002370C"/>
    <w:rsid w:val="000252C5"/>
    <w:rsid w:val="00025303"/>
    <w:rsid w:val="00025810"/>
    <w:rsid w:val="0002631E"/>
    <w:rsid w:val="000269EC"/>
    <w:rsid w:val="00026C6A"/>
    <w:rsid w:val="00027B69"/>
    <w:rsid w:val="00027E52"/>
    <w:rsid w:val="00030442"/>
    <w:rsid w:val="000307F6"/>
    <w:rsid w:val="00030A94"/>
    <w:rsid w:val="000316B8"/>
    <w:rsid w:val="00032DDF"/>
    <w:rsid w:val="00033256"/>
    <w:rsid w:val="00033A0C"/>
    <w:rsid w:val="00034473"/>
    <w:rsid w:val="00034EA6"/>
    <w:rsid w:val="0003560E"/>
    <w:rsid w:val="0003574E"/>
    <w:rsid w:val="00036164"/>
    <w:rsid w:val="00036F83"/>
    <w:rsid w:val="00040414"/>
    <w:rsid w:val="00041248"/>
    <w:rsid w:val="00041369"/>
    <w:rsid w:val="00041448"/>
    <w:rsid w:val="000417BB"/>
    <w:rsid w:val="0004189A"/>
    <w:rsid w:val="00041F28"/>
    <w:rsid w:val="000428A4"/>
    <w:rsid w:val="00043956"/>
    <w:rsid w:val="00044192"/>
    <w:rsid w:val="00044E91"/>
    <w:rsid w:val="00045009"/>
    <w:rsid w:val="00045ACB"/>
    <w:rsid w:val="0004724F"/>
    <w:rsid w:val="00050090"/>
    <w:rsid w:val="0005039F"/>
    <w:rsid w:val="000506DF"/>
    <w:rsid w:val="0005150A"/>
    <w:rsid w:val="00051B39"/>
    <w:rsid w:val="000520CE"/>
    <w:rsid w:val="000525A6"/>
    <w:rsid w:val="00053353"/>
    <w:rsid w:val="0005371D"/>
    <w:rsid w:val="0005390A"/>
    <w:rsid w:val="000548A6"/>
    <w:rsid w:val="0005585D"/>
    <w:rsid w:val="00055A6E"/>
    <w:rsid w:val="00055B72"/>
    <w:rsid w:val="00055ECC"/>
    <w:rsid w:val="00056BBC"/>
    <w:rsid w:val="00057036"/>
    <w:rsid w:val="000571C9"/>
    <w:rsid w:val="00057281"/>
    <w:rsid w:val="000573C2"/>
    <w:rsid w:val="00057E07"/>
    <w:rsid w:val="000601BC"/>
    <w:rsid w:val="000616A3"/>
    <w:rsid w:val="000618C0"/>
    <w:rsid w:val="00062228"/>
    <w:rsid w:val="00062EC8"/>
    <w:rsid w:val="0006416B"/>
    <w:rsid w:val="00064B9B"/>
    <w:rsid w:val="00064FE1"/>
    <w:rsid w:val="000668D9"/>
    <w:rsid w:val="0006703B"/>
    <w:rsid w:val="00067D5A"/>
    <w:rsid w:val="00070874"/>
    <w:rsid w:val="00070A26"/>
    <w:rsid w:val="00070A33"/>
    <w:rsid w:val="00070B7B"/>
    <w:rsid w:val="00070C12"/>
    <w:rsid w:val="000714F9"/>
    <w:rsid w:val="00072317"/>
    <w:rsid w:val="0007264C"/>
    <w:rsid w:val="00072672"/>
    <w:rsid w:val="000726D4"/>
    <w:rsid w:val="000728A6"/>
    <w:rsid w:val="00073221"/>
    <w:rsid w:val="00073352"/>
    <w:rsid w:val="00073727"/>
    <w:rsid w:val="0007580B"/>
    <w:rsid w:val="00075848"/>
    <w:rsid w:val="000765A7"/>
    <w:rsid w:val="00076DE2"/>
    <w:rsid w:val="0007724F"/>
    <w:rsid w:val="000775FE"/>
    <w:rsid w:val="00077BFA"/>
    <w:rsid w:val="00081B33"/>
    <w:rsid w:val="00082657"/>
    <w:rsid w:val="0008375F"/>
    <w:rsid w:val="00083C8E"/>
    <w:rsid w:val="00083FE9"/>
    <w:rsid w:val="00084C5D"/>
    <w:rsid w:val="0008625C"/>
    <w:rsid w:val="00086CAC"/>
    <w:rsid w:val="000900D7"/>
    <w:rsid w:val="00090EFC"/>
    <w:rsid w:val="000918EA"/>
    <w:rsid w:val="000934ED"/>
    <w:rsid w:val="00094919"/>
    <w:rsid w:val="00095459"/>
    <w:rsid w:val="00095C62"/>
    <w:rsid w:val="000966B6"/>
    <w:rsid w:val="00096913"/>
    <w:rsid w:val="00097EDE"/>
    <w:rsid w:val="000A091F"/>
    <w:rsid w:val="000A0985"/>
    <w:rsid w:val="000A2BEA"/>
    <w:rsid w:val="000A2CD8"/>
    <w:rsid w:val="000A3755"/>
    <w:rsid w:val="000A3DBE"/>
    <w:rsid w:val="000A43BF"/>
    <w:rsid w:val="000A5DBB"/>
    <w:rsid w:val="000A61E7"/>
    <w:rsid w:val="000A6682"/>
    <w:rsid w:val="000A6A1D"/>
    <w:rsid w:val="000A6FA8"/>
    <w:rsid w:val="000A7CD6"/>
    <w:rsid w:val="000B09E5"/>
    <w:rsid w:val="000B0A80"/>
    <w:rsid w:val="000B0AC4"/>
    <w:rsid w:val="000B214D"/>
    <w:rsid w:val="000B23E6"/>
    <w:rsid w:val="000B3068"/>
    <w:rsid w:val="000B318D"/>
    <w:rsid w:val="000B380D"/>
    <w:rsid w:val="000B3CF4"/>
    <w:rsid w:val="000B4130"/>
    <w:rsid w:val="000B4978"/>
    <w:rsid w:val="000B731C"/>
    <w:rsid w:val="000C0582"/>
    <w:rsid w:val="000C0818"/>
    <w:rsid w:val="000C1206"/>
    <w:rsid w:val="000C23A9"/>
    <w:rsid w:val="000C2D08"/>
    <w:rsid w:val="000C2E80"/>
    <w:rsid w:val="000C31C4"/>
    <w:rsid w:val="000C37D3"/>
    <w:rsid w:val="000C3EDC"/>
    <w:rsid w:val="000C408C"/>
    <w:rsid w:val="000C41FC"/>
    <w:rsid w:val="000C46D4"/>
    <w:rsid w:val="000C4DF7"/>
    <w:rsid w:val="000C4E99"/>
    <w:rsid w:val="000C4EC8"/>
    <w:rsid w:val="000C4F2E"/>
    <w:rsid w:val="000C501B"/>
    <w:rsid w:val="000C72B7"/>
    <w:rsid w:val="000C75D3"/>
    <w:rsid w:val="000C7E18"/>
    <w:rsid w:val="000D082E"/>
    <w:rsid w:val="000D0965"/>
    <w:rsid w:val="000D19B4"/>
    <w:rsid w:val="000D246C"/>
    <w:rsid w:val="000D28FD"/>
    <w:rsid w:val="000D29B7"/>
    <w:rsid w:val="000D2BE2"/>
    <w:rsid w:val="000D2FB8"/>
    <w:rsid w:val="000D3B77"/>
    <w:rsid w:val="000D487C"/>
    <w:rsid w:val="000D4C7B"/>
    <w:rsid w:val="000D5273"/>
    <w:rsid w:val="000D5325"/>
    <w:rsid w:val="000D541D"/>
    <w:rsid w:val="000D713F"/>
    <w:rsid w:val="000D73AC"/>
    <w:rsid w:val="000D77DD"/>
    <w:rsid w:val="000D7E55"/>
    <w:rsid w:val="000E00C0"/>
    <w:rsid w:val="000E112C"/>
    <w:rsid w:val="000E1194"/>
    <w:rsid w:val="000E23A5"/>
    <w:rsid w:val="000E2603"/>
    <w:rsid w:val="000E2F37"/>
    <w:rsid w:val="000E4039"/>
    <w:rsid w:val="000E4859"/>
    <w:rsid w:val="000E4B74"/>
    <w:rsid w:val="000E4EE2"/>
    <w:rsid w:val="000E501F"/>
    <w:rsid w:val="000E514C"/>
    <w:rsid w:val="000E531E"/>
    <w:rsid w:val="000E54EB"/>
    <w:rsid w:val="000E5DED"/>
    <w:rsid w:val="000E6389"/>
    <w:rsid w:val="000E6414"/>
    <w:rsid w:val="000E6433"/>
    <w:rsid w:val="000E732F"/>
    <w:rsid w:val="000E74C9"/>
    <w:rsid w:val="000E770B"/>
    <w:rsid w:val="000E78DD"/>
    <w:rsid w:val="000F1AE8"/>
    <w:rsid w:val="000F2061"/>
    <w:rsid w:val="000F2D93"/>
    <w:rsid w:val="000F344E"/>
    <w:rsid w:val="000F3882"/>
    <w:rsid w:val="000F3B8D"/>
    <w:rsid w:val="000F3E69"/>
    <w:rsid w:val="000F3F80"/>
    <w:rsid w:val="000F4025"/>
    <w:rsid w:val="000F4060"/>
    <w:rsid w:val="000F58E6"/>
    <w:rsid w:val="000F5F66"/>
    <w:rsid w:val="000F68DF"/>
    <w:rsid w:val="00101B33"/>
    <w:rsid w:val="00101DB2"/>
    <w:rsid w:val="0010213F"/>
    <w:rsid w:val="00102635"/>
    <w:rsid w:val="001046CF"/>
    <w:rsid w:val="00104913"/>
    <w:rsid w:val="00104C31"/>
    <w:rsid w:val="00105B7E"/>
    <w:rsid w:val="00105D5D"/>
    <w:rsid w:val="001064E5"/>
    <w:rsid w:val="001100B2"/>
    <w:rsid w:val="00110222"/>
    <w:rsid w:val="00110A76"/>
    <w:rsid w:val="00111678"/>
    <w:rsid w:val="00112771"/>
    <w:rsid w:val="00112BA5"/>
    <w:rsid w:val="00113B8F"/>
    <w:rsid w:val="0011603B"/>
    <w:rsid w:val="00116264"/>
    <w:rsid w:val="00116352"/>
    <w:rsid w:val="001163EB"/>
    <w:rsid w:val="00116A4B"/>
    <w:rsid w:val="00116EFB"/>
    <w:rsid w:val="001201CD"/>
    <w:rsid w:val="00120E05"/>
    <w:rsid w:val="0012102A"/>
    <w:rsid w:val="0012166E"/>
    <w:rsid w:val="00121BF5"/>
    <w:rsid w:val="00121CB3"/>
    <w:rsid w:val="001229AA"/>
    <w:rsid w:val="001229BA"/>
    <w:rsid w:val="001230AA"/>
    <w:rsid w:val="00123B96"/>
    <w:rsid w:val="00123CA8"/>
    <w:rsid w:val="00123E7A"/>
    <w:rsid w:val="00124A4F"/>
    <w:rsid w:val="00125083"/>
    <w:rsid w:val="0013024F"/>
    <w:rsid w:val="00131394"/>
    <w:rsid w:val="00131E6B"/>
    <w:rsid w:val="00132BE1"/>
    <w:rsid w:val="001330F2"/>
    <w:rsid w:val="00134F13"/>
    <w:rsid w:val="001350AB"/>
    <w:rsid w:val="00135399"/>
    <w:rsid w:val="001353F9"/>
    <w:rsid w:val="001355EE"/>
    <w:rsid w:val="00135FA7"/>
    <w:rsid w:val="001369ED"/>
    <w:rsid w:val="00136CB6"/>
    <w:rsid w:val="00136E89"/>
    <w:rsid w:val="00137BF0"/>
    <w:rsid w:val="00137E34"/>
    <w:rsid w:val="001407A2"/>
    <w:rsid w:val="00141A3A"/>
    <w:rsid w:val="00142214"/>
    <w:rsid w:val="00142DFD"/>
    <w:rsid w:val="00142F3D"/>
    <w:rsid w:val="00142F56"/>
    <w:rsid w:val="00143093"/>
    <w:rsid w:val="00143BD4"/>
    <w:rsid w:val="001444F6"/>
    <w:rsid w:val="00144EBF"/>
    <w:rsid w:val="00146263"/>
    <w:rsid w:val="00146B2C"/>
    <w:rsid w:val="001472D4"/>
    <w:rsid w:val="00147489"/>
    <w:rsid w:val="00147BCB"/>
    <w:rsid w:val="00147EE1"/>
    <w:rsid w:val="0015000C"/>
    <w:rsid w:val="001505E1"/>
    <w:rsid w:val="00150E1F"/>
    <w:rsid w:val="00151742"/>
    <w:rsid w:val="00151B39"/>
    <w:rsid w:val="00151E9B"/>
    <w:rsid w:val="00151FBB"/>
    <w:rsid w:val="00152D34"/>
    <w:rsid w:val="00153B61"/>
    <w:rsid w:val="00153D52"/>
    <w:rsid w:val="00153E60"/>
    <w:rsid w:val="001542C8"/>
    <w:rsid w:val="00154BC6"/>
    <w:rsid w:val="00154D45"/>
    <w:rsid w:val="00155243"/>
    <w:rsid w:val="00155841"/>
    <w:rsid w:val="00155C29"/>
    <w:rsid w:val="00155ECF"/>
    <w:rsid w:val="0015654B"/>
    <w:rsid w:val="0015768F"/>
    <w:rsid w:val="00160D55"/>
    <w:rsid w:val="00160EFE"/>
    <w:rsid w:val="00162855"/>
    <w:rsid w:val="00162B4F"/>
    <w:rsid w:val="00163846"/>
    <w:rsid w:val="00163DE9"/>
    <w:rsid w:val="0016425E"/>
    <w:rsid w:val="0016484C"/>
    <w:rsid w:val="00164B8D"/>
    <w:rsid w:val="00164CC8"/>
    <w:rsid w:val="0016575E"/>
    <w:rsid w:val="001666B0"/>
    <w:rsid w:val="001676F7"/>
    <w:rsid w:val="001701AC"/>
    <w:rsid w:val="00170538"/>
    <w:rsid w:val="00170D12"/>
    <w:rsid w:val="00172814"/>
    <w:rsid w:val="00172B0B"/>
    <w:rsid w:val="001732D0"/>
    <w:rsid w:val="001735B3"/>
    <w:rsid w:val="00173AC1"/>
    <w:rsid w:val="00173C91"/>
    <w:rsid w:val="00173DE9"/>
    <w:rsid w:val="0017461A"/>
    <w:rsid w:val="00174D76"/>
    <w:rsid w:val="0017529F"/>
    <w:rsid w:val="00175CEB"/>
    <w:rsid w:val="001766B9"/>
    <w:rsid w:val="001768F1"/>
    <w:rsid w:val="001771C8"/>
    <w:rsid w:val="0017779E"/>
    <w:rsid w:val="00177835"/>
    <w:rsid w:val="00177BEA"/>
    <w:rsid w:val="00180E70"/>
    <w:rsid w:val="00182264"/>
    <w:rsid w:val="00182B35"/>
    <w:rsid w:val="00182C4D"/>
    <w:rsid w:val="00183031"/>
    <w:rsid w:val="0018306D"/>
    <w:rsid w:val="001833CE"/>
    <w:rsid w:val="001838DC"/>
    <w:rsid w:val="00183DE8"/>
    <w:rsid w:val="001843A4"/>
    <w:rsid w:val="001846F5"/>
    <w:rsid w:val="00184A14"/>
    <w:rsid w:val="00185377"/>
    <w:rsid w:val="0018555E"/>
    <w:rsid w:val="001861E3"/>
    <w:rsid w:val="00186392"/>
    <w:rsid w:val="00186549"/>
    <w:rsid w:val="00186E88"/>
    <w:rsid w:val="001914FD"/>
    <w:rsid w:val="00191EB5"/>
    <w:rsid w:val="001922FF"/>
    <w:rsid w:val="0019289B"/>
    <w:rsid w:val="00193AB7"/>
    <w:rsid w:val="00194671"/>
    <w:rsid w:val="001959A5"/>
    <w:rsid w:val="00197240"/>
    <w:rsid w:val="00197BA4"/>
    <w:rsid w:val="00197C7E"/>
    <w:rsid w:val="001A1008"/>
    <w:rsid w:val="001A2206"/>
    <w:rsid w:val="001A31B6"/>
    <w:rsid w:val="001A36A1"/>
    <w:rsid w:val="001A38AF"/>
    <w:rsid w:val="001A4507"/>
    <w:rsid w:val="001A4938"/>
    <w:rsid w:val="001A4D75"/>
    <w:rsid w:val="001A4E0F"/>
    <w:rsid w:val="001A57EE"/>
    <w:rsid w:val="001A69E0"/>
    <w:rsid w:val="001A6AA3"/>
    <w:rsid w:val="001A6F2E"/>
    <w:rsid w:val="001A7A74"/>
    <w:rsid w:val="001A7BB1"/>
    <w:rsid w:val="001B05EF"/>
    <w:rsid w:val="001B0C7E"/>
    <w:rsid w:val="001B13A0"/>
    <w:rsid w:val="001B2086"/>
    <w:rsid w:val="001B31B4"/>
    <w:rsid w:val="001B3A39"/>
    <w:rsid w:val="001B40DB"/>
    <w:rsid w:val="001B44B4"/>
    <w:rsid w:val="001B472F"/>
    <w:rsid w:val="001B5876"/>
    <w:rsid w:val="001B587B"/>
    <w:rsid w:val="001B5EBD"/>
    <w:rsid w:val="001B6220"/>
    <w:rsid w:val="001C0190"/>
    <w:rsid w:val="001C1216"/>
    <w:rsid w:val="001C13D8"/>
    <w:rsid w:val="001C1665"/>
    <w:rsid w:val="001C22C0"/>
    <w:rsid w:val="001C2AA6"/>
    <w:rsid w:val="001C2B13"/>
    <w:rsid w:val="001C3A31"/>
    <w:rsid w:val="001C4695"/>
    <w:rsid w:val="001C4D75"/>
    <w:rsid w:val="001C5342"/>
    <w:rsid w:val="001C54B4"/>
    <w:rsid w:val="001C54CB"/>
    <w:rsid w:val="001C5BF7"/>
    <w:rsid w:val="001C6777"/>
    <w:rsid w:val="001C6B12"/>
    <w:rsid w:val="001C6F6D"/>
    <w:rsid w:val="001C714E"/>
    <w:rsid w:val="001C7334"/>
    <w:rsid w:val="001C7CF0"/>
    <w:rsid w:val="001D02B4"/>
    <w:rsid w:val="001D146A"/>
    <w:rsid w:val="001D2B96"/>
    <w:rsid w:val="001D4671"/>
    <w:rsid w:val="001D4814"/>
    <w:rsid w:val="001D5297"/>
    <w:rsid w:val="001D6094"/>
    <w:rsid w:val="001D6805"/>
    <w:rsid w:val="001D71F9"/>
    <w:rsid w:val="001D72D3"/>
    <w:rsid w:val="001D7D9D"/>
    <w:rsid w:val="001E05BF"/>
    <w:rsid w:val="001E0620"/>
    <w:rsid w:val="001E0A2A"/>
    <w:rsid w:val="001E0C0D"/>
    <w:rsid w:val="001E0DF1"/>
    <w:rsid w:val="001E21E1"/>
    <w:rsid w:val="001E273B"/>
    <w:rsid w:val="001E2790"/>
    <w:rsid w:val="001E2879"/>
    <w:rsid w:val="001E39D3"/>
    <w:rsid w:val="001E3B8A"/>
    <w:rsid w:val="001E3C04"/>
    <w:rsid w:val="001E4135"/>
    <w:rsid w:val="001E4DF3"/>
    <w:rsid w:val="001E506D"/>
    <w:rsid w:val="001E5278"/>
    <w:rsid w:val="001E6773"/>
    <w:rsid w:val="001E6CE6"/>
    <w:rsid w:val="001E6E87"/>
    <w:rsid w:val="001E6EEF"/>
    <w:rsid w:val="001E7E46"/>
    <w:rsid w:val="001F0FEF"/>
    <w:rsid w:val="001F1D46"/>
    <w:rsid w:val="001F2365"/>
    <w:rsid w:val="001F256A"/>
    <w:rsid w:val="001F4E65"/>
    <w:rsid w:val="001F526F"/>
    <w:rsid w:val="001F56F1"/>
    <w:rsid w:val="001F590D"/>
    <w:rsid w:val="001F66DA"/>
    <w:rsid w:val="001F70A9"/>
    <w:rsid w:val="001F72D6"/>
    <w:rsid w:val="00200265"/>
    <w:rsid w:val="0020106E"/>
    <w:rsid w:val="0020234E"/>
    <w:rsid w:val="00203187"/>
    <w:rsid w:val="0020352F"/>
    <w:rsid w:val="00203ACB"/>
    <w:rsid w:val="00205BF4"/>
    <w:rsid w:val="00206C84"/>
    <w:rsid w:val="002072F6"/>
    <w:rsid w:val="00207FAD"/>
    <w:rsid w:val="0021008D"/>
    <w:rsid w:val="002115AD"/>
    <w:rsid w:val="00211FB9"/>
    <w:rsid w:val="00212317"/>
    <w:rsid w:val="00212943"/>
    <w:rsid w:val="002130AF"/>
    <w:rsid w:val="0021338A"/>
    <w:rsid w:val="0021345F"/>
    <w:rsid w:val="00213656"/>
    <w:rsid w:val="00213EA1"/>
    <w:rsid w:val="00214378"/>
    <w:rsid w:val="00214569"/>
    <w:rsid w:val="002146D4"/>
    <w:rsid w:val="00214BC6"/>
    <w:rsid w:val="00214DC1"/>
    <w:rsid w:val="00215293"/>
    <w:rsid w:val="00215492"/>
    <w:rsid w:val="00216718"/>
    <w:rsid w:val="002172AF"/>
    <w:rsid w:val="00217414"/>
    <w:rsid w:val="00217971"/>
    <w:rsid w:val="002201CA"/>
    <w:rsid w:val="00220D67"/>
    <w:rsid w:val="002215AA"/>
    <w:rsid w:val="00222314"/>
    <w:rsid w:val="002229FD"/>
    <w:rsid w:val="00222DE4"/>
    <w:rsid w:val="0022345A"/>
    <w:rsid w:val="002243CB"/>
    <w:rsid w:val="00224D50"/>
    <w:rsid w:val="00224FFD"/>
    <w:rsid w:val="00225B59"/>
    <w:rsid w:val="00225CBD"/>
    <w:rsid w:val="00225DBE"/>
    <w:rsid w:val="00226500"/>
    <w:rsid w:val="00226BCC"/>
    <w:rsid w:val="00226D73"/>
    <w:rsid w:val="002279DD"/>
    <w:rsid w:val="002317EC"/>
    <w:rsid w:val="00231BA5"/>
    <w:rsid w:val="00231E5D"/>
    <w:rsid w:val="00232DFC"/>
    <w:rsid w:val="00233AA8"/>
    <w:rsid w:val="00234874"/>
    <w:rsid w:val="00234AE8"/>
    <w:rsid w:val="00235673"/>
    <w:rsid w:val="00236812"/>
    <w:rsid w:val="00240D48"/>
    <w:rsid w:val="00242666"/>
    <w:rsid w:val="00243445"/>
    <w:rsid w:val="002435B9"/>
    <w:rsid w:val="00243787"/>
    <w:rsid w:val="00243960"/>
    <w:rsid w:val="0024474B"/>
    <w:rsid w:val="00244773"/>
    <w:rsid w:val="0024487A"/>
    <w:rsid w:val="0024508B"/>
    <w:rsid w:val="0024545B"/>
    <w:rsid w:val="002454E8"/>
    <w:rsid w:val="00245D1D"/>
    <w:rsid w:val="00246CD2"/>
    <w:rsid w:val="0024715F"/>
    <w:rsid w:val="00247A16"/>
    <w:rsid w:val="00247FB5"/>
    <w:rsid w:val="00250929"/>
    <w:rsid w:val="002509D1"/>
    <w:rsid w:val="0025116F"/>
    <w:rsid w:val="00251CAB"/>
    <w:rsid w:val="00253253"/>
    <w:rsid w:val="00253396"/>
    <w:rsid w:val="002539BF"/>
    <w:rsid w:val="00253A7E"/>
    <w:rsid w:val="00253CB3"/>
    <w:rsid w:val="00254598"/>
    <w:rsid w:val="00254FC0"/>
    <w:rsid w:val="00255488"/>
    <w:rsid w:val="0025559F"/>
    <w:rsid w:val="00255E1E"/>
    <w:rsid w:val="00255E97"/>
    <w:rsid w:val="002563BC"/>
    <w:rsid w:val="002564F6"/>
    <w:rsid w:val="00257BA1"/>
    <w:rsid w:val="00261313"/>
    <w:rsid w:val="00261BDA"/>
    <w:rsid w:val="0026225B"/>
    <w:rsid w:val="00262421"/>
    <w:rsid w:val="00262F54"/>
    <w:rsid w:val="0026309C"/>
    <w:rsid w:val="0026469C"/>
    <w:rsid w:val="0026481C"/>
    <w:rsid w:val="00264DA5"/>
    <w:rsid w:val="002652AA"/>
    <w:rsid w:val="002656EF"/>
    <w:rsid w:val="002658D6"/>
    <w:rsid w:val="00265C54"/>
    <w:rsid w:val="002674F7"/>
    <w:rsid w:val="00267BD1"/>
    <w:rsid w:val="002703AE"/>
    <w:rsid w:val="0027158A"/>
    <w:rsid w:val="00271EC7"/>
    <w:rsid w:val="0027362F"/>
    <w:rsid w:val="0027464C"/>
    <w:rsid w:val="00274767"/>
    <w:rsid w:val="00274C62"/>
    <w:rsid w:val="00274EAB"/>
    <w:rsid w:val="00275CBD"/>
    <w:rsid w:val="00275E23"/>
    <w:rsid w:val="00275E9A"/>
    <w:rsid w:val="00276428"/>
    <w:rsid w:val="00277471"/>
    <w:rsid w:val="00277813"/>
    <w:rsid w:val="00280D19"/>
    <w:rsid w:val="00281447"/>
    <w:rsid w:val="00282096"/>
    <w:rsid w:val="00282116"/>
    <w:rsid w:val="002832A9"/>
    <w:rsid w:val="00285A1F"/>
    <w:rsid w:val="00285B11"/>
    <w:rsid w:val="00285BD0"/>
    <w:rsid w:val="0028670E"/>
    <w:rsid w:val="00286C20"/>
    <w:rsid w:val="00287B6E"/>
    <w:rsid w:val="0029175E"/>
    <w:rsid w:val="0029208A"/>
    <w:rsid w:val="00292101"/>
    <w:rsid w:val="00292646"/>
    <w:rsid w:val="002927F4"/>
    <w:rsid w:val="00293011"/>
    <w:rsid w:val="0029366B"/>
    <w:rsid w:val="002940CC"/>
    <w:rsid w:val="00294223"/>
    <w:rsid w:val="0029491C"/>
    <w:rsid w:val="00294DD7"/>
    <w:rsid w:val="002964C3"/>
    <w:rsid w:val="00296F4D"/>
    <w:rsid w:val="002970C4"/>
    <w:rsid w:val="002A0102"/>
    <w:rsid w:val="002A02AD"/>
    <w:rsid w:val="002A063D"/>
    <w:rsid w:val="002A2F72"/>
    <w:rsid w:val="002A340A"/>
    <w:rsid w:val="002A460E"/>
    <w:rsid w:val="002A4ACB"/>
    <w:rsid w:val="002A4CD0"/>
    <w:rsid w:val="002A519D"/>
    <w:rsid w:val="002A5689"/>
    <w:rsid w:val="002A5EEC"/>
    <w:rsid w:val="002A7403"/>
    <w:rsid w:val="002B0EBC"/>
    <w:rsid w:val="002B0F87"/>
    <w:rsid w:val="002B1D09"/>
    <w:rsid w:val="002B21FB"/>
    <w:rsid w:val="002B2BEF"/>
    <w:rsid w:val="002B2C7C"/>
    <w:rsid w:val="002B30C8"/>
    <w:rsid w:val="002B32AC"/>
    <w:rsid w:val="002B330B"/>
    <w:rsid w:val="002B39B7"/>
    <w:rsid w:val="002B3BAF"/>
    <w:rsid w:val="002B4F30"/>
    <w:rsid w:val="002B5837"/>
    <w:rsid w:val="002B612B"/>
    <w:rsid w:val="002B6705"/>
    <w:rsid w:val="002B6A0F"/>
    <w:rsid w:val="002B7ED2"/>
    <w:rsid w:val="002C034B"/>
    <w:rsid w:val="002C03A7"/>
    <w:rsid w:val="002C04DE"/>
    <w:rsid w:val="002C0C72"/>
    <w:rsid w:val="002C11A8"/>
    <w:rsid w:val="002C131F"/>
    <w:rsid w:val="002C15AB"/>
    <w:rsid w:val="002C2DE7"/>
    <w:rsid w:val="002C3064"/>
    <w:rsid w:val="002C3672"/>
    <w:rsid w:val="002C3D63"/>
    <w:rsid w:val="002C4AE7"/>
    <w:rsid w:val="002C4D1B"/>
    <w:rsid w:val="002C5196"/>
    <w:rsid w:val="002C58BD"/>
    <w:rsid w:val="002C6394"/>
    <w:rsid w:val="002C64B8"/>
    <w:rsid w:val="002C75A9"/>
    <w:rsid w:val="002C7C8C"/>
    <w:rsid w:val="002D07BB"/>
    <w:rsid w:val="002D0A76"/>
    <w:rsid w:val="002D0AAB"/>
    <w:rsid w:val="002D0D18"/>
    <w:rsid w:val="002D173C"/>
    <w:rsid w:val="002D2D45"/>
    <w:rsid w:val="002D36D9"/>
    <w:rsid w:val="002D3F1A"/>
    <w:rsid w:val="002D4167"/>
    <w:rsid w:val="002D42B8"/>
    <w:rsid w:val="002D481D"/>
    <w:rsid w:val="002D57AE"/>
    <w:rsid w:val="002D57AF"/>
    <w:rsid w:val="002D6025"/>
    <w:rsid w:val="002D6FBA"/>
    <w:rsid w:val="002D7A90"/>
    <w:rsid w:val="002D7CD6"/>
    <w:rsid w:val="002E032B"/>
    <w:rsid w:val="002E0D3A"/>
    <w:rsid w:val="002E1744"/>
    <w:rsid w:val="002E26C6"/>
    <w:rsid w:val="002E2934"/>
    <w:rsid w:val="002E29B8"/>
    <w:rsid w:val="002E36ED"/>
    <w:rsid w:val="002E3CAE"/>
    <w:rsid w:val="002E440E"/>
    <w:rsid w:val="002E4BB8"/>
    <w:rsid w:val="002E70DE"/>
    <w:rsid w:val="002E73B1"/>
    <w:rsid w:val="002E7D9F"/>
    <w:rsid w:val="002F0478"/>
    <w:rsid w:val="002F1745"/>
    <w:rsid w:val="002F1BAE"/>
    <w:rsid w:val="002F2604"/>
    <w:rsid w:val="002F27B8"/>
    <w:rsid w:val="002F28F9"/>
    <w:rsid w:val="002F2C93"/>
    <w:rsid w:val="002F3CC6"/>
    <w:rsid w:val="002F3F1B"/>
    <w:rsid w:val="002F74B6"/>
    <w:rsid w:val="002F77A3"/>
    <w:rsid w:val="002F79CA"/>
    <w:rsid w:val="00300356"/>
    <w:rsid w:val="00300BCF"/>
    <w:rsid w:val="00300C13"/>
    <w:rsid w:val="00301EE1"/>
    <w:rsid w:val="00301F5B"/>
    <w:rsid w:val="00302197"/>
    <w:rsid w:val="0030283C"/>
    <w:rsid w:val="00302BF8"/>
    <w:rsid w:val="003038D3"/>
    <w:rsid w:val="00303FE5"/>
    <w:rsid w:val="003057ED"/>
    <w:rsid w:val="00306F3C"/>
    <w:rsid w:val="00307714"/>
    <w:rsid w:val="0031004A"/>
    <w:rsid w:val="00310EFF"/>
    <w:rsid w:val="00311973"/>
    <w:rsid w:val="00311A35"/>
    <w:rsid w:val="00311F49"/>
    <w:rsid w:val="003122D8"/>
    <w:rsid w:val="00313668"/>
    <w:rsid w:val="00313EB0"/>
    <w:rsid w:val="00313F25"/>
    <w:rsid w:val="00315042"/>
    <w:rsid w:val="0031557F"/>
    <w:rsid w:val="00315A4E"/>
    <w:rsid w:val="00315BE0"/>
    <w:rsid w:val="00315C83"/>
    <w:rsid w:val="0031608B"/>
    <w:rsid w:val="00316146"/>
    <w:rsid w:val="0031691E"/>
    <w:rsid w:val="00316A24"/>
    <w:rsid w:val="003174D9"/>
    <w:rsid w:val="00317D4E"/>
    <w:rsid w:val="00320558"/>
    <w:rsid w:val="003206C4"/>
    <w:rsid w:val="00320ACF"/>
    <w:rsid w:val="0032104A"/>
    <w:rsid w:val="00321EE6"/>
    <w:rsid w:val="00322016"/>
    <w:rsid w:val="0032244E"/>
    <w:rsid w:val="003228A3"/>
    <w:rsid w:val="00322E9B"/>
    <w:rsid w:val="00323322"/>
    <w:rsid w:val="00323680"/>
    <w:rsid w:val="003237B7"/>
    <w:rsid w:val="003237C3"/>
    <w:rsid w:val="003237D8"/>
    <w:rsid w:val="00323A2E"/>
    <w:rsid w:val="0032431F"/>
    <w:rsid w:val="00324585"/>
    <w:rsid w:val="003247FA"/>
    <w:rsid w:val="00324C8A"/>
    <w:rsid w:val="00325136"/>
    <w:rsid w:val="0032562C"/>
    <w:rsid w:val="00325D42"/>
    <w:rsid w:val="003261FA"/>
    <w:rsid w:val="0032724F"/>
    <w:rsid w:val="00327669"/>
    <w:rsid w:val="003304DA"/>
    <w:rsid w:val="00330B5F"/>
    <w:rsid w:val="0033154B"/>
    <w:rsid w:val="00331813"/>
    <w:rsid w:val="003331EF"/>
    <w:rsid w:val="003343B0"/>
    <w:rsid w:val="00334460"/>
    <w:rsid w:val="003351FB"/>
    <w:rsid w:val="0033540A"/>
    <w:rsid w:val="0033576F"/>
    <w:rsid w:val="0033579D"/>
    <w:rsid w:val="003357FE"/>
    <w:rsid w:val="00335937"/>
    <w:rsid w:val="00335E0E"/>
    <w:rsid w:val="00336C52"/>
    <w:rsid w:val="00337F63"/>
    <w:rsid w:val="00337FF4"/>
    <w:rsid w:val="0034053D"/>
    <w:rsid w:val="00340586"/>
    <w:rsid w:val="00340925"/>
    <w:rsid w:val="0034100C"/>
    <w:rsid w:val="00341109"/>
    <w:rsid w:val="00341E18"/>
    <w:rsid w:val="00342E11"/>
    <w:rsid w:val="00342E3F"/>
    <w:rsid w:val="003439C6"/>
    <w:rsid w:val="00343EE6"/>
    <w:rsid w:val="003447FB"/>
    <w:rsid w:val="00345F40"/>
    <w:rsid w:val="00346D87"/>
    <w:rsid w:val="00346DBF"/>
    <w:rsid w:val="0034753C"/>
    <w:rsid w:val="00347E91"/>
    <w:rsid w:val="0035002D"/>
    <w:rsid w:val="00350574"/>
    <w:rsid w:val="003514D7"/>
    <w:rsid w:val="003515DB"/>
    <w:rsid w:val="00351AEC"/>
    <w:rsid w:val="00351BBE"/>
    <w:rsid w:val="00351CEA"/>
    <w:rsid w:val="00351DC1"/>
    <w:rsid w:val="003520B3"/>
    <w:rsid w:val="003523C3"/>
    <w:rsid w:val="00352418"/>
    <w:rsid w:val="0035299B"/>
    <w:rsid w:val="0035376A"/>
    <w:rsid w:val="00355863"/>
    <w:rsid w:val="00355BEE"/>
    <w:rsid w:val="00355D23"/>
    <w:rsid w:val="00356262"/>
    <w:rsid w:val="00356E7D"/>
    <w:rsid w:val="00357123"/>
    <w:rsid w:val="00357E7F"/>
    <w:rsid w:val="00361738"/>
    <w:rsid w:val="00361EDA"/>
    <w:rsid w:val="00362264"/>
    <w:rsid w:val="00364837"/>
    <w:rsid w:val="00364DAC"/>
    <w:rsid w:val="003655C5"/>
    <w:rsid w:val="003679E5"/>
    <w:rsid w:val="00367CFF"/>
    <w:rsid w:val="00371783"/>
    <w:rsid w:val="00371BC2"/>
    <w:rsid w:val="00372D25"/>
    <w:rsid w:val="00373CF9"/>
    <w:rsid w:val="00375279"/>
    <w:rsid w:val="00375335"/>
    <w:rsid w:val="003753C2"/>
    <w:rsid w:val="003754B8"/>
    <w:rsid w:val="003757F2"/>
    <w:rsid w:val="0037586D"/>
    <w:rsid w:val="00376183"/>
    <w:rsid w:val="003763A4"/>
    <w:rsid w:val="003771DC"/>
    <w:rsid w:val="00377393"/>
    <w:rsid w:val="00377EEE"/>
    <w:rsid w:val="003804F3"/>
    <w:rsid w:val="00380B05"/>
    <w:rsid w:val="00380B3F"/>
    <w:rsid w:val="0038134C"/>
    <w:rsid w:val="003813AD"/>
    <w:rsid w:val="003824C9"/>
    <w:rsid w:val="003825E3"/>
    <w:rsid w:val="003830D7"/>
    <w:rsid w:val="0038349B"/>
    <w:rsid w:val="00383646"/>
    <w:rsid w:val="003839DE"/>
    <w:rsid w:val="00383DF7"/>
    <w:rsid w:val="0038485C"/>
    <w:rsid w:val="00384FA9"/>
    <w:rsid w:val="003856AF"/>
    <w:rsid w:val="00385CCC"/>
    <w:rsid w:val="00386BBE"/>
    <w:rsid w:val="00386DAA"/>
    <w:rsid w:val="003873DA"/>
    <w:rsid w:val="00387DDB"/>
    <w:rsid w:val="00390ADF"/>
    <w:rsid w:val="00390B7C"/>
    <w:rsid w:val="00390F96"/>
    <w:rsid w:val="003913B7"/>
    <w:rsid w:val="0039268C"/>
    <w:rsid w:val="003928F2"/>
    <w:rsid w:val="0039291E"/>
    <w:rsid w:val="00393E9C"/>
    <w:rsid w:val="003940E0"/>
    <w:rsid w:val="003943F3"/>
    <w:rsid w:val="00394CD9"/>
    <w:rsid w:val="00396272"/>
    <w:rsid w:val="00396E06"/>
    <w:rsid w:val="0039753E"/>
    <w:rsid w:val="00397561"/>
    <w:rsid w:val="00397658"/>
    <w:rsid w:val="00397AD3"/>
    <w:rsid w:val="003A02A1"/>
    <w:rsid w:val="003A07D7"/>
    <w:rsid w:val="003A0C2A"/>
    <w:rsid w:val="003A0FCC"/>
    <w:rsid w:val="003A1140"/>
    <w:rsid w:val="003A12E0"/>
    <w:rsid w:val="003A1860"/>
    <w:rsid w:val="003A1B47"/>
    <w:rsid w:val="003A3342"/>
    <w:rsid w:val="003A3581"/>
    <w:rsid w:val="003A3827"/>
    <w:rsid w:val="003A385A"/>
    <w:rsid w:val="003A3A70"/>
    <w:rsid w:val="003A44E8"/>
    <w:rsid w:val="003A4690"/>
    <w:rsid w:val="003A54B1"/>
    <w:rsid w:val="003A5C19"/>
    <w:rsid w:val="003A6227"/>
    <w:rsid w:val="003A641D"/>
    <w:rsid w:val="003A6F35"/>
    <w:rsid w:val="003A6FC4"/>
    <w:rsid w:val="003A7ED7"/>
    <w:rsid w:val="003B0369"/>
    <w:rsid w:val="003B0556"/>
    <w:rsid w:val="003B0936"/>
    <w:rsid w:val="003B0945"/>
    <w:rsid w:val="003B0AE0"/>
    <w:rsid w:val="003B0C51"/>
    <w:rsid w:val="003B0F70"/>
    <w:rsid w:val="003B1DE2"/>
    <w:rsid w:val="003B21B9"/>
    <w:rsid w:val="003B27FF"/>
    <w:rsid w:val="003B2809"/>
    <w:rsid w:val="003B3259"/>
    <w:rsid w:val="003B3ACE"/>
    <w:rsid w:val="003B3F4C"/>
    <w:rsid w:val="003B453F"/>
    <w:rsid w:val="003B4548"/>
    <w:rsid w:val="003B4C39"/>
    <w:rsid w:val="003B5113"/>
    <w:rsid w:val="003B55F2"/>
    <w:rsid w:val="003B5BFB"/>
    <w:rsid w:val="003B6264"/>
    <w:rsid w:val="003B6551"/>
    <w:rsid w:val="003B67F4"/>
    <w:rsid w:val="003B6F39"/>
    <w:rsid w:val="003B7772"/>
    <w:rsid w:val="003B78E2"/>
    <w:rsid w:val="003C060F"/>
    <w:rsid w:val="003C177B"/>
    <w:rsid w:val="003C1AA8"/>
    <w:rsid w:val="003C1EFC"/>
    <w:rsid w:val="003C2668"/>
    <w:rsid w:val="003C2CF6"/>
    <w:rsid w:val="003C2F94"/>
    <w:rsid w:val="003C3321"/>
    <w:rsid w:val="003C33E0"/>
    <w:rsid w:val="003C46AC"/>
    <w:rsid w:val="003C4AD0"/>
    <w:rsid w:val="003C53DD"/>
    <w:rsid w:val="003C63A8"/>
    <w:rsid w:val="003C696D"/>
    <w:rsid w:val="003C6B21"/>
    <w:rsid w:val="003C7162"/>
    <w:rsid w:val="003C7975"/>
    <w:rsid w:val="003C79BB"/>
    <w:rsid w:val="003C7AC3"/>
    <w:rsid w:val="003C7FE9"/>
    <w:rsid w:val="003D112C"/>
    <w:rsid w:val="003D1951"/>
    <w:rsid w:val="003D1BDF"/>
    <w:rsid w:val="003D2967"/>
    <w:rsid w:val="003D29C8"/>
    <w:rsid w:val="003D2FD0"/>
    <w:rsid w:val="003D37C4"/>
    <w:rsid w:val="003D3C05"/>
    <w:rsid w:val="003D4C8C"/>
    <w:rsid w:val="003D4EFA"/>
    <w:rsid w:val="003D5793"/>
    <w:rsid w:val="003D57EF"/>
    <w:rsid w:val="003D6590"/>
    <w:rsid w:val="003D6883"/>
    <w:rsid w:val="003D72BA"/>
    <w:rsid w:val="003D7992"/>
    <w:rsid w:val="003E073C"/>
    <w:rsid w:val="003E0B26"/>
    <w:rsid w:val="003E0BFB"/>
    <w:rsid w:val="003E11F3"/>
    <w:rsid w:val="003E1340"/>
    <w:rsid w:val="003E1510"/>
    <w:rsid w:val="003E1FE8"/>
    <w:rsid w:val="003E5832"/>
    <w:rsid w:val="003E596D"/>
    <w:rsid w:val="003E659C"/>
    <w:rsid w:val="003E6B79"/>
    <w:rsid w:val="003E7046"/>
    <w:rsid w:val="003E7188"/>
    <w:rsid w:val="003E72BA"/>
    <w:rsid w:val="003F05BB"/>
    <w:rsid w:val="003F0AB0"/>
    <w:rsid w:val="003F0CDD"/>
    <w:rsid w:val="003F112D"/>
    <w:rsid w:val="003F18D6"/>
    <w:rsid w:val="003F1FB4"/>
    <w:rsid w:val="003F203D"/>
    <w:rsid w:val="003F2CCC"/>
    <w:rsid w:val="003F2E28"/>
    <w:rsid w:val="003F4D7D"/>
    <w:rsid w:val="003F4D9D"/>
    <w:rsid w:val="003F5145"/>
    <w:rsid w:val="003F548E"/>
    <w:rsid w:val="003F63F0"/>
    <w:rsid w:val="003F69BD"/>
    <w:rsid w:val="003F6EC0"/>
    <w:rsid w:val="003F74E6"/>
    <w:rsid w:val="003F7C4B"/>
    <w:rsid w:val="004019D4"/>
    <w:rsid w:val="00402699"/>
    <w:rsid w:val="00402C75"/>
    <w:rsid w:val="004036FB"/>
    <w:rsid w:val="004048E8"/>
    <w:rsid w:val="00405868"/>
    <w:rsid w:val="00405A7B"/>
    <w:rsid w:val="00405F3A"/>
    <w:rsid w:val="00406C19"/>
    <w:rsid w:val="00410539"/>
    <w:rsid w:val="00411E90"/>
    <w:rsid w:val="00411EB2"/>
    <w:rsid w:val="00412900"/>
    <w:rsid w:val="00412A40"/>
    <w:rsid w:val="00412A7F"/>
    <w:rsid w:val="00412F65"/>
    <w:rsid w:val="00413A03"/>
    <w:rsid w:val="00413C96"/>
    <w:rsid w:val="004146CD"/>
    <w:rsid w:val="004150B5"/>
    <w:rsid w:val="00415916"/>
    <w:rsid w:val="00415C03"/>
    <w:rsid w:val="00416378"/>
    <w:rsid w:val="00416663"/>
    <w:rsid w:val="00416AB9"/>
    <w:rsid w:val="00416BD4"/>
    <w:rsid w:val="00421971"/>
    <w:rsid w:val="00421BE3"/>
    <w:rsid w:val="00422C66"/>
    <w:rsid w:val="0042409F"/>
    <w:rsid w:val="00425551"/>
    <w:rsid w:val="004265E7"/>
    <w:rsid w:val="0042661A"/>
    <w:rsid w:val="004269C2"/>
    <w:rsid w:val="00426B4B"/>
    <w:rsid w:val="00426D66"/>
    <w:rsid w:val="0043066B"/>
    <w:rsid w:val="00430FCA"/>
    <w:rsid w:val="0043111F"/>
    <w:rsid w:val="004316DB"/>
    <w:rsid w:val="00431B2A"/>
    <w:rsid w:val="00431E1A"/>
    <w:rsid w:val="00432186"/>
    <w:rsid w:val="0043253A"/>
    <w:rsid w:val="004336E6"/>
    <w:rsid w:val="004338C0"/>
    <w:rsid w:val="004338D9"/>
    <w:rsid w:val="00434363"/>
    <w:rsid w:val="004347DD"/>
    <w:rsid w:val="004362BE"/>
    <w:rsid w:val="00436573"/>
    <w:rsid w:val="00436C79"/>
    <w:rsid w:val="004375A6"/>
    <w:rsid w:val="00437C01"/>
    <w:rsid w:val="00437CF1"/>
    <w:rsid w:val="00440778"/>
    <w:rsid w:val="00440EDD"/>
    <w:rsid w:val="004426AB"/>
    <w:rsid w:val="0044308D"/>
    <w:rsid w:val="0044343B"/>
    <w:rsid w:val="004439D3"/>
    <w:rsid w:val="00444604"/>
    <w:rsid w:val="0044462C"/>
    <w:rsid w:val="00444677"/>
    <w:rsid w:val="004456AA"/>
    <w:rsid w:val="004459FD"/>
    <w:rsid w:val="00445A6E"/>
    <w:rsid w:val="00445AA6"/>
    <w:rsid w:val="00445D7D"/>
    <w:rsid w:val="00445E1A"/>
    <w:rsid w:val="004466B0"/>
    <w:rsid w:val="00446C37"/>
    <w:rsid w:val="0044722A"/>
    <w:rsid w:val="00447C9D"/>
    <w:rsid w:val="00450087"/>
    <w:rsid w:val="004501BC"/>
    <w:rsid w:val="00450765"/>
    <w:rsid w:val="0045099C"/>
    <w:rsid w:val="004514BE"/>
    <w:rsid w:val="004518C9"/>
    <w:rsid w:val="00451BF0"/>
    <w:rsid w:val="00451BF3"/>
    <w:rsid w:val="00451C11"/>
    <w:rsid w:val="00452609"/>
    <w:rsid w:val="00452BD3"/>
    <w:rsid w:val="004530A3"/>
    <w:rsid w:val="00453903"/>
    <w:rsid w:val="00453E60"/>
    <w:rsid w:val="004540B7"/>
    <w:rsid w:val="0045444B"/>
    <w:rsid w:val="00454ADF"/>
    <w:rsid w:val="004554CF"/>
    <w:rsid w:val="0045582E"/>
    <w:rsid w:val="00455CA7"/>
    <w:rsid w:val="00460520"/>
    <w:rsid w:val="00461820"/>
    <w:rsid w:val="00461B75"/>
    <w:rsid w:val="004621F0"/>
    <w:rsid w:val="00462835"/>
    <w:rsid w:val="00462BF0"/>
    <w:rsid w:val="00462D03"/>
    <w:rsid w:val="004631BB"/>
    <w:rsid w:val="004633E1"/>
    <w:rsid w:val="0046351A"/>
    <w:rsid w:val="00465800"/>
    <w:rsid w:val="00465DCD"/>
    <w:rsid w:val="00467A07"/>
    <w:rsid w:val="00467ACE"/>
    <w:rsid w:val="00470104"/>
    <w:rsid w:val="0047019F"/>
    <w:rsid w:val="004701CD"/>
    <w:rsid w:val="00470546"/>
    <w:rsid w:val="0047055A"/>
    <w:rsid w:val="0047098B"/>
    <w:rsid w:val="004718DA"/>
    <w:rsid w:val="00471AD9"/>
    <w:rsid w:val="00471BE5"/>
    <w:rsid w:val="00471E22"/>
    <w:rsid w:val="00472B50"/>
    <w:rsid w:val="004732EC"/>
    <w:rsid w:val="0047330A"/>
    <w:rsid w:val="00473572"/>
    <w:rsid w:val="00474C4C"/>
    <w:rsid w:val="00476AA0"/>
    <w:rsid w:val="00476D68"/>
    <w:rsid w:val="00477341"/>
    <w:rsid w:val="00481227"/>
    <w:rsid w:val="00481263"/>
    <w:rsid w:val="00481696"/>
    <w:rsid w:val="004819F2"/>
    <w:rsid w:val="00482CA2"/>
    <w:rsid w:val="00482DAE"/>
    <w:rsid w:val="004838D7"/>
    <w:rsid w:val="00484080"/>
    <w:rsid w:val="00484569"/>
    <w:rsid w:val="00485313"/>
    <w:rsid w:val="00485782"/>
    <w:rsid w:val="00485A9B"/>
    <w:rsid w:val="0048614C"/>
    <w:rsid w:val="004879D9"/>
    <w:rsid w:val="00490787"/>
    <w:rsid w:val="00490AC9"/>
    <w:rsid w:val="00490EBF"/>
    <w:rsid w:val="004912A6"/>
    <w:rsid w:val="0049148F"/>
    <w:rsid w:val="00491ABE"/>
    <w:rsid w:val="00491B07"/>
    <w:rsid w:val="00492AD9"/>
    <w:rsid w:val="00492C10"/>
    <w:rsid w:val="00493462"/>
    <w:rsid w:val="00493791"/>
    <w:rsid w:val="00494978"/>
    <w:rsid w:val="00497104"/>
    <w:rsid w:val="00497D10"/>
    <w:rsid w:val="004A01F4"/>
    <w:rsid w:val="004A07F3"/>
    <w:rsid w:val="004A085F"/>
    <w:rsid w:val="004A1177"/>
    <w:rsid w:val="004A1953"/>
    <w:rsid w:val="004A28FC"/>
    <w:rsid w:val="004A2B24"/>
    <w:rsid w:val="004A2BE0"/>
    <w:rsid w:val="004A30AF"/>
    <w:rsid w:val="004A38A8"/>
    <w:rsid w:val="004A5530"/>
    <w:rsid w:val="004A5B10"/>
    <w:rsid w:val="004A5C3A"/>
    <w:rsid w:val="004A5F19"/>
    <w:rsid w:val="004A6104"/>
    <w:rsid w:val="004A6822"/>
    <w:rsid w:val="004A6860"/>
    <w:rsid w:val="004A68D9"/>
    <w:rsid w:val="004B090A"/>
    <w:rsid w:val="004B18DC"/>
    <w:rsid w:val="004B1BD3"/>
    <w:rsid w:val="004B1FEA"/>
    <w:rsid w:val="004B297E"/>
    <w:rsid w:val="004B29B4"/>
    <w:rsid w:val="004B37C8"/>
    <w:rsid w:val="004B3C36"/>
    <w:rsid w:val="004B4AB4"/>
    <w:rsid w:val="004B4B82"/>
    <w:rsid w:val="004B53F0"/>
    <w:rsid w:val="004B580F"/>
    <w:rsid w:val="004B58F4"/>
    <w:rsid w:val="004B7853"/>
    <w:rsid w:val="004B79DE"/>
    <w:rsid w:val="004B7AC9"/>
    <w:rsid w:val="004B7AE4"/>
    <w:rsid w:val="004C003A"/>
    <w:rsid w:val="004C0201"/>
    <w:rsid w:val="004C0984"/>
    <w:rsid w:val="004C099A"/>
    <w:rsid w:val="004C0E9B"/>
    <w:rsid w:val="004C1EFB"/>
    <w:rsid w:val="004C286C"/>
    <w:rsid w:val="004C2963"/>
    <w:rsid w:val="004C37A5"/>
    <w:rsid w:val="004C40EF"/>
    <w:rsid w:val="004C496D"/>
    <w:rsid w:val="004C49A9"/>
    <w:rsid w:val="004C68C0"/>
    <w:rsid w:val="004C6E39"/>
    <w:rsid w:val="004C7318"/>
    <w:rsid w:val="004C7F53"/>
    <w:rsid w:val="004D0050"/>
    <w:rsid w:val="004D00ED"/>
    <w:rsid w:val="004D0C76"/>
    <w:rsid w:val="004D24BC"/>
    <w:rsid w:val="004D278D"/>
    <w:rsid w:val="004D2BA8"/>
    <w:rsid w:val="004D2FC3"/>
    <w:rsid w:val="004D3768"/>
    <w:rsid w:val="004D3D0C"/>
    <w:rsid w:val="004D4C15"/>
    <w:rsid w:val="004D5555"/>
    <w:rsid w:val="004D5732"/>
    <w:rsid w:val="004D59B0"/>
    <w:rsid w:val="004D5A2E"/>
    <w:rsid w:val="004D5FFB"/>
    <w:rsid w:val="004D66AC"/>
    <w:rsid w:val="004D6B04"/>
    <w:rsid w:val="004D6C51"/>
    <w:rsid w:val="004D6F9E"/>
    <w:rsid w:val="004D7044"/>
    <w:rsid w:val="004D73B1"/>
    <w:rsid w:val="004D7664"/>
    <w:rsid w:val="004D7EA1"/>
    <w:rsid w:val="004E002C"/>
    <w:rsid w:val="004E08B3"/>
    <w:rsid w:val="004E0AAA"/>
    <w:rsid w:val="004E0C37"/>
    <w:rsid w:val="004E1842"/>
    <w:rsid w:val="004E2577"/>
    <w:rsid w:val="004E3B31"/>
    <w:rsid w:val="004E40A1"/>
    <w:rsid w:val="004E60F4"/>
    <w:rsid w:val="004E6CCC"/>
    <w:rsid w:val="004E6CFE"/>
    <w:rsid w:val="004E6FBC"/>
    <w:rsid w:val="004E775B"/>
    <w:rsid w:val="004F01BF"/>
    <w:rsid w:val="004F0A63"/>
    <w:rsid w:val="004F1C46"/>
    <w:rsid w:val="004F2349"/>
    <w:rsid w:val="004F2440"/>
    <w:rsid w:val="004F2725"/>
    <w:rsid w:val="004F27EC"/>
    <w:rsid w:val="004F29BD"/>
    <w:rsid w:val="004F314F"/>
    <w:rsid w:val="004F4FDD"/>
    <w:rsid w:val="004F54B1"/>
    <w:rsid w:val="004F5783"/>
    <w:rsid w:val="004F5B23"/>
    <w:rsid w:val="004F67FA"/>
    <w:rsid w:val="004F6CF1"/>
    <w:rsid w:val="004F721A"/>
    <w:rsid w:val="004F730F"/>
    <w:rsid w:val="005013DF"/>
    <w:rsid w:val="00501C00"/>
    <w:rsid w:val="00502161"/>
    <w:rsid w:val="00503330"/>
    <w:rsid w:val="005033DF"/>
    <w:rsid w:val="0050367E"/>
    <w:rsid w:val="00503C3D"/>
    <w:rsid w:val="00504298"/>
    <w:rsid w:val="0050473E"/>
    <w:rsid w:val="00504C92"/>
    <w:rsid w:val="0050571E"/>
    <w:rsid w:val="005058D0"/>
    <w:rsid w:val="00506207"/>
    <w:rsid w:val="00506D76"/>
    <w:rsid w:val="0050720B"/>
    <w:rsid w:val="00507218"/>
    <w:rsid w:val="005078BE"/>
    <w:rsid w:val="00510614"/>
    <w:rsid w:val="0051088F"/>
    <w:rsid w:val="0051188D"/>
    <w:rsid w:val="00512FC4"/>
    <w:rsid w:val="00513456"/>
    <w:rsid w:val="005143BE"/>
    <w:rsid w:val="0051489F"/>
    <w:rsid w:val="00514D37"/>
    <w:rsid w:val="00515879"/>
    <w:rsid w:val="00515CEB"/>
    <w:rsid w:val="0051612D"/>
    <w:rsid w:val="00517CB3"/>
    <w:rsid w:val="005203C5"/>
    <w:rsid w:val="005205EB"/>
    <w:rsid w:val="00520AEF"/>
    <w:rsid w:val="00520CC3"/>
    <w:rsid w:val="0052116D"/>
    <w:rsid w:val="005217FE"/>
    <w:rsid w:val="00522723"/>
    <w:rsid w:val="00522E84"/>
    <w:rsid w:val="00523908"/>
    <w:rsid w:val="00526B6A"/>
    <w:rsid w:val="00526E36"/>
    <w:rsid w:val="0052734B"/>
    <w:rsid w:val="005279B7"/>
    <w:rsid w:val="00527E6F"/>
    <w:rsid w:val="00527EFB"/>
    <w:rsid w:val="005300AC"/>
    <w:rsid w:val="00530C76"/>
    <w:rsid w:val="00531BF0"/>
    <w:rsid w:val="00532020"/>
    <w:rsid w:val="00532836"/>
    <w:rsid w:val="00532E45"/>
    <w:rsid w:val="00532FC8"/>
    <w:rsid w:val="005335B6"/>
    <w:rsid w:val="005338CC"/>
    <w:rsid w:val="00533C0C"/>
    <w:rsid w:val="00534212"/>
    <w:rsid w:val="00534D68"/>
    <w:rsid w:val="00534F9D"/>
    <w:rsid w:val="00535A9A"/>
    <w:rsid w:val="00537D4E"/>
    <w:rsid w:val="00540038"/>
    <w:rsid w:val="005402EA"/>
    <w:rsid w:val="00540CB0"/>
    <w:rsid w:val="0054152C"/>
    <w:rsid w:val="00542216"/>
    <w:rsid w:val="00542503"/>
    <w:rsid w:val="00542FAD"/>
    <w:rsid w:val="00543284"/>
    <w:rsid w:val="00543727"/>
    <w:rsid w:val="00544A89"/>
    <w:rsid w:val="005454E6"/>
    <w:rsid w:val="005475E4"/>
    <w:rsid w:val="00547972"/>
    <w:rsid w:val="005501BE"/>
    <w:rsid w:val="00550276"/>
    <w:rsid w:val="0055027E"/>
    <w:rsid w:val="00550330"/>
    <w:rsid w:val="005505D8"/>
    <w:rsid w:val="005508E5"/>
    <w:rsid w:val="00550C84"/>
    <w:rsid w:val="0055110F"/>
    <w:rsid w:val="00551208"/>
    <w:rsid w:val="0055150A"/>
    <w:rsid w:val="00551F27"/>
    <w:rsid w:val="00552FE0"/>
    <w:rsid w:val="0055306E"/>
    <w:rsid w:val="00553129"/>
    <w:rsid w:val="00553441"/>
    <w:rsid w:val="00553A93"/>
    <w:rsid w:val="00553C6C"/>
    <w:rsid w:val="0055411E"/>
    <w:rsid w:val="00554988"/>
    <w:rsid w:val="005555A9"/>
    <w:rsid w:val="00555756"/>
    <w:rsid w:val="005558B2"/>
    <w:rsid w:val="005558F4"/>
    <w:rsid w:val="00557392"/>
    <w:rsid w:val="00560529"/>
    <w:rsid w:val="00560B6A"/>
    <w:rsid w:val="00560F92"/>
    <w:rsid w:val="00561997"/>
    <w:rsid w:val="0056242D"/>
    <w:rsid w:val="005626DC"/>
    <w:rsid w:val="00562862"/>
    <w:rsid w:val="00563463"/>
    <w:rsid w:val="0056383F"/>
    <w:rsid w:val="00563BBF"/>
    <w:rsid w:val="0056656E"/>
    <w:rsid w:val="00566694"/>
    <w:rsid w:val="00566845"/>
    <w:rsid w:val="00567189"/>
    <w:rsid w:val="00567234"/>
    <w:rsid w:val="005673FF"/>
    <w:rsid w:val="005674E9"/>
    <w:rsid w:val="005702F5"/>
    <w:rsid w:val="00570451"/>
    <w:rsid w:val="005725C8"/>
    <w:rsid w:val="00572927"/>
    <w:rsid w:val="005732E0"/>
    <w:rsid w:val="00573D9A"/>
    <w:rsid w:val="005744EB"/>
    <w:rsid w:val="00574F00"/>
    <w:rsid w:val="0057540C"/>
    <w:rsid w:val="0057569D"/>
    <w:rsid w:val="005759D8"/>
    <w:rsid w:val="00576A7C"/>
    <w:rsid w:val="00576DBF"/>
    <w:rsid w:val="00577614"/>
    <w:rsid w:val="0058055E"/>
    <w:rsid w:val="00580895"/>
    <w:rsid w:val="00580DB2"/>
    <w:rsid w:val="00581489"/>
    <w:rsid w:val="00581BE7"/>
    <w:rsid w:val="00581F9E"/>
    <w:rsid w:val="0058270D"/>
    <w:rsid w:val="00582AF1"/>
    <w:rsid w:val="00583950"/>
    <w:rsid w:val="00583D9A"/>
    <w:rsid w:val="00584944"/>
    <w:rsid w:val="00584B71"/>
    <w:rsid w:val="0058502F"/>
    <w:rsid w:val="0058769C"/>
    <w:rsid w:val="00590984"/>
    <w:rsid w:val="005913F3"/>
    <w:rsid w:val="0059168C"/>
    <w:rsid w:val="005919F4"/>
    <w:rsid w:val="00591E29"/>
    <w:rsid w:val="005928AC"/>
    <w:rsid w:val="00593E4C"/>
    <w:rsid w:val="00594B62"/>
    <w:rsid w:val="00594BBD"/>
    <w:rsid w:val="00595A9D"/>
    <w:rsid w:val="00596213"/>
    <w:rsid w:val="00596E67"/>
    <w:rsid w:val="00597731"/>
    <w:rsid w:val="00597765"/>
    <w:rsid w:val="005A00E5"/>
    <w:rsid w:val="005A072E"/>
    <w:rsid w:val="005A0CA4"/>
    <w:rsid w:val="005A158F"/>
    <w:rsid w:val="005A1682"/>
    <w:rsid w:val="005A1EF9"/>
    <w:rsid w:val="005A2C8B"/>
    <w:rsid w:val="005A3C4D"/>
    <w:rsid w:val="005A3DDB"/>
    <w:rsid w:val="005A449D"/>
    <w:rsid w:val="005A5245"/>
    <w:rsid w:val="005A54DC"/>
    <w:rsid w:val="005A55CA"/>
    <w:rsid w:val="005A592A"/>
    <w:rsid w:val="005A5FDD"/>
    <w:rsid w:val="005A6276"/>
    <w:rsid w:val="005A663E"/>
    <w:rsid w:val="005A7B8C"/>
    <w:rsid w:val="005B02E7"/>
    <w:rsid w:val="005B0524"/>
    <w:rsid w:val="005B138B"/>
    <w:rsid w:val="005B2696"/>
    <w:rsid w:val="005B2E07"/>
    <w:rsid w:val="005B38C1"/>
    <w:rsid w:val="005B3DCA"/>
    <w:rsid w:val="005B47F0"/>
    <w:rsid w:val="005B633B"/>
    <w:rsid w:val="005B6FB7"/>
    <w:rsid w:val="005B7803"/>
    <w:rsid w:val="005B7B4D"/>
    <w:rsid w:val="005B7B6B"/>
    <w:rsid w:val="005B7E0E"/>
    <w:rsid w:val="005C0016"/>
    <w:rsid w:val="005C21D9"/>
    <w:rsid w:val="005C21FD"/>
    <w:rsid w:val="005C2292"/>
    <w:rsid w:val="005C3034"/>
    <w:rsid w:val="005C35D2"/>
    <w:rsid w:val="005C3C93"/>
    <w:rsid w:val="005C42C7"/>
    <w:rsid w:val="005C48A2"/>
    <w:rsid w:val="005C49B4"/>
    <w:rsid w:val="005C4A8B"/>
    <w:rsid w:val="005C4C44"/>
    <w:rsid w:val="005C53D6"/>
    <w:rsid w:val="005C64D7"/>
    <w:rsid w:val="005C7572"/>
    <w:rsid w:val="005D02CF"/>
    <w:rsid w:val="005D08D5"/>
    <w:rsid w:val="005D195C"/>
    <w:rsid w:val="005D1BEB"/>
    <w:rsid w:val="005D2630"/>
    <w:rsid w:val="005D2F67"/>
    <w:rsid w:val="005D30A0"/>
    <w:rsid w:val="005D33CC"/>
    <w:rsid w:val="005D380D"/>
    <w:rsid w:val="005D38BE"/>
    <w:rsid w:val="005D3D7B"/>
    <w:rsid w:val="005D3D8C"/>
    <w:rsid w:val="005D4456"/>
    <w:rsid w:val="005D498D"/>
    <w:rsid w:val="005D513F"/>
    <w:rsid w:val="005D52F1"/>
    <w:rsid w:val="005D5428"/>
    <w:rsid w:val="005D562C"/>
    <w:rsid w:val="005D5D36"/>
    <w:rsid w:val="005D660A"/>
    <w:rsid w:val="005D6DAC"/>
    <w:rsid w:val="005D70D4"/>
    <w:rsid w:val="005D738C"/>
    <w:rsid w:val="005D7544"/>
    <w:rsid w:val="005D7D56"/>
    <w:rsid w:val="005E0373"/>
    <w:rsid w:val="005E0E14"/>
    <w:rsid w:val="005E129C"/>
    <w:rsid w:val="005E2341"/>
    <w:rsid w:val="005E2346"/>
    <w:rsid w:val="005E2ACB"/>
    <w:rsid w:val="005E2B5D"/>
    <w:rsid w:val="005E31F6"/>
    <w:rsid w:val="005E382A"/>
    <w:rsid w:val="005E393F"/>
    <w:rsid w:val="005E4328"/>
    <w:rsid w:val="005E4362"/>
    <w:rsid w:val="005E45BC"/>
    <w:rsid w:val="005E50A0"/>
    <w:rsid w:val="005E5512"/>
    <w:rsid w:val="005E5858"/>
    <w:rsid w:val="005E598E"/>
    <w:rsid w:val="005E6443"/>
    <w:rsid w:val="005E654B"/>
    <w:rsid w:val="005E654F"/>
    <w:rsid w:val="005E68F3"/>
    <w:rsid w:val="005E7406"/>
    <w:rsid w:val="005E7750"/>
    <w:rsid w:val="005E7E96"/>
    <w:rsid w:val="005F01A5"/>
    <w:rsid w:val="005F1065"/>
    <w:rsid w:val="005F1128"/>
    <w:rsid w:val="005F1143"/>
    <w:rsid w:val="005F1658"/>
    <w:rsid w:val="005F33C6"/>
    <w:rsid w:val="005F4E70"/>
    <w:rsid w:val="005F54B0"/>
    <w:rsid w:val="005F5EA4"/>
    <w:rsid w:val="005F6E3B"/>
    <w:rsid w:val="005F7232"/>
    <w:rsid w:val="005F73CB"/>
    <w:rsid w:val="005F75A1"/>
    <w:rsid w:val="005F7DA3"/>
    <w:rsid w:val="0060055F"/>
    <w:rsid w:val="006007E7"/>
    <w:rsid w:val="00601A8B"/>
    <w:rsid w:val="00601E8D"/>
    <w:rsid w:val="006020A8"/>
    <w:rsid w:val="006021C9"/>
    <w:rsid w:val="006028AA"/>
    <w:rsid w:val="00602D53"/>
    <w:rsid w:val="0060330D"/>
    <w:rsid w:val="00603FA4"/>
    <w:rsid w:val="00604C1A"/>
    <w:rsid w:val="0060523C"/>
    <w:rsid w:val="00605B0F"/>
    <w:rsid w:val="00605ECB"/>
    <w:rsid w:val="0060638F"/>
    <w:rsid w:val="006068EE"/>
    <w:rsid w:val="0060781F"/>
    <w:rsid w:val="00607D82"/>
    <w:rsid w:val="0061045D"/>
    <w:rsid w:val="0061059F"/>
    <w:rsid w:val="00610C54"/>
    <w:rsid w:val="00610DCF"/>
    <w:rsid w:val="00611E4B"/>
    <w:rsid w:val="00612D37"/>
    <w:rsid w:val="006136C9"/>
    <w:rsid w:val="006138D8"/>
    <w:rsid w:val="00613988"/>
    <w:rsid w:val="00613D38"/>
    <w:rsid w:val="00613E6C"/>
    <w:rsid w:val="006157A6"/>
    <w:rsid w:val="006163DD"/>
    <w:rsid w:val="0061680E"/>
    <w:rsid w:val="00616CBF"/>
    <w:rsid w:val="00616D1B"/>
    <w:rsid w:val="006179EE"/>
    <w:rsid w:val="006202DB"/>
    <w:rsid w:val="00620411"/>
    <w:rsid w:val="00620B9A"/>
    <w:rsid w:val="00620DC3"/>
    <w:rsid w:val="00620F76"/>
    <w:rsid w:val="006219C6"/>
    <w:rsid w:val="00622227"/>
    <w:rsid w:val="00622E51"/>
    <w:rsid w:val="00624283"/>
    <w:rsid w:val="00626137"/>
    <w:rsid w:val="00626215"/>
    <w:rsid w:val="006263A8"/>
    <w:rsid w:val="00626883"/>
    <w:rsid w:val="00627E5C"/>
    <w:rsid w:val="006301C1"/>
    <w:rsid w:val="00630488"/>
    <w:rsid w:val="00630A91"/>
    <w:rsid w:val="0063283F"/>
    <w:rsid w:val="00632A34"/>
    <w:rsid w:val="00632B2B"/>
    <w:rsid w:val="00632CC9"/>
    <w:rsid w:val="00632D74"/>
    <w:rsid w:val="006330D6"/>
    <w:rsid w:val="00633CB3"/>
    <w:rsid w:val="00633DE1"/>
    <w:rsid w:val="00634E3B"/>
    <w:rsid w:val="00635DED"/>
    <w:rsid w:val="006364A1"/>
    <w:rsid w:val="006366F6"/>
    <w:rsid w:val="00636A90"/>
    <w:rsid w:val="00636AE8"/>
    <w:rsid w:val="00636ECB"/>
    <w:rsid w:val="006374B1"/>
    <w:rsid w:val="00637892"/>
    <w:rsid w:val="00637AE7"/>
    <w:rsid w:val="006408EF"/>
    <w:rsid w:val="00642331"/>
    <w:rsid w:val="00643C36"/>
    <w:rsid w:val="006441E4"/>
    <w:rsid w:val="00646CEE"/>
    <w:rsid w:val="00646E06"/>
    <w:rsid w:val="006471EB"/>
    <w:rsid w:val="006476AF"/>
    <w:rsid w:val="00647767"/>
    <w:rsid w:val="006506B6"/>
    <w:rsid w:val="006521CB"/>
    <w:rsid w:val="00652F2F"/>
    <w:rsid w:val="0065321C"/>
    <w:rsid w:val="0065324A"/>
    <w:rsid w:val="00653619"/>
    <w:rsid w:val="0065365D"/>
    <w:rsid w:val="00653DFD"/>
    <w:rsid w:val="00654E68"/>
    <w:rsid w:val="00654F2F"/>
    <w:rsid w:val="006558B4"/>
    <w:rsid w:val="00655A95"/>
    <w:rsid w:val="00660621"/>
    <w:rsid w:val="00660832"/>
    <w:rsid w:val="00660DBF"/>
    <w:rsid w:val="00662573"/>
    <w:rsid w:val="006626D0"/>
    <w:rsid w:val="006626EA"/>
    <w:rsid w:val="00662BA2"/>
    <w:rsid w:val="00662BEE"/>
    <w:rsid w:val="00662F6F"/>
    <w:rsid w:val="0066511E"/>
    <w:rsid w:val="0066525A"/>
    <w:rsid w:val="006655B6"/>
    <w:rsid w:val="00665990"/>
    <w:rsid w:val="0066599F"/>
    <w:rsid w:val="00665D0E"/>
    <w:rsid w:val="0066635E"/>
    <w:rsid w:val="00666F04"/>
    <w:rsid w:val="00670CE5"/>
    <w:rsid w:val="00671729"/>
    <w:rsid w:val="00671D28"/>
    <w:rsid w:val="0067264C"/>
    <w:rsid w:val="0067298E"/>
    <w:rsid w:val="0067306C"/>
    <w:rsid w:val="00673173"/>
    <w:rsid w:val="00673B55"/>
    <w:rsid w:val="0067404C"/>
    <w:rsid w:val="00674207"/>
    <w:rsid w:val="00674279"/>
    <w:rsid w:val="00674473"/>
    <w:rsid w:val="00675853"/>
    <w:rsid w:val="00675B4A"/>
    <w:rsid w:val="00675E07"/>
    <w:rsid w:val="00676328"/>
    <w:rsid w:val="006765E7"/>
    <w:rsid w:val="00676B77"/>
    <w:rsid w:val="006809F3"/>
    <w:rsid w:val="00680B0F"/>
    <w:rsid w:val="00681362"/>
    <w:rsid w:val="00681EDA"/>
    <w:rsid w:val="006824A6"/>
    <w:rsid w:val="006828E0"/>
    <w:rsid w:val="00682B64"/>
    <w:rsid w:val="0068303D"/>
    <w:rsid w:val="00683AF2"/>
    <w:rsid w:val="00684ECF"/>
    <w:rsid w:val="0068541F"/>
    <w:rsid w:val="00685931"/>
    <w:rsid w:val="00686294"/>
    <w:rsid w:val="00686F05"/>
    <w:rsid w:val="00690E8E"/>
    <w:rsid w:val="006910A4"/>
    <w:rsid w:val="00691966"/>
    <w:rsid w:val="00691A52"/>
    <w:rsid w:val="0069311E"/>
    <w:rsid w:val="00693617"/>
    <w:rsid w:val="00693DD2"/>
    <w:rsid w:val="0069418B"/>
    <w:rsid w:val="00694923"/>
    <w:rsid w:val="00694D2E"/>
    <w:rsid w:val="0069538E"/>
    <w:rsid w:val="00695D6B"/>
    <w:rsid w:val="0069749C"/>
    <w:rsid w:val="00697BC5"/>
    <w:rsid w:val="006A167F"/>
    <w:rsid w:val="006A21C0"/>
    <w:rsid w:val="006A2750"/>
    <w:rsid w:val="006A29A4"/>
    <w:rsid w:val="006A2EA5"/>
    <w:rsid w:val="006A3467"/>
    <w:rsid w:val="006A3E42"/>
    <w:rsid w:val="006A48AA"/>
    <w:rsid w:val="006A5504"/>
    <w:rsid w:val="006A5CF3"/>
    <w:rsid w:val="006A649B"/>
    <w:rsid w:val="006A7FCE"/>
    <w:rsid w:val="006B0379"/>
    <w:rsid w:val="006B0655"/>
    <w:rsid w:val="006B0B55"/>
    <w:rsid w:val="006B1117"/>
    <w:rsid w:val="006B1664"/>
    <w:rsid w:val="006B1EA7"/>
    <w:rsid w:val="006B230A"/>
    <w:rsid w:val="006B2A40"/>
    <w:rsid w:val="006B2B54"/>
    <w:rsid w:val="006B3086"/>
    <w:rsid w:val="006B33D4"/>
    <w:rsid w:val="006B3479"/>
    <w:rsid w:val="006B3628"/>
    <w:rsid w:val="006B37C1"/>
    <w:rsid w:val="006B3DCE"/>
    <w:rsid w:val="006B4069"/>
    <w:rsid w:val="006B43BD"/>
    <w:rsid w:val="006B4A15"/>
    <w:rsid w:val="006B4C2E"/>
    <w:rsid w:val="006B5D92"/>
    <w:rsid w:val="006B63D3"/>
    <w:rsid w:val="006B646C"/>
    <w:rsid w:val="006B72B5"/>
    <w:rsid w:val="006C0A3C"/>
    <w:rsid w:val="006C1468"/>
    <w:rsid w:val="006C1783"/>
    <w:rsid w:val="006C1B3D"/>
    <w:rsid w:val="006C2CD2"/>
    <w:rsid w:val="006C3298"/>
    <w:rsid w:val="006C3329"/>
    <w:rsid w:val="006C341B"/>
    <w:rsid w:val="006C3657"/>
    <w:rsid w:val="006C42BC"/>
    <w:rsid w:val="006C42D0"/>
    <w:rsid w:val="006C4387"/>
    <w:rsid w:val="006C4528"/>
    <w:rsid w:val="006C46A3"/>
    <w:rsid w:val="006C4ABE"/>
    <w:rsid w:val="006C704E"/>
    <w:rsid w:val="006C7623"/>
    <w:rsid w:val="006C76DD"/>
    <w:rsid w:val="006D021D"/>
    <w:rsid w:val="006D03D3"/>
    <w:rsid w:val="006D087B"/>
    <w:rsid w:val="006D0A98"/>
    <w:rsid w:val="006D0AC5"/>
    <w:rsid w:val="006D2AF2"/>
    <w:rsid w:val="006D327C"/>
    <w:rsid w:val="006D368B"/>
    <w:rsid w:val="006D3F42"/>
    <w:rsid w:val="006D49CE"/>
    <w:rsid w:val="006D4C45"/>
    <w:rsid w:val="006D5F08"/>
    <w:rsid w:val="006D6CA1"/>
    <w:rsid w:val="006D70D2"/>
    <w:rsid w:val="006D73F8"/>
    <w:rsid w:val="006D787C"/>
    <w:rsid w:val="006E0A11"/>
    <w:rsid w:val="006E0AAF"/>
    <w:rsid w:val="006E0AEC"/>
    <w:rsid w:val="006E0B28"/>
    <w:rsid w:val="006E10AB"/>
    <w:rsid w:val="006E169E"/>
    <w:rsid w:val="006E20FE"/>
    <w:rsid w:val="006E22F3"/>
    <w:rsid w:val="006E39CD"/>
    <w:rsid w:val="006E424F"/>
    <w:rsid w:val="006E64C5"/>
    <w:rsid w:val="006E7AB3"/>
    <w:rsid w:val="006F0BD5"/>
    <w:rsid w:val="006F171A"/>
    <w:rsid w:val="006F187F"/>
    <w:rsid w:val="006F18FA"/>
    <w:rsid w:val="006F1A77"/>
    <w:rsid w:val="006F2476"/>
    <w:rsid w:val="006F3438"/>
    <w:rsid w:val="006F3D32"/>
    <w:rsid w:val="006F514B"/>
    <w:rsid w:val="006F5639"/>
    <w:rsid w:val="006F57F5"/>
    <w:rsid w:val="006F5901"/>
    <w:rsid w:val="006F63CA"/>
    <w:rsid w:val="006F6642"/>
    <w:rsid w:val="006F66A5"/>
    <w:rsid w:val="006F7384"/>
    <w:rsid w:val="006F7917"/>
    <w:rsid w:val="00700522"/>
    <w:rsid w:val="00700618"/>
    <w:rsid w:val="00700DDB"/>
    <w:rsid w:val="007013A8"/>
    <w:rsid w:val="00703778"/>
    <w:rsid w:val="00704578"/>
    <w:rsid w:val="00704ADF"/>
    <w:rsid w:val="00705425"/>
    <w:rsid w:val="007073B0"/>
    <w:rsid w:val="007079BF"/>
    <w:rsid w:val="00710F2F"/>
    <w:rsid w:val="00711A4A"/>
    <w:rsid w:val="00711D99"/>
    <w:rsid w:val="0071245C"/>
    <w:rsid w:val="00713F8D"/>
    <w:rsid w:val="007142ED"/>
    <w:rsid w:val="00714CC8"/>
    <w:rsid w:val="00714FE9"/>
    <w:rsid w:val="00715393"/>
    <w:rsid w:val="00715CE0"/>
    <w:rsid w:val="00715F33"/>
    <w:rsid w:val="00716161"/>
    <w:rsid w:val="0071684D"/>
    <w:rsid w:val="0071703A"/>
    <w:rsid w:val="00717509"/>
    <w:rsid w:val="007179C8"/>
    <w:rsid w:val="00717D90"/>
    <w:rsid w:val="00717E8E"/>
    <w:rsid w:val="007208E4"/>
    <w:rsid w:val="007209E6"/>
    <w:rsid w:val="0072160D"/>
    <w:rsid w:val="00721846"/>
    <w:rsid w:val="00721961"/>
    <w:rsid w:val="00722B60"/>
    <w:rsid w:val="00722CBB"/>
    <w:rsid w:val="00723249"/>
    <w:rsid w:val="007241E4"/>
    <w:rsid w:val="007256D3"/>
    <w:rsid w:val="00726304"/>
    <w:rsid w:val="007273B5"/>
    <w:rsid w:val="00727986"/>
    <w:rsid w:val="0073099D"/>
    <w:rsid w:val="0073183D"/>
    <w:rsid w:val="007320B0"/>
    <w:rsid w:val="007328BB"/>
    <w:rsid w:val="00732F20"/>
    <w:rsid w:val="007339D7"/>
    <w:rsid w:val="00734E6B"/>
    <w:rsid w:val="0073633D"/>
    <w:rsid w:val="007366B1"/>
    <w:rsid w:val="007366EC"/>
    <w:rsid w:val="00736827"/>
    <w:rsid w:val="007369D8"/>
    <w:rsid w:val="00736EF3"/>
    <w:rsid w:val="007372A3"/>
    <w:rsid w:val="00737721"/>
    <w:rsid w:val="00737A7B"/>
    <w:rsid w:val="007400D8"/>
    <w:rsid w:val="007413C2"/>
    <w:rsid w:val="007418CB"/>
    <w:rsid w:val="00741AB5"/>
    <w:rsid w:val="00742556"/>
    <w:rsid w:val="0074284D"/>
    <w:rsid w:val="00742AAC"/>
    <w:rsid w:val="00743DC1"/>
    <w:rsid w:val="00744D9F"/>
    <w:rsid w:val="00745232"/>
    <w:rsid w:val="007456F6"/>
    <w:rsid w:val="00746FB4"/>
    <w:rsid w:val="007472DB"/>
    <w:rsid w:val="0074732F"/>
    <w:rsid w:val="00747805"/>
    <w:rsid w:val="00747F6D"/>
    <w:rsid w:val="00747F84"/>
    <w:rsid w:val="00747FC3"/>
    <w:rsid w:val="007504E4"/>
    <w:rsid w:val="0075050C"/>
    <w:rsid w:val="00750C5E"/>
    <w:rsid w:val="00750EDF"/>
    <w:rsid w:val="00750FC9"/>
    <w:rsid w:val="007511E6"/>
    <w:rsid w:val="00753065"/>
    <w:rsid w:val="0075390F"/>
    <w:rsid w:val="00754875"/>
    <w:rsid w:val="00755212"/>
    <w:rsid w:val="00755384"/>
    <w:rsid w:val="0075560B"/>
    <w:rsid w:val="0075678B"/>
    <w:rsid w:val="00756DB4"/>
    <w:rsid w:val="0075766F"/>
    <w:rsid w:val="00757908"/>
    <w:rsid w:val="00761659"/>
    <w:rsid w:val="00761BF9"/>
    <w:rsid w:val="00761E0F"/>
    <w:rsid w:val="00762752"/>
    <w:rsid w:val="0076296A"/>
    <w:rsid w:val="00762DC2"/>
    <w:rsid w:val="00763561"/>
    <w:rsid w:val="00763944"/>
    <w:rsid w:val="00763AD6"/>
    <w:rsid w:val="00764C27"/>
    <w:rsid w:val="00765022"/>
    <w:rsid w:val="00765833"/>
    <w:rsid w:val="00765BBB"/>
    <w:rsid w:val="00766AEF"/>
    <w:rsid w:val="007706BF"/>
    <w:rsid w:val="00770B12"/>
    <w:rsid w:val="00771717"/>
    <w:rsid w:val="00771B7B"/>
    <w:rsid w:val="007720C7"/>
    <w:rsid w:val="00772391"/>
    <w:rsid w:val="0077404B"/>
    <w:rsid w:val="007742C5"/>
    <w:rsid w:val="0077476F"/>
    <w:rsid w:val="007751AC"/>
    <w:rsid w:val="00775703"/>
    <w:rsid w:val="007760AF"/>
    <w:rsid w:val="00776B45"/>
    <w:rsid w:val="00777DDD"/>
    <w:rsid w:val="007804CF"/>
    <w:rsid w:val="007806E2"/>
    <w:rsid w:val="00781483"/>
    <w:rsid w:val="0078206D"/>
    <w:rsid w:val="007825E8"/>
    <w:rsid w:val="00782B4C"/>
    <w:rsid w:val="007838BC"/>
    <w:rsid w:val="007839BA"/>
    <w:rsid w:val="00783BE9"/>
    <w:rsid w:val="00783F12"/>
    <w:rsid w:val="007844B9"/>
    <w:rsid w:val="00784705"/>
    <w:rsid w:val="00785213"/>
    <w:rsid w:val="0078573D"/>
    <w:rsid w:val="00785EAB"/>
    <w:rsid w:val="00786199"/>
    <w:rsid w:val="00786855"/>
    <w:rsid w:val="00786BFB"/>
    <w:rsid w:val="00787586"/>
    <w:rsid w:val="007875ED"/>
    <w:rsid w:val="00787638"/>
    <w:rsid w:val="00787FA5"/>
    <w:rsid w:val="00790415"/>
    <w:rsid w:val="00790489"/>
    <w:rsid w:val="00791248"/>
    <w:rsid w:val="007917B7"/>
    <w:rsid w:val="00791877"/>
    <w:rsid w:val="00791D5F"/>
    <w:rsid w:val="007921AA"/>
    <w:rsid w:val="00792884"/>
    <w:rsid w:val="0079293B"/>
    <w:rsid w:val="007930D9"/>
    <w:rsid w:val="0079410B"/>
    <w:rsid w:val="007950A4"/>
    <w:rsid w:val="007953F4"/>
    <w:rsid w:val="00795CF8"/>
    <w:rsid w:val="00796049"/>
    <w:rsid w:val="007965D6"/>
    <w:rsid w:val="0079694C"/>
    <w:rsid w:val="00797AEA"/>
    <w:rsid w:val="00797C84"/>
    <w:rsid w:val="00797E91"/>
    <w:rsid w:val="007A0DBF"/>
    <w:rsid w:val="007A30AC"/>
    <w:rsid w:val="007A32B8"/>
    <w:rsid w:val="007A37DF"/>
    <w:rsid w:val="007A3D07"/>
    <w:rsid w:val="007A462F"/>
    <w:rsid w:val="007A516C"/>
    <w:rsid w:val="007A52F8"/>
    <w:rsid w:val="007A634D"/>
    <w:rsid w:val="007A6D6C"/>
    <w:rsid w:val="007A72B8"/>
    <w:rsid w:val="007A7BFE"/>
    <w:rsid w:val="007B0064"/>
    <w:rsid w:val="007B0DCF"/>
    <w:rsid w:val="007B10F2"/>
    <w:rsid w:val="007B11E1"/>
    <w:rsid w:val="007B161C"/>
    <w:rsid w:val="007B1806"/>
    <w:rsid w:val="007B1FE4"/>
    <w:rsid w:val="007B20DD"/>
    <w:rsid w:val="007B2734"/>
    <w:rsid w:val="007B2D56"/>
    <w:rsid w:val="007B2E69"/>
    <w:rsid w:val="007B30B3"/>
    <w:rsid w:val="007B55E8"/>
    <w:rsid w:val="007B5F03"/>
    <w:rsid w:val="007B6548"/>
    <w:rsid w:val="007B750E"/>
    <w:rsid w:val="007B7A2F"/>
    <w:rsid w:val="007B7E0D"/>
    <w:rsid w:val="007C065D"/>
    <w:rsid w:val="007C06FE"/>
    <w:rsid w:val="007C1801"/>
    <w:rsid w:val="007C1B33"/>
    <w:rsid w:val="007C1EA8"/>
    <w:rsid w:val="007C25B5"/>
    <w:rsid w:val="007C279E"/>
    <w:rsid w:val="007C2DAF"/>
    <w:rsid w:val="007C42C8"/>
    <w:rsid w:val="007C513E"/>
    <w:rsid w:val="007C52F9"/>
    <w:rsid w:val="007C571A"/>
    <w:rsid w:val="007C57AD"/>
    <w:rsid w:val="007C5A1F"/>
    <w:rsid w:val="007C70D6"/>
    <w:rsid w:val="007C751F"/>
    <w:rsid w:val="007C78C8"/>
    <w:rsid w:val="007C78D8"/>
    <w:rsid w:val="007D120B"/>
    <w:rsid w:val="007D1CCF"/>
    <w:rsid w:val="007D2944"/>
    <w:rsid w:val="007D2AF8"/>
    <w:rsid w:val="007D2E10"/>
    <w:rsid w:val="007D3D03"/>
    <w:rsid w:val="007D431C"/>
    <w:rsid w:val="007D46A7"/>
    <w:rsid w:val="007D5805"/>
    <w:rsid w:val="007D606E"/>
    <w:rsid w:val="007D6221"/>
    <w:rsid w:val="007D74CF"/>
    <w:rsid w:val="007D7C47"/>
    <w:rsid w:val="007E0560"/>
    <w:rsid w:val="007E22B2"/>
    <w:rsid w:val="007E25FD"/>
    <w:rsid w:val="007E2C8C"/>
    <w:rsid w:val="007E376D"/>
    <w:rsid w:val="007E382C"/>
    <w:rsid w:val="007E3953"/>
    <w:rsid w:val="007E3B61"/>
    <w:rsid w:val="007E45A5"/>
    <w:rsid w:val="007E4B7B"/>
    <w:rsid w:val="007E4D76"/>
    <w:rsid w:val="007E506B"/>
    <w:rsid w:val="007E52C4"/>
    <w:rsid w:val="007E5520"/>
    <w:rsid w:val="007E60F9"/>
    <w:rsid w:val="007E6C59"/>
    <w:rsid w:val="007E6E59"/>
    <w:rsid w:val="007F08B0"/>
    <w:rsid w:val="007F0A35"/>
    <w:rsid w:val="007F0A6A"/>
    <w:rsid w:val="007F0B8F"/>
    <w:rsid w:val="007F0FDC"/>
    <w:rsid w:val="007F10CA"/>
    <w:rsid w:val="007F2179"/>
    <w:rsid w:val="007F4932"/>
    <w:rsid w:val="007F5687"/>
    <w:rsid w:val="007F6494"/>
    <w:rsid w:val="007F686D"/>
    <w:rsid w:val="007F70E6"/>
    <w:rsid w:val="007F7292"/>
    <w:rsid w:val="007F7BF5"/>
    <w:rsid w:val="008003B0"/>
    <w:rsid w:val="008006C0"/>
    <w:rsid w:val="00801563"/>
    <w:rsid w:val="00801B8D"/>
    <w:rsid w:val="00802224"/>
    <w:rsid w:val="00802AA4"/>
    <w:rsid w:val="00803172"/>
    <w:rsid w:val="00803983"/>
    <w:rsid w:val="00804802"/>
    <w:rsid w:val="00805069"/>
    <w:rsid w:val="008059D2"/>
    <w:rsid w:val="00805B32"/>
    <w:rsid w:val="00805D92"/>
    <w:rsid w:val="00806652"/>
    <w:rsid w:val="0080668A"/>
    <w:rsid w:val="00806BC2"/>
    <w:rsid w:val="008071B1"/>
    <w:rsid w:val="008071F7"/>
    <w:rsid w:val="00810640"/>
    <w:rsid w:val="00810847"/>
    <w:rsid w:val="0081170B"/>
    <w:rsid w:val="00811A52"/>
    <w:rsid w:val="00811DB5"/>
    <w:rsid w:val="008121EA"/>
    <w:rsid w:val="00812765"/>
    <w:rsid w:val="00812A79"/>
    <w:rsid w:val="00812D0E"/>
    <w:rsid w:val="00812D22"/>
    <w:rsid w:val="008132C2"/>
    <w:rsid w:val="0081438E"/>
    <w:rsid w:val="008144D6"/>
    <w:rsid w:val="008144F2"/>
    <w:rsid w:val="008145CA"/>
    <w:rsid w:val="00815CB3"/>
    <w:rsid w:val="008166A7"/>
    <w:rsid w:val="00816B0E"/>
    <w:rsid w:val="008171E1"/>
    <w:rsid w:val="008176D7"/>
    <w:rsid w:val="0081785C"/>
    <w:rsid w:val="00820311"/>
    <w:rsid w:val="00820605"/>
    <w:rsid w:val="008210A9"/>
    <w:rsid w:val="00821227"/>
    <w:rsid w:val="008215E2"/>
    <w:rsid w:val="00821A25"/>
    <w:rsid w:val="00821A2F"/>
    <w:rsid w:val="00821BA7"/>
    <w:rsid w:val="00821C7A"/>
    <w:rsid w:val="008220C3"/>
    <w:rsid w:val="0082231E"/>
    <w:rsid w:val="008224D0"/>
    <w:rsid w:val="00822595"/>
    <w:rsid w:val="00822CC3"/>
    <w:rsid w:val="008233F9"/>
    <w:rsid w:val="0082450F"/>
    <w:rsid w:val="00824695"/>
    <w:rsid w:val="00825536"/>
    <w:rsid w:val="00825983"/>
    <w:rsid w:val="00825F84"/>
    <w:rsid w:val="00825F94"/>
    <w:rsid w:val="00826047"/>
    <w:rsid w:val="00826098"/>
    <w:rsid w:val="008278AA"/>
    <w:rsid w:val="00830712"/>
    <w:rsid w:val="008316A1"/>
    <w:rsid w:val="00832050"/>
    <w:rsid w:val="00832B3A"/>
    <w:rsid w:val="00832BED"/>
    <w:rsid w:val="00832CEC"/>
    <w:rsid w:val="0083320D"/>
    <w:rsid w:val="00833F8B"/>
    <w:rsid w:val="00834619"/>
    <w:rsid w:val="00834C7D"/>
    <w:rsid w:val="00835264"/>
    <w:rsid w:val="0083542C"/>
    <w:rsid w:val="00836243"/>
    <w:rsid w:val="008362D6"/>
    <w:rsid w:val="00836924"/>
    <w:rsid w:val="00836A91"/>
    <w:rsid w:val="00836F70"/>
    <w:rsid w:val="008378DF"/>
    <w:rsid w:val="00837D35"/>
    <w:rsid w:val="00837D6F"/>
    <w:rsid w:val="00840D9B"/>
    <w:rsid w:val="00841B56"/>
    <w:rsid w:val="00841F10"/>
    <w:rsid w:val="00843BEB"/>
    <w:rsid w:val="0084402F"/>
    <w:rsid w:val="008453B2"/>
    <w:rsid w:val="00846B56"/>
    <w:rsid w:val="00846B91"/>
    <w:rsid w:val="00847692"/>
    <w:rsid w:val="00850A77"/>
    <w:rsid w:val="00850B16"/>
    <w:rsid w:val="00851B91"/>
    <w:rsid w:val="00852477"/>
    <w:rsid w:val="00852F52"/>
    <w:rsid w:val="0085444A"/>
    <w:rsid w:val="008561F1"/>
    <w:rsid w:val="00856B3D"/>
    <w:rsid w:val="00856FB3"/>
    <w:rsid w:val="0085766A"/>
    <w:rsid w:val="00860A84"/>
    <w:rsid w:val="00860B15"/>
    <w:rsid w:val="00861D4D"/>
    <w:rsid w:val="0086226B"/>
    <w:rsid w:val="008628C3"/>
    <w:rsid w:val="00864174"/>
    <w:rsid w:val="008660F8"/>
    <w:rsid w:val="008667F8"/>
    <w:rsid w:val="00867308"/>
    <w:rsid w:val="00867E32"/>
    <w:rsid w:val="008701C2"/>
    <w:rsid w:val="008728C5"/>
    <w:rsid w:val="00872F4C"/>
    <w:rsid w:val="0087315E"/>
    <w:rsid w:val="008733C3"/>
    <w:rsid w:val="008740B3"/>
    <w:rsid w:val="00874C17"/>
    <w:rsid w:val="00876B06"/>
    <w:rsid w:val="00876E81"/>
    <w:rsid w:val="00880046"/>
    <w:rsid w:val="008809A8"/>
    <w:rsid w:val="00881930"/>
    <w:rsid w:val="00881B79"/>
    <w:rsid w:val="00881C53"/>
    <w:rsid w:val="00882A84"/>
    <w:rsid w:val="0088516C"/>
    <w:rsid w:val="00885500"/>
    <w:rsid w:val="00885A48"/>
    <w:rsid w:val="00885D54"/>
    <w:rsid w:val="00885D73"/>
    <w:rsid w:val="00886464"/>
    <w:rsid w:val="00887063"/>
    <w:rsid w:val="008876BD"/>
    <w:rsid w:val="0089014A"/>
    <w:rsid w:val="00890A88"/>
    <w:rsid w:val="00891042"/>
    <w:rsid w:val="00892556"/>
    <w:rsid w:val="00892655"/>
    <w:rsid w:val="0089296D"/>
    <w:rsid w:val="00892BC1"/>
    <w:rsid w:val="0089310F"/>
    <w:rsid w:val="00893D42"/>
    <w:rsid w:val="00893F46"/>
    <w:rsid w:val="00894295"/>
    <w:rsid w:val="00895B8D"/>
    <w:rsid w:val="008976AF"/>
    <w:rsid w:val="008978E1"/>
    <w:rsid w:val="00897995"/>
    <w:rsid w:val="00897B59"/>
    <w:rsid w:val="008A0850"/>
    <w:rsid w:val="008A0EA2"/>
    <w:rsid w:val="008A0FF8"/>
    <w:rsid w:val="008A189B"/>
    <w:rsid w:val="008A1CC2"/>
    <w:rsid w:val="008A1D07"/>
    <w:rsid w:val="008A21E1"/>
    <w:rsid w:val="008A2A52"/>
    <w:rsid w:val="008A3130"/>
    <w:rsid w:val="008A40D5"/>
    <w:rsid w:val="008A4F81"/>
    <w:rsid w:val="008A567E"/>
    <w:rsid w:val="008A5BD8"/>
    <w:rsid w:val="008A5FE4"/>
    <w:rsid w:val="008A6027"/>
    <w:rsid w:val="008A67D5"/>
    <w:rsid w:val="008A7B54"/>
    <w:rsid w:val="008B06DD"/>
    <w:rsid w:val="008B08FB"/>
    <w:rsid w:val="008B11D7"/>
    <w:rsid w:val="008B1862"/>
    <w:rsid w:val="008B25EB"/>
    <w:rsid w:val="008B2D97"/>
    <w:rsid w:val="008B346D"/>
    <w:rsid w:val="008B3541"/>
    <w:rsid w:val="008B402B"/>
    <w:rsid w:val="008B49B3"/>
    <w:rsid w:val="008B5832"/>
    <w:rsid w:val="008B5BD0"/>
    <w:rsid w:val="008B65EE"/>
    <w:rsid w:val="008B6B9C"/>
    <w:rsid w:val="008B715F"/>
    <w:rsid w:val="008C074F"/>
    <w:rsid w:val="008C0C49"/>
    <w:rsid w:val="008C1624"/>
    <w:rsid w:val="008C1F28"/>
    <w:rsid w:val="008C2414"/>
    <w:rsid w:val="008C242F"/>
    <w:rsid w:val="008C357E"/>
    <w:rsid w:val="008C3E70"/>
    <w:rsid w:val="008C4944"/>
    <w:rsid w:val="008C5B32"/>
    <w:rsid w:val="008C60FB"/>
    <w:rsid w:val="008C63BC"/>
    <w:rsid w:val="008C63EE"/>
    <w:rsid w:val="008C6495"/>
    <w:rsid w:val="008C7461"/>
    <w:rsid w:val="008D06AA"/>
    <w:rsid w:val="008D07C2"/>
    <w:rsid w:val="008D123A"/>
    <w:rsid w:val="008D1EA2"/>
    <w:rsid w:val="008D359C"/>
    <w:rsid w:val="008D3634"/>
    <w:rsid w:val="008D411D"/>
    <w:rsid w:val="008D58DB"/>
    <w:rsid w:val="008D5A77"/>
    <w:rsid w:val="008D5B66"/>
    <w:rsid w:val="008D6273"/>
    <w:rsid w:val="008D66A2"/>
    <w:rsid w:val="008D67DC"/>
    <w:rsid w:val="008D72CB"/>
    <w:rsid w:val="008D7451"/>
    <w:rsid w:val="008D7525"/>
    <w:rsid w:val="008D78BF"/>
    <w:rsid w:val="008E0278"/>
    <w:rsid w:val="008E0C0A"/>
    <w:rsid w:val="008E0CD5"/>
    <w:rsid w:val="008E2EBE"/>
    <w:rsid w:val="008E3192"/>
    <w:rsid w:val="008E4B59"/>
    <w:rsid w:val="008E4EE8"/>
    <w:rsid w:val="008E5D69"/>
    <w:rsid w:val="008E6D99"/>
    <w:rsid w:val="008E6F0F"/>
    <w:rsid w:val="008E6F5B"/>
    <w:rsid w:val="008E7803"/>
    <w:rsid w:val="008E7E73"/>
    <w:rsid w:val="008F0D3C"/>
    <w:rsid w:val="008F0DAF"/>
    <w:rsid w:val="008F12CE"/>
    <w:rsid w:val="008F187C"/>
    <w:rsid w:val="008F1D4F"/>
    <w:rsid w:val="008F2490"/>
    <w:rsid w:val="008F2DDA"/>
    <w:rsid w:val="008F487B"/>
    <w:rsid w:val="008F4F3A"/>
    <w:rsid w:val="008F5710"/>
    <w:rsid w:val="008F6764"/>
    <w:rsid w:val="008F795F"/>
    <w:rsid w:val="008F7B02"/>
    <w:rsid w:val="008F7B57"/>
    <w:rsid w:val="009004BE"/>
    <w:rsid w:val="0090110A"/>
    <w:rsid w:val="00902692"/>
    <w:rsid w:val="00903670"/>
    <w:rsid w:val="0090368E"/>
    <w:rsid w:val="009045D0"/>
    <w:rsid w:val="009047B8"/>
    <w:rsid w:val="00905268"/>
    <w:rsid w:val="00905727"/>
    <w:rsid w:val="009059DC"/>
    <w:rsid w:val="00905A22"/>
    <w:rsid w:val="00905E3E"/>
    <w:rsid w:val="00906402"/>
    <w:rsid w:val="0090664B"/>
    <w:rsid w:val="009075E6"/>
    <w:rsid w:val="0090763F"/>
    <w:rsid w:val="00907B06"/>
    <w:rsid w:val="00907D58"/>
    <w:rsid w:val="00910C14"/>
    <w:rsid w:val="00910DAF"/>
    <w:rsid w:val="009111F7"/>
    <w:rsid w:val="00911C3F"/>
    <w:rsid w:val="00912806"/>
    <w:rsid w:val="00912F06"/>
    <w:rsid w:val="00912F55"/>
    <w:rsid w:val="00913972"/>
    <w:rsid w:val="00914AE8"/>
    <w:rsid w:val="00915576"/>
    <w:rsid w:val="009155C1"/>
    <w:rsid w:val="00915DF5"/>
    <w:rsid w:val="009173B4"/>
    <w:rsid w:val="0091768E"/>
    <w:rsid w:val="00917708"/>
    <w:rsid w:val="00917B04"/>
    <w:rsid w:val="00920965"/>
    <w:rsid w:val="0092097C"/>
    <w:rsid w:val="009209C9"/>
    <w:rsid w:val="00921ADB"/>
    <w:rsid w:val="00923B84"/>
    <w:rsid w:val="00923B87"/>
    <w:rsid w:val="00923D79"/>
    <w:rsid w:val="00923EEC"/>
    <w:rsid w:val="00924C94"/>
    <w:rsid w:val="0092501F"/>
    <w:rsid w:val="00925627"/>
    <w:rsid w:val="00925B53"/>
    <w:rsid w:val="00927CF7"/>
    <w:rsid w:val="00927F47"/>
    <w:rsid w:val="00930C41"/>
    <w:rsid w:val="00931405"/>
    <w:rsid w:val="009318A4"/>
    <w:rsid w:val="00931CFE"/>
    <w:rsid w:val="00933636"/>
    <w:rsid w:val="0093380B"/>
    <w:rsid w:val="00933968"/>
    <w:rsid w:val="00933AE4"/>
    <w:rsid w:val="00933B06"/>
    <w:rsid w:val="00933CCE"/>
    <w:rsid w:val="00934290"/>
    <w:rsid w:val="009347C0"/>
    <w:rsid w:val="009347C4"/>
    <w:rsid w:val="00936925"/>
    <w:rsid w:val="0094026B"/>
    <w:rsid w:val="009408B8"/>
    <w:rsid w:val="00940B64"/>
    <w:rsid w:val="00941420"/>
    <w:rsid w:val="0094283D"/>
    <w:rsid w:val="00942EAD"/>
    <w:rsid w:val="0094338F"/>
    <w:rsid w:val="00943F94"/>
    <w:rsid w:val="009443DB"/>
    <w:rsid w:val="0094460C"/>
    <w:rsid w:val="00944955"/>
    <w:rsid w:val="009454B3"/>
    <w:rsid w:val="0094675C"/>
    <w:rsid w:val="009468EF"/>
    <w:rsid w:val="00947782"/>
    <w:rsid w:val="00947A43"/>
    <w:rsid w:val="0095040B"/>
    <w:rsid w:val="00950D7F"/>
    <w:rsid w:val="009511E4"/>
    <w:rsid w:val="009519A6"/>
    <w:rsid w:val="009526A0"/>
    <w:rsid w:val="00952DF3"/>
    <w:rsid w:val="00952E04"/>
    <w:rsid w:val="00953E7C"/>
    <w:rsid w:val="009541A7"/>
    <w:rsid w:val="00954384"/>
    <w:rsid w:val="00954785"/>
    <w:rsid w:val="0095510A"/>
    <w:rsid w:val="00955931"/>
    <w:rsid w:val="00955B41"/>
    <w:rsid w:val="00956ED1"/>
    <w:rsid w:val="009571D2"/>
    <w:rsid w:val="009573DA"/>
    <w:rsid w:val="009575E0"/>
    <w:rsid w:val="00957BC0"/>
    <w:rsid w:val="00960232"/>
    <w:rsid w:val="009615DE"/>
    <w:rsid w:val="00961717"/>
    <w:rsid w:val="00961989"/>
    <w:rsid w:val="00961C5B"/>
    <w:rsid w:val="009620ED"/>
    <w:rsid w:val="0096244B"/>
    <w:rsid w:val="00962555"/>
    <w:rsid w:val="00962D93"/>
    <w:rsid w:val="00963187"/>
    <w:rsid w:val="00964008"/>
    <w:rsid w:val="009649A3"/>
    <w:rsid w:val="00964B45"/>
    <w:rsid w:val="00970690"/>
    <w:rsid w:val="009706E8"/>
    <w:rsid w:val="0097096B"/>
    <w:rsid w:val="00971A33"/>
    <w:rsid w:val="00971B03"/>
    <w:rsid w:val="0097217F"/>
    <w:rsid w:val="00972B7F"/>
    <w:rsid w:val="00973912"/>
    <w:rsid w:val="00973AC6"/>
    <w:rsid w:val="00974780"/>
    <w:rsid w:val="00974BA5"/>
    <w:rsid w:val="009754D7"/>
    <w:rsid w:val="00975A4C"/>
    <w:rsid w:val="009761DF"/>
    <w:rsid w:val="009764C9"/>
    <w:rsid w:val="00976DB8"/>
    <w:rsid w:val="00977468"/>
    <w:rsid w:val="00977A3C"/>
    <w:rsid w:val="009806D6"/>
    <w:rsid w:val="00981355"/>
    <w:rsid w:val="0098157F"/>
    <w:rsid w:val="00981AE2"/>
    <w:rsid w:val="00983D36"/>
    <w:rsid w:val="00984983"/>
    <w:rsid w:val="0098512A"/>
    <w:rsid w:val="009857DF"/>
    <w:rsid w:val="00985CE8"/>
    <w:rsid w:val="00986294"/>
    <w:rsid w:val="00986391"/>
    <w:rsid w:val="0098790A"/>
    <w:rsid w:val="00987B62"/>
    <w:rsid w:val="00990623"/>
    <w:rsid w:val="00990907"/>
    <w:rsid w:val="0099116B"/>
    <w:rsid w:val="00991BAD"/>
    <w:rsid w:val="00991C3E"/>
    <w:rsid w:val="00992089"/>
    <w:rsid w:val="0099302C"/>
    <w:rsid w:val="009934C5"/>
    <w:rsid w:val="00993CDA"/>
    <w:rsid w:val="00994139"/>
    <w:rsid w:val="009941A4"/>
    <w:rsid w:val="009947A5"/>
    <w:rsid w:val="00994C0B"/>
    <w:rsid w:val="009950C0"/>
    <w:rsid w:val="009954F7"/>
    <w:rsid w:val="00996344"/>
    <w:rsid w:val="009963CF"/>
    <w:rsid w:val="009963F4"/>
    <w:rsid w:val="0099752C"/>
    <w:rsid w:val="00997691"/>
    <w:rsid w:val="00997B26"/>
    <w:rsid w:val="00997EEC"/>
    <w:rsid w:val="009A11B1"/>
    <w:rsid w:val="009A1BBA"/>
    <w:rsid w:val="009A1CE8"/>
    <w:rsid w:val="009A2707"/>
    <w:rsid w:val="009A28C8"/>
    <w:rsid w:val="009A2E2D"/>
    <w:rsid w:val="009A36A2"/>
    <w:rsid w:val="009A3BEB"/>
    <w:rsid w:val="009A3C11"/>
    <w:rsid w:val="009A3FFA"/>
    <w:rsid w:val="009A500A"/>
    <w:rsid w:val="009A510C"/>
    <w:rsid w:val="009A7169"/>
    <w:rsid w:val="009A73D8"/>
    <w:rsid w:val="009B26A5"/>
    <w:rsid w:val="009B28C0"/>
    <w:rsid w:val="009B2942"/>
    <w:rsid w:val="009B29E2"/>
    <w:rsid w:val="009B3666"/>
    <w:rsid w:val="009B3D01"/>
    <w:rsid w:val="009B469D"/>
    <w:rsid w:val="009B51E4"/>
    <w:rsid w:val="009B5621"/>
    <w:rsid w:val="009B5A03"/>
    <w:rsid w:val="009B5D29"/>
    <w:rsid w:val="009B5E7F"/>
    <w:rsid w:val="009B63C0"/>
    <w:rsid w:val="009B63E1"/>
    <w:rsid w:val="009B70E8"/>
    <w:rsid w:val="009B7FA2"/>
    <w:rsid w:val="009C01B9"/>
    <w:rsid w:val="009C0B17"/>
    <w:rsid w:val="009C1097"/>
    <w:rsid w:val="009C1994"/>
    <w:rsid w:val="009C1AAB"/>
    <w:rsid w:val="009C25D3"/>
    <w:rsid w:val="009C261D"/>
    <w:rsid w:val="009C2E82"/>
    <w:rsid w:val="009C33B4"/>
    <w:rsid w:val="009C35B1"/>
    <w:rsid w:val="009C3C08"/>
    <w:rsid w:val="009C45C9"/>
    <w:rsid w:val="009C4C94"/>
    <w:rsid w:val="009C5912"/>
    <w:rsid w:val="009C624E"/>
    <w:rsid w:val="009C6F23"/>
    <w:rsid w:val="009C7436"/>
    <w:rsid w:val="009C77B6"/>
    <w:rsid w:val="009C7E33"/>
    <w:rsid w:val="009D019A"/>
    <w:rsid w:val="009D17C8"/>
    <w:rsid w:val="009D2267"/>
    <w:rsid w:val="009D3E49"/>
    <w:rsid w:val="009D4B1D"/>
    <w:rsid w:val="009D4C50"/>
    <w:rsid w:val="009D6BE2"/>
    <w:rsid w:val="009D6D98"/>
    <w:rsid w:val="009D7F85"/>
    <w:rsid w:val="009D7FA1"/>
    <w:rsid w:val="009E0D9E"/>
    <w:rsid w:val="009E142D"/>
    <w:rsid w:val="009E1576"/>
    <w:rsid w:val="009E2C4A"/>
    <w:rsid w:val="009E2F88"/>
    <w:rsid w:val="009E42AB"/>
    <w:rsid w:val="009E51AF"/>
    <w:rsid w:val="009E550B"/>
    <w:rsid w:val="009E5616"/>
    <w:rsid w:val="009E5A2E"/>
    <w:rsid w:val="009E5CB4"/>
    <w:rsid w:val="009E5FD3"/>
    <w:rsid w:val="009E612A"/>
    <w:rsid w:val="009E6440"/>
    <w:rsid w:val="009E6D18"/>
    <w:rsid w:val="009E7230"/>
    <w:rsid w:val="009E7DD4"/>
    <w:rsid w:val="009F01FB"/>
    <w:rsid w:val="009F065E"/>
    <w:rsid w:val="009F067C"/>
    <w:rsid w:val="009F0C97"/>
    <w:rsid w:val="009F1CBB"/>
    <w:rsid w:val="009F2156"/>
    <w:rsid w:val="009F22FB"/>
    <w:rsid w:val="009F3584"/>
    <w:rsid w:val="009F3746"/>
    <w:rsid w:val="009F3C54"/>
    <w:rsid w:val="009F48D9"/>
    <w:rsid w:val="009F4953"/>
    <w:rsid w:val="009F5B79"/>
    <w:rsid w:val="009F5C55"/>
    <w:rsid w:val="009F5FA4"/>
    <w:rsid w:val="009F734D"/>
    <w:rsid w:val="009F7EED"/>
    <w:rsid w:val="00A003A3"/>
    <w:rsid w:val="00A003DF"/>
    <w:rsid w:val="00A00688"/>
    <w:rsid w:val="00A0190A"/>
    <w:rsid w:val="00A01936"/>
    <w:rsid w:val="00A02226"/>
    <w:rsid w:val="00A024E2"/>
    <w:rsid w:val="00A024E4"/>
    <w:rsid w:val="00A02AD4"/>
    <w:rsid w:val="00A03096"/>
    <w:rsid w:val="00A0341F"/>
    <w:rsid w:val="00A041D2"/>
    <w:rsid w:val="00A05ABC"/>
    <w:rsid w:val="00A066CD"/>
    <w:rsid w:val="00A06E57"/>
    <w:rsid w:val="00A10252"/>
    <w:rsid w:val="00A10290"/>
    <w:rsid w:val="00A106F7"/>
    <w:rsid w:val="00A115A1"/>
    <w:rsid w:val="00A1190F"/>
    <w:rsid w:val="00A122CB"/>
    <w:rsid w:val="00A13895"/>
    <w:rsid w:val="00A13C78"/>
    <w:rsid w:val="00A13EC0"/>
    <w:rsid w:val="00A1446F"/>
    <w:rsid w:val="00A14736"/>
    <w:rsid w:val="00A14905"/>
    <w:rsid w:val="00A14A0B"/>
    <w:rsid w:val="00A14C25"/>
    <w:rsid w:val="00A15056"/>
    <w:rsid w:val="00A1544C"/>
    <w:rsid w:val="00A15818"/>
    <w:rsid w:val="00A15BEB"/>
    <w:rsid w:val="00A1646C"/>
    <w:rsid w:val="00A1679D"/>
    <w:rsid w:val="00A16871"/>
    <w:rsid w:val="00A1744F"/>
    <w:rsid w:val="00A17A8C"/>
    <w:rsid w:val="00A2073A"/>
    <w:rsid w:val="00A20D81"/>
    <w:rsid w:val="00A21412"/>
    <w:rsid w:val="00A22605"/>
    <w:rsid w:val="00A22D9E"/>
    <w:rsid w:val="00A22EE5"/>
    <w:rsid w:val="00A23126"/>
    <w:rsid w:val="00A2333A"/>
    <w:rsid w:val="00A237FE"/>
    <w:rsid w:val="00A23E6C"/>
    <w:rsid w:val="00A240D8"/>
    <w:rsid w:val="00A2444D"/>
    <w:rsid w:val="00A2486A"/>
    <w:rsid w:val="00A27065"/>
    <w:rsid w:val="00A2745C"/>
    <w:rsid w:val="00A30D17"/>
    <w:rsid w:val="00A3106A"/>
    <w:rsid w:val="00A3112A"/>
    <w:rsid w:val="00A3139F"/>
    <w:rsid w:val="00A3149A"/>
    <w:rsid w:val="00A31D53"/>
    <w:rsid w:val="00A32097"/>
    <w:rsid w:val="00A32108"/>
    <w:rsid w:val="00A325CF"/>
    <w:rsid w:val="00A332A5"/>
    <w:rsid w:val="00A33664"/>
    <w:rsid w:val="00A3394F"/>
    <w:rsid w:val="00A348C1"/>
    <w:rsid w:val="00A353F1"/>
    <w:rsid w:val="00A355EA"/>
    <w:rsid w:val="00A35898"/>
    <w:rsid w:val="00A35C89"/>
    <w:rsid w:val="00A36F4C"/>
    <w:rsid w:val="00A40034"/>
    <w:rsid w:val="00A4059C"/>
    <w:rsid w:val="00A40E4B"/>
    <w:rsid w:val="00A415A4"/>
    <w:rsid w:val="00A42BCA"/>
    <w:rsid w:val="00A4312E"/>
    <w:rsid w:val="00A43BE0"/>
    <w:rsid w:val="00A43F3B"/>
    <w:rsid w:val="00A44376"/>
    <w:rsid w:val="00A4579B"/>
    <w:rsid w:val="00A45D3C"/>
    <w:rsid w:val="00A45EF1"/>
    <w:rsid w:val="00A45F92"/>
    <w:rsid w:val="00A46863"/>
    <w:rsid w:val="00A46898"/>
    <w:rsid w:val="00A46C71"/>
    <w:rsid w:val="00A46F34"/>
    <w:rsid w:val="00A4715A"/>
    <w:rsid w:val="00A47D20"/>
    <w:rsid w:val="00A5010A"/>
    <w:rsid w:val="00A50A0C"/>
    <w:rsid w:val="00A50BB1"/>
    <w:rsid w:val="00A51497"/>
    <w:rsid w:val="00A51C00"/>
    <w:rsid w:val="00A53286"/>
    <w:rsid w:val="00A53F7F"/>
    <w:rsid w:val="00A555DC"/>
    <w:rsid w:val="00A558B1"/>
    <w:rsid w:val="00A559EA"/>
    <w:rsid w:val="00A56224"/>
    <w:rsid w:val="00A56482"/>
    <w:rsid w:val="00A56DD3"/>
    <w:rsid w:val="00A5721B"/>
    <w:rsid w:val="00A57252"/>
    <w:rsid w:val="00A5790A"/>
    <w:rsid w:val="00A6052B"/>
    <w:rsid w:val="00A613C2"/>
    <w:rsid w:val="00A61A8F"/>
    <w:rsid w:val="00A633D7"/>
    <w:rsid w:val="00A63822"/>
    <w:rsid w:val="00A63F75"/>
    <w:rsid w:val="00A66909"/>
    <w:rsid w:val="00A67590"/>
    <w:rsid w:val="00A67746"/>
    <w:rsid w:val="00A67972"/>
    <w:rsid w:val="00A70203"/>
    <w:rsid w:val="00A7049C"/>
    <w:rsid w:val="00A70A34"/>
    <w:rsid w:val="00A71CBD"/>
    <w:rsid w:val="00A720C0"/>
    <w:rsid w:val="00A72283"/>
    <w:rsid w:val="00A7280F"/>
    <w:rsid w:val="00A72B2A"/>
    <w:rsid w:val="00A72EBF"/>
    <w:rsid w:val="00A73413"/>
    <w:rsid w:val="00A73471"/>
    <w:rsid w:val="00A73AD0"/>
    <w:rsid w:val="00A73E8F"/>
    <w:rsid w:val="00A744A4"/>
    <w:rsid w:val="00A745FE"/>
    <w:rsid w:val="00A748A8"/>
    <w:rsid w:val="00A74BC7"/>
    <w:rsid w:val="00A74DC4"/>
    <w:rsid w:val="00A75CBD"/>
    <w:rsid w:val="00A75F06"/>
    <w:rsid w:val="00A7682F"/>
    <w:rsid w:val="00A76E60"/>
    <w:rsid w:val="00A805AB"/>
    <w:rsid w:val="00A809C8"/>
    <w:rsid w:val="00A80F35"/>
    <w:rsid w:val="00A81395"/>
    <w:rsid w:val="00A82C37"/>
    <w:rsid w:val="00A82DA1"/>
    <w:rsid w:val="00A83008"/>
    <w:rsid w:val="00A836FF"/>
    <w:rsid w:val="00A83996"/>
    <w:rsid w:val="00A84314"/>
    <w:rsid w:val="00A846AA"/>
    <w:rsid w:val="00A87E82"/>
    <w:rsid w:val="00A9031F"/>
    <w:rsid w:val="00A9042B"/>
    <w:rsid w:val="00A9085D"/>
    <w:rsid w:val="00A90EAF"/>
    <w:rsid w:val="00A91505"/>
    <w:rsid w:val="00A91684"/>
    <w:rsid w:val="00A916F3"/>
    <w:rsid w:val="00A91C63"/>
    <w:rsid w:val="00A92C7F"/>
    <w:rsid w:val="00A92F65"/>
    <w:rsid w:val="00A932BF"/>
    <w:rsid w:val="00A934AE"/>
    <w:rsid w:val="00A938AF"/>
    <w:rsid w:val="00A94443"/>
    <w:rsid w:val="00A94F32"/>
    <w:rsid w:val="00A950DF"/>
    <w:rsid w:val="00A957E8"/>
    <w:rsid w:val="00A959C1"/>
    <w:rsid w:val="00A962C6"/>
    <w:rsid w:val="00A96AA7"/>
    <w:rsid w:val="00A96C42"/>
    <w:rsid w:val="00A96D56"/>
    <w:rsid w:val="00A96E97"/>
    <w:rsid w:val="00A97413"/>
    <w:rsid w:val="00A97910"/>
    <w:rsid w:val="00AA029D"/>
    <w:rsid w:val="00AA06E6"/>
    <w:rsid w:val="00AA0BD7"/>
    <w:rsid w:val="00AA1050"/>
    <w:rsid w:val="00AA11F6"/>
    <w:rsid w:val="00AA1F0C"/>
    <w:rsid w:val="00AA20F6"/>
    <w:rsid w:val="00AA2163"/>
    <w:rsid w:val="00AA2833"/>
    <w:rsid w:val="00AA29B8"/>
    <w:rsid w:val="00AA46D2"/>
    <w:rsid w:val="00AA4F14"/>
    <w:rsid w:val="00AA610C"/>
    <w:rsid w:val="00AA68DC"/>
    <w:rsid w:val="00AA6A94"/>
    <w:rsid w:val="00AA7689"/>
    <w:rsid w:val="00AB0117"/>
    <w:rsid w:val="00AB065E"/>
    <w:rsid w:val="00AB0D42"/>
    <w:rsid w:val="00AB1A12"/>
    <w:rsid w:val="00AB394C"/>
    <w:rsid w:val="00AB43F5"/>
    <w:rsid w:val="00AB51F9"/>
    <w:rsid w:val="00AB5286"/>
    <w:rsid w:val="00AB58F6"/>
    <w:rsid w:val="00AB69E9"/>
    <w:rsid w:val="00AB6ED4"/>
    <w:rsid w:val="00AB753A"/>
    <w:rsid w:val="00AB7D4A"/>
    <w:rsid w:val="00AC00CE"/>
    <w:rsid w:val="00AC03C0"/>
    <w:rsid w:val="00AC160B"/>
    <w:rsid w:val="00AC254A"/>
    <w:rsid w:val="00AC4606"/>
    <w:rsid w:val="00AC48D0"/>
    <w:rsid w:val="00AC49A3"/>
    <w:rsid w:val="00AC5314"/>
    <w:rsid w:val="00AC57CB"/>
    <w:rsid w:val="00AC5C74"/>
    <w:rsid w:val="00AC5D90"/>
    <w:rsid w:val="00AC6BA3"/>
    <w:rsid w:val="00AC72FA"/>
    <w:rsid w:val="00AC78FC"/>
    <w:rsid w:val="00AD0886"/>
    <w:rsid w:val="00AD09CB"/>
    <w:rsid w:val="00AD0B64"/>
    <w:rsid w:val="00AD118D"/>
    <w:rsid w:val="00AD13BF"/>
    <w:rsid w:val="00AD1AC2"/>
    <w:rsid w:val="00AD1D72"/>
    <w:rsid w:val="00AD27D8"/>
    <w:rsid w:val="00AD2AF1"/>
    <w:rsid w:val="00AD2B27"/>
    <w:rsid w:val="00AD2DE1"/>
    <w:rsid w:val="00AD511B"/>
    <w:rsid w:val="00AD54BE"/>
    <w:rsid w:val="00AD5E7E"/>
    <w:rsid w:val="00AD7275"/>
    <w:rsid w:val="00AD7466"/>
    <w:rsid w:val="00AD7D69"/>
    <w:rsid w:val="00AE0CF0"/>
    <w:rsid w:val="00AE1275"/>
    <w:rsid w:val="00AE14B4"/>
    <w:rsid w:val="00AE16B3"/>
    <w:rsid w:val="00AE2EC6"/>
    <w:rsid w:val="00AE3499"/>
    <w:rsid w:val="00AE38F0"/>
    <w:rsid w:val="00AE39F1"/>
    <w:rsid w:val="00AE3F88"/>
    <w:rsid w:val="00AE495F"/>
    <w:rsid w:val="00AE4C46"/>
    <w:rsid w:val="00AE569F"/>
    <w:rsid w:val="00AE5AB5"/>
    <w:rsid w:val="00AE61B7"/>
    <w:rsid w:val="00AE6428"/>
    <w:rsid w:val="00AE66E8"/>
    <w:rsid w:val="00AE68EA"/>
    <w:rsid w:val="00AE6D97"/>
    <w:rsid w:val="00AE765C"/>
    <w:rsid w:val="00AF005B"/>
    <w:rsid w:val="00AF10F4"/>
    <w:rsid w:val="00AF140D"/>
    <w:rsid w:val="00AF1836"/>
    <w:rsid w:val="00AF1BDE"/>
    <w:rsid w:val="00AF1E42"/>
    <w:rsid w:val="00AF2A79"/>
    <w:rsid w:val="00AF3516"/>
    <w:rsid w:val="00AF3A10"/>
    <w:rsid w:val="00AF3C92"/>
    <w:rsid w:val="00AF468B"/>
    <w:rsid w:val="00AF4D3E"/>
    <w:rsid w:val="00AF5192"/>
    <w:rsid w:val="00AF5A03"/>
    <w:rsid w:val="00AF5AF6"/>
    <w:rsid w:val="00AF5E90"/>
    <w:rsid w:val="00AF62F1"/>
    <w:rsid w:val="00AF6350"/>
    <w:rsid w:val="00AF63C4"/>
    <w:rsid w:val="00AF6B2C"/>
    <w:rsid w:val="00B00FA3"/>
    <w:rsid w:val="00B0156B"/>
    <w:rsid w:val="00B01DBA"/>
    <w:rsid w:val="00B0424A"/>
    <w:rsid w:val="00B0431F"/>
    <w:rsid w:val="00B048B7"/>
    <w:rsid w:val="00B04970"/>
    <w:rsid w:val="00B04C9E"/>
    <w:rsid w:val="00B05ADD"/>
    <w:rsid w:val="00B0617A"/>
    <w:rsid w:val="00B06D68"/>
    <w:rsid w:val="00B074CA"/>
    <w:rsid w:val="00B07BB7"/>
    <w:rsid w:val="00B10511"/>
    <w:rsid w:val="00B10DC7"/>
    <w:rsid w:val="00B11260"/>
    <w:rsid w:val="00B1222F"/>
    <w:rsid w:val="00B1298D"/>
    <w:rsid w:val="00B12BBF"/>
    <w:rsid w:val="00B130BE"/>
    <w:rsid w:val="00B13178"/>
    <w:rsid w:val="00B131A8"/>
    <w:rsid w:val="00B1325A"/>
    <w:rsid w:val="00B1393D"/>
    <w:rsid w:val="00B140EA"/>
    <w:rsid w:val="00B1453B"/>
    <w:rsid w:val="00B15440"/>
    <w:rsid w:val="00B15613"/>
    <w:rsid w:val="00B15C01"/>
    <w:rsid w:val="00B15C87"/>
    <w:rsid w:val="00B15DAE"/>
    <w:rsid w:val="00B16779"/>
    <w:rsid w:val="00B170AF"/>
    <w:rsid w:val="00B17A60"/>
    <w:rsid w:val="00B17BBF"/>
    <w:rsid w:val="00B2030E"/>
    <w:rsid w:val="00B20953"/>
    <w:rsid w:val="00B20AD1"/>
    <w:rsid w:val="00B228A1"/>
    <w:rsid w:val="00B22966"/>
    <w:rsid w:val="00B23E18"/>
    <w:rsid w:val="00B23F0A"/>
    <w:rsid w:val="00B25021"/>
    <w:rsid w:val="00B2527F"/>
    <w:rsid w:val="00B2554F"/>
    <w:rsid w:val="00B258DE"/>
    <w:rsid w:val="00B25C23"/>
    <w:rsid w:val="00B26110"/>
    <w:rsid w:val="00B261B3"/>
    <w:rsid w:val="00B26407"/>
    <w:rsid w:val="00B26A97"/>
    <w:rsid w:val="00B26AF5"/>
    <w:rsid w:val="00B270A1"/>
    <w:rsid w:val="00B2716C"/>
    <w:rsid w:val="00B3086F"/>
    <w:rsid w:val="00B3090E"/>
    <w:rsid w:val="00B30F18"/>
    <w:rsid w:val="00B32F4D"/>
    <w:rsid w:val="00B3312F"/>
    <w:rsid w:val="00B338E9"/>
    <w:rsid w:val="00B33DA5"/>
    <w:rsid w:val="00B343BA"/>
    <w:rsid w:val="00B34F15"/>
    <w:rsid w:val="00B35124"/>
    <w:rsid w:val="00B352EC"/>
    <w:rsid w:val="00B35E61"/>
    <w:rsid w:val="00B361CD"/>
    <w:rsid w:val="00B370CA"/>
    <w:rsid w:val="00B4188A"/>
    <w:rsid w:val="00B426EA"/>
    <w:rsid w:val="00B44BC1"/>
    <w:rsid w:val="00B44D6F"/>
    <w:rsid w:val="00B44D89"/>
    <w:rsid w:val="00B450FF"/>
    <w:rsid w:val="00B465AF"/>
    <w:rsid w:val="00B473B2"/>
    <w:rsid w:val="00B475CE"/>
    <w:rsid w:val="00B50B9C"/>
    <w:rsid w:val="00B51890"/>
    <w:rsid w:val="00B52C67"/>
    <w:rsid w:val="00B539DB"/>
    <w:rsid w:val="00B53BB1"/>
    <w:rsid w:val="00B541B6"/>
    <w:rsid w:val="00B54552"/>
    <w:rsid w:val="00B547BE"/>
    <w:rsid w:val="00B5492F"/>
    <w:rsid w:val="00B54A28"/>
    <w:rsid w:val="00B54AA5"/>
    <w:rsid w:val="00B558EB"/>
    <w:rsid w:val="00B55E5E"/>
    <w:rsid w:val="00B55F86"/>
    <w:rsid w:val="00B55FBD"/>
    <w:rsid w:val="00B5626B"/>
    <w:rsid w:val="00B56568"/>
    <w:rsid w:val="00B56720"/>
    <w:rsid w:val="00B5715D"/>
    <w:rsid w:val="00B57C36"/>
    <w:rsid w:val="00B604C5"/>
    <w:rsid w:val="00B60547"/>
    <w:rsid w:val="00B6064C"/>
    <w:rsid w:val="00B60E6C"/>
    <w:rsid w:val="00B618B6"/>
    <w:rsid w:val="00B62AD0"/>
    <w:rsid w:val="00B6378C"/>
    <w:rsid w:val="00B638CC"/>
    <w:rsid w:val="00B63BCA"/>
    <w:rsid w:val="00B63F49"/>
    <w:rsid w:val="00B65268"/>
    <w:rsid w:val="00B6551E"/>
    <w:rsid w:val="00B65C87"/>
    <w:rsid w:val="00B65CF8"/>
    <w:rsid w:val="00B65F3A"/>
    <w:rsid w:val="00B662D1"/>
    <w:rsid w:val="00B66A34"/>
    <w:rsid w:val="00B66A47"/>
    <w:rsid w:val="00B67A8A"/>
    <w:rsid w:val="00B67A9A"/>
    <w:rsid w:val="00B67AF1"/>
    <w:rsid w:val="00B70580"/>
    <w:rsid w:val="00B713F5"/>
    <w:rsid w:val="00B715C4"/>
    <w:rsid w:val="00B71FAF"/>
    <w:rsid w:val="00B721C4"/>
    <w:rsid w:val="00B72586"/>
    <w:rsid w:val="00B7268C"/>
    <w:rsid w:val="00B72DB5"/>
    <w:rsid w:val="00B75C3A"/>
    <w:rsid w:val="00B75E19"/>
    <w:rsid w:val="00B76E1B"/>
    <w:rsid w:val="00B7722F"/>
    <w:rsid w:val="00B7735C"/>
    <w:rsid w:val="00B774AC"/>
    <w:rsid w:val="00B77F21"/>
    <w:rsid w:val="00B80066"/>
    <w:rsid w:val="00B808B3"/>
    <w:rsid w:val="00B80C57"/>
    <w:rsid w:val="00B81BE3"/>
    <w:rsid w:val="00B82ABA"/>
    <w:rsid w:val="00B82E7B"/>
    <w:rsid w:val="00B83439"/>
    <w:rsid w:val="00B83504"/>
    <w:rsid w:val="00B83511"/>
    <w:rsid w:val="00B846BD"/>
    <w:rsid w:val="00B851A8"/>
    <w:rsid w:val="00B85232"/>
    <w:rsid w:val="00B861D2"/>
    <w:rsid w:val="00B8649B"/>
    <w:rsid w:val="00B8704B"/>
    <w:rsid w:val="00B87332"/>
    <w:rsid w:val="00B876E4"/>
    <w:rsid w:val="00B87B90"/>
    <w:rsid w:val="00B87C36"/>
    <w:rsid w:val="00B90824"/>
    <w:rsid w:val="00B90948"/>
    <w:rsid w:val="00B91454"/>
    <w:rsid w:val="00B91631"/>
    <w:rsid w:val="00B92019"/>
    <w:rsid w:val="00B92453"/>
    <w:rsid w:val="00B92820"/>
    <w:rsid w:val="00B93101"/>
    <w:rsid w:val="00B93C39"/>
    <w:rsid w:val="00B94466"/>
    <w:rsid w:val="00B94E5C"/>
    <w:rsid w:val="00B951EA"/>
    <w:rsid w:val="00B9578A"/>
    <w:rsid w:val="00B96379"/>
    <w:rsid w:val="00B967AA"/>
    <w:rsid w:val="00B96BFC"/>
    <w:rsid w:val="00B97A9F"/>
    <w:rsid w:val="00B97B48"/>
    <w:rsid w:val="00BA0109"/>
    <w:rsid w:val="00BA010E"/>
    <w:rsid w:val="00BA017C"/>
    <w:rsid w:val="00BA06E2"/>
    <w:rsid w:val="00BA1007"/>
    <w:rsid w:val="00BA1BEE"/>
    <w:rsid w:val="00BA1D7F"/>
    <w:rsid w:val="00BA29AC"/>
    <w:rsid w:val="00BA2A82"/>
    <w:rsid w:val="00BA2E5D"/>
    <w:rsid w:val="00BA3385"/>
    <w:rsid w:val="00BA4485"/>
    <w:rsid w:val="00BA53C4"/>
    <w:rsid w:val="00BA6402"/>
    <w:rsid w:val="00BA6B55"/>
    <w:rsid w:val="00BA6C0A"/>
    <w:rsid w:val="00BA7A3A"/>
    <w:rsid w:val="00BA7BCA"/>
    <w:rsid w:val="00BB0DDD"/>
    <w:rsid w:val="00BB1078"/>
    <w:rsid w:val="00BB11CA"/>
    <w:rsid w:val="00BB1440"/>
    <w:rsid w:val="00BB1C40"/>
    <w:rsid w:val="00BB2240"/>
    <w:rsid w:val="00BB2326"/>
    <w:rsid w:val="00BB2E40"/>
    <w:rsid w:val="00BB3247"/>
    <w:rsid w:val="00BB3660"/>
    <w:rsid w:val="00BB3788"/>
    <w:rsid w:val="00BB3E38"/>
    <w:rsid w:val="00BB458F"/>
    <w:rsid w:val="00BB4645"/>
    <w:rsid w:val="00BB5203"/>
    <w:rsid w:val="00BB7028"/>
    <w:rsid w:val="00BB7050"/>
    <w:rsid w:val="00BB767F"/>
    <w:rsid w:val="00BB77D0"/>
    <w:rsid w:val="00BB79DE"/>
    <w:rsid w:val="00BB7D96"/>
    <w:rsid w:val="00BC057B"/>
    <w:rsid w:val="00BC0A65"/>
    <w:rsid w:val="00BC0BEC"/>
    <w:rsid w:val="00BC0E8C"/>
    <w:rsid w:val="00BC19C8"/>
    <w:rsid w:val="00BC1C28"/>
    <w:rsid w:val="00BC1D21"/>
    <w:rsid w:val="00BC2DDF"/>
    <w:rsid w:val="00BC3070"/>
    <w:rsid w:val="00BC36C5"/>
    <w:rsid w:val="00BC3A47"/>
    <w:rsid w:val="00BC3ED7"/>
    <w:rsid w:val="00BC4064"/>
    <w:rsid w:val="00BC44D9"/>
    <w:rsid w:val="00BC4540"/>
    <w:rsid w:val="00BC48C3"/>
    <w:rsid w:val="00BC4A94"/>
    <w:rsid w:val="00BC5375"/>
    <w:rsid w:val="00BC5C25"/>
    <w:rsid w:val="00BC6D0D"/>
    <w:rsid w:val="00BC7253"/>
    <w:rsid w:val="00BD103B"/>
    <w:rsid w:val="00BD12ED"/>
    <w:rsid w:val="00BD18D0"/>
    <w:rsid w:val="00BD247D"/>
    <w:rsid w:val="00BD2801"/>
    <w:rsid w:val="00BD3285"/>
    <w:rsid w:val="00BD377C"/>
    <w:rsid w:val="00BD41C5"/>
    <w:rsid w:val="00BD4A43"/>
    <w:rsid w:val="00BD4D0F"/>
    <w:rsid w:val="00BD5C62"/>
    <w:rsid w:val="00BD5E7F"/>
    <w:rsid w:val="00BD6496"/>
    <w:rsid w:val="00BD6954"/>
    <w:rsid w:val="00BD71D7"/>
    <w:rsid w:val="00BE13C1"/>
    <w:rsid w:val="00BE191F"/>
    <w:rsid w:val="00BE1FD2"/>
    <w:rsid w:val="00BE234D"/>
    <w:rsid w:val="00BE3307"/>
    <w:rsid w:val="00BE33F2"/>
    <w:rsid w:val="00BE3DF6"/>
    <w:rsid w:val="00BE45B9"/>
    <w:rsid w:val="00BE45DD"/>
    <w:rsid w:val="00BE4954"/>
    <w:rsid w:val="00BE4CFE"/>
    <w:rsid w:val="00BE6620"/>
    <w:rsid w:val="00BE697A"/>
    <w:rsid w:val="00BE6F96"/>
    <w:rsid w:val="00BE75B6"/>
    <w:rsid w:val="00BE7838"/>
    <w:rsid w:val="00BE7E65"/>
    <w:rsid w:val="00BF0828"/>
    <w:rsid w:val="00BF219C"/>
    <w:rsid w:val="00BF2E9A"/>
    <w:rsid w:val="00BF3287"/>
    <w:rsid w:val="00BF3422"/>
    <w:rsid w:val="00BF3F6C"/>
    <w:rsid w:val="00BF4A2B"/>
    <w:rsid w:val="00BF4B62"/>
    <w:rsid w:val="00BF57A5"/>
    <w:rsid w:val="00BF58F7"/>
    <w:rsid w:val="00BF6F88"/>
    <w:rsid w:val="00BF711C"/>
    <w:rsid w:val="00BF79F5"/>
    <w:rsid w:val="00BF7FE2"/>
    <w:rsid w:val="00C001C7"/>
    <w:rsid w:val="00C003F5"/>
    <w:rsid w:val="00C00AAD"/>
    <w:rsid w:val="00C00C48"/>
    <w:rsid w:val="00C025D5"/>
    <w:rsid w:val="00C02840"/>
    <w:rsid w:val="00C039A0"/>
    <w:rsid w:val="00C03E6C"/>
    <w:rsid w:val="00C04220"/>
    <w:rsid w:val="00C043F3"/>
    <w:rsid w:val="00C0452B"/>
    <w:rsid w:val="00C0487D"/>
    <w:rsid w:val="00C05129"/>
    <w:rsid w:val="00C05726"/>
    <w:rsid w:val="00C05783"/>
    <w:rsid w:val="00C060BB"/>
    <w:rsid w:val="00C0622F"/>
    <w:rsid w:val="00C0703D"/>
    <w:rsid w:val="00C0771D"/>
    <w:rsid w:val="00C102E2"/>
    <w:rsid w:val="00C10A24"/>
    <w:rsid w:val="00C10BCE"/>
    <w:rsid w:val="00C10FF1"/>
    <w:rsid w:val="00C115C1"/>
    <w:rsid w:val="00C11A70"/>
    <w:rsid w:val="00C139BC"/>
    <w:rsid w:val="00C13C17"/>
    <w:rsid w:val="00C1413F"/>
    <w:rsid w:val="00C14345"/>
    <w:rsid w:val="00C14BB1"/>
    <w:rsid w:val="00C15680"/>
    <w:rsid w:val="00C1579C"/>
    <w:rsid w:val="00C15B34"/>
    <w:rsid w:val="00C15E11"/>
    <w:rsid w:val="00C16D2F"/>
    <w:rsid w:val="00C20591"/>
    <w:rsid w:val="00C206C6"/>
    <w:rsid w:val="00C20CE7"/>
    <w:rsid w:val="00C213E9"/>
    <w:rsid w:val="00C21859"/>
    <w:rsid w:val="00C21A7E"/>
    <w:rsid w:val="00C2313D"/>
    <w:rsid w:val="00C23204"/>
    <w:rsid w:val="00C235F5"/>
    <w:rsid w:val="00C239C0"/>
    <w:rsid w:val="00C239E3"/>
    <w:rsid w:val="00C23B2D"/>
    <w:rsid w:val="00C23D02"/>
    <w:rsid w:val="00C243F1"/>
    <w:rsid w:val="00C254A8"/>
    <w:rsid w:val="00C255E7"/>
    <w:rsid w:val="00C25828"/>
    <w:rsid w:val="00C26115"/>
    <w:rsid w:val="00C27922"/>
    <w:rsid w:val="00C30425"/>
    <w:rsid w:val="00C30456"/>
    <w:rsid w:val="00C30967"/>
    <w:rsid w:val="00C30F12"/>
    <w:rsid w:val="00C31294"/>
    <w:rsid w:val="00C31FC2"/>
    <w:rsid w:val="00C321D7"/>
    <w:rsid w:val="00C333C5"/>
    <w:rsid w:val="00C3419A"/>
    <w:rsid w:val="00C349E3"/>
    <w:rsid w:val="00C3530B"/>
    <w:rsid w:val="00C356F7"/>
    <w:rsid w:val="00C3604A"/>
    <w:rsid w:val="00C3686D"/>
    <w:rsid w:val="00C371B8"/>
    <w:rsid w:val="00C373E6"/>
    <w:rsid w:val="00C4018C"/>
    <w:rsid w:val="00C402F7"/>
    <w:rsid w:val="00C41382"/>
    <w:rsid w:val="00C42601"/>
    <w:rsid w:val="00C42903"/>
    <w:rsid w:val="00C42B01"/>
    <w:rsid w:val="00C43079"/>
    <w:rsid w:val="00C43113"/>
    <w:rsid w:val="00C431D2"/>
    <w:rsid w:val="00C44439"/>
    <w:rsid w:val="00C4512E"/>
    <w:rsid w:val="00C45C10"/>
    <w:rsid w:val="00C45EA2"/>
    <w:rsid w:val="00C46113"/>
    <w:rsid w:val="00C465EF"/>
    <w:rsid w:val="00C46E43"/>
    <w:rsid w:val="00C4734C"/>
    <w:rsid w:val="00C47528"/>
    <w:rsid w:val="00C47D9B"/>
    <w:rsid w:val="00C50883"/>
    <w:rsid w:val="00C51150"/>
    <w:rsid w:val="00C51BDA"/>
    <w:rsid w:val="00C52E83"/>
    <w:rsid w:val="00C53733"/>
    <w:rsid w:val="00C53CF0"/>
    <w:rsid w:val="00C54DD6"/>
    <w:rsid w:val="00C5508A"/>
    <w:rsid w:val="00C55634"/>
    <w:rsid w:val="00C55C4D"/>
    <w:rsid w:val="00C56B16"/>
    <w:rsid w:val="00C578F0"/>
    <w:rsid w:val="00C57B17"/>
    <w:rsid w:val="00C57CBF"/>
    <w:rsid w:val="00C57CF6"/>
    <w:rsid w:val="00C60377"/>
    <w:rsid w:val="00C603C5"/>
    <w:rsid w:val="00C60A9A"/>
    <w:rsid w:val="00C617C8"/>
    <w:rsid w:val="00C627F8"/>
    <w:rsid w:val="00C62FE9"/>
    <w:rsid w:val="00C632EA"/>
    <w:rsid w:val="00C63632"/>
    <w:rsid w:val="00C6364D"/>
    <w:rsid w:val="00C63BB4"/>
    <w:rsid w:val="00C650A1"/>
    <w:rsid w:val="00C6596B"/>
    <w:rsid w:val="00C6680F"/>
    <w:rsid w:val="00C66ABA"/>
    <w:rsid w:val="00C67ACC"/>
    <w:rsid w:val="00C701E1"/>
    <w:rsid w:val="00C7186E"/>
    <w:rsid w:val="00C73087"/>
    <w:rsid w:val="00C7459E"/>
    <w:rsid w:val="00C750C4"/>
    <w:rsid w:val="00C7566C"/>
    <w:rsid w:val="00C75997"/>
    <w:rsid w:val="00C76716"/>
    <w:rsid w:val="00C77348"/>
    <w:rsid w:val="00C77687"/>
    <w:rsid w:val="00C7797F"/>
    <w:rsid w:val="00C815CD"/>
    <w:rsid w:val="00C817E1"/>
    <w:rsid w:val="00C82CFB"/>
    <w:rsid w:val="00C83FCC"/>
    <w:rsid w:val="00C844D9"/>
    <w:rsid w:val="00C84CE2"/>
    <w:rsid w:val="00C85938"/>
    <w:rsid w:val="00C85B2B"/>
    <w:rsid w:val="00C85E87"/>
    <w:rsid w:val="00C868B8"/>
    <w:rsid w:val="00C86A00"/>
    <w:rsid w:val="00C86B20"/>
    <w:rsid w:val="00C87582"/>
    <w:rsid w:val="00C87668"/>
    <w:rsid w:val="00C909F3"/>
    <w:rsid w:val="00C911E1"/>
    <w:rsid w:val="00C91467"/>
    <w:rsid w:val="00C91938"/>
    <w:rsid w:val="00C91AC1"/>
    <w:rsid w:val="00C92A9D"/>
    <w:rsid w:val="00C92DBA"/>
    <w:rsid w:val="00C92E78"/>
    <w:rsid w:val="00C930A7"/>
    <w:rsid w:val="00C936DE"/>
    <w:rsid w:val="00C93D1B"/>
    <w:rsid w:val="00C93F1C"/>
    <w:rsid w:val="00C947A8"/>
    <w:rsid w:val="00C954A3"/>
    <w:rsid w:val="00C95677"/>
    <w:rsid w:val="00C95734"/>
    <w:rsid w:val="00C95A1E"/>
    <w:rsid w:val="00C95D88"/>
    <w:rsid w:val="00C95F0D"/>
    <w:rsid w:val="00C96709"/>
    <w:rsid w:val="00C96C2D"/>
    <w:rsid w:val="00C9700D"/>
    <w:rsid w:val="00C97324"/>
    <w:rsid w:val="00C97CC4"/>
    <w:rsid w:val="00C97E64"/>
    <w:rsid w:val="00CA199D"/>
    <w:rsid w:val="00CA19D4"/>
    <w:rsid w:val="00CA251B"/>
    <w:rsid w:val="00CA2B22"/>
    <w:rsid w:val="00CA3092"/>
    <w:rsid w:val="00CA3A45"/>
    <w:rsid w:val="00CA3AB3"/>
    <w:rsid w:val="00CA4C96"/>
    <w:rsid w:val="00CA638D"/>
    <w:rsid w:val="00CA63D4"/>
    <w:rsid w:val="00CA68EB"/>
    <w:rsid w:val="00CB0A68"/>
    <w:rsid w:val="00CB0A69"/>
    <w:rsid w:val="00CB112E"/>
    <w:rsid w:val="00CB1748"/>
    <w:rsid w:val="00CB1CE5"/>
    <w:rsid w:val="00CB27E8"/>
    <w:rsid w:val="00CB3721"/>
    <w:rsid w:val="00CB3A18"/>
    <w:rsid w:val="00CB3ABD"/>
    <w:rsid w:val="00CB46E3"/>
    <w:rsid w:val="00CB47D6"/>
    <w:rsid w:val="00CB58E2"/>
    <w:rsid w:val="00CB5C0F"/>
    <w:rsid w:val="00CB639F"/>
    <w:rsid w:val="00CB6A23"/>
    <w:rsid w:val="00CB748D"/>
    <w:rsid w:val="00CB75B2"/>
    <w:rsid w:val="00CB76EC"/>
    <w:rsid w:val="00CB7A12"/>
    <w:rsid w:val="00CC0DC6"/>
    <w:rsid w:val="00CC251C"/>
    <w:rsid w:val="00CC2C42"/>
    <w:rsid w:val="00CC3AD2"/>
    <w:rsid w:val="00CC43DF"/>
    <w:rsid w:val="00CC4CB0"/>
    <w:rsid w:val="00CC5316"/>
    <w:rsid w:val="00CC5580"/>
    <w:rsid w:val="00CC5E78"/>
    <w:rsid w:val="00CC6E13"/>
    <w:rsid w:val="00CC6E32"/>
    <w:rsid w:val="00CC780E"/>
    <w:rsid w:val="00CC7FCA"/>
    <w:rsid w:val="00CD01BB"/>
    <w:rsid w:val="00CD0231"/>
    <w:rsid w:val="00CD0E4B"/>
    <w:rsid w:val="00CD2122"/>
    <w:rsid w:val="00CD21A9"/>
    <w:rsid w:val="00CD2910"/>
    <w:rsid w:val="00CD3034"/>
    <w:rsid w:val="00CD43A8"/>
    <w:rsid w:val="00CD45B3"/>
    <w:rsid w:val="00CD4810"/>
    <w:rsid w:val="00CD49F4"/>
    <w:rsid w:val="00CD5079"/>
    <w:rsid w:val="00CD5474"/>
    <w:rsid w:val="00CD66C2"/>
    <w:rsid w:val="00CD6906"/>
    <w:rsid w:val="00CD6C3C"/>
    <w:rsid w:val="00CD6EBF"/>
    <w:rsid w:val="00CD70BF"/>
    <w:rsid w:val="00CD716C"/>
    <w:rsid w:val="00CD7F16"/>
    <w:rsid w:val="00CE091D"/>
    <w:rsid w:val="00CE0C04"/>
    <w:rsid w:val="00CE0E5C"/>
    <w:rsid w:val="00CE21F5"/>
    <w:rsid w:val="00CE2209"/>
    <w:rsid w:val="00CE231C"/>
    <w:rsid w:val="00CE33AC"/>
    <w:rsid w:val="00CE3A1C"/>
    <w:rsid w:val="00CE47CB"/>
    <w:rsid w:val="00CE5142"/>
    <w:rsid w:val="00CE57DC"/>
    <w:rsid w:val="00CE5996"/>
    <w:rsid w:val="00CE6844"/>
    <w:rsid w:val="00CE6EA3"/>
    <w:rsid w:val="00CE7002"/>
    <w:rsid w:val="00CE72A4"/>
    <w:rsid w:val="00CE7702"/>
    <w:rsid w:val="00CE774E"/>
    <w:rsid w:val="00CE77E0"/>
    <w:rsid w:val="00CF0676"/>
    <w:rsid w:val="00CF0B91"/>
    <w:rsid w:val="00CF151E"/>
    <w:rsid w:val="00CF1B45"/>
    <w:rsid w:val="00CF20E2"/>
    <w:rsid w:val="00CF2345"/>
    <w:rsid w:val="00CF2ECF"/>
    <w:rsid w:val="00CF30D7"/>
    <w:rsid w:val="00CF3280"/>
    <w:rsid w:val="00CF377A"/>
    <w:rsid w:val="00CF37E2"/>
    <w:rsid w:val="00CF3DAE"/>
    <w:rsid w:val="00CF4468"/>
    <w:rsid w:val="00CF4E91"/>
    <w:rsid w:val="00CF532F"/>
    <w:rsid w:val="00CF5586"/>
    <w:rsid w:val="00CF58F5"/>
    <w:rsid w:val="00CF6DF3"/>
    <w:rsid w:val="00CF7E79"/>
    <w:rsid w:val="00D0059A"/>
    <w:rsid w:val="00D01019"/>
    <w:rsid w:val="00D01B74"/>
    <w:rsid w:val="00D01BAE"/>
    <w:rsid w:val="00D01F95"/>
    <w:rsid w:val="00D0275E"/>
    <w:rsid w:val="00D02C11"/>
    <w:rsid w:val="00D03323"/>
    <w:rsid w:val="00D03AF4"/>
    <w:rsid w:val="00D041BD"/>
    <w:rsid w:val="00D04568"/>
    <w:rsid w:val="00D0467A"/>
    <w:rsid w:val="00D04E0B"/>
    <w:rsid w:val="00D052FB"/>
    <w:rsid w:val="00D0662B"/>
    <w:rsid w:val="00D06CD9"/>
    <w:rsid w:val="00D06E4B"/>
    <w:rsid w:val="00D10BE4"/>
    <w:rsid w:val="00D122E9"/>
    <w:rsid w:val="00D12434"/>
    <w:rsid w:val="00D12EEC"/>
    <w:rsid w:val="00D13214"/>
    <w:rsid w:val="00D13517"/>
    <w:rsid w:val="00D13C58"/>
    <w:rsid w:val="00D1540C"/>
    <w:rsid w:val="00D15A5B"/>
    <w:rsid w:val="00D15E5C"/>
    <w:rsid w:val="00D17173"/>
    <w:rsid w:val="00D171A1"/>
    <w:rsid w:val="00D17EE5"/>
    <w:rsid w:val="00D205D9"/>
    <w:rsid w:val="00D20887"/>
    <w:rsid w:val="00D21987"/>
    <w:rsid w:val="00D21AD5"/>
    <w:rsid w:val="00D221D2"/>
    <w:rsid w:val="00D22615"/>
    <w:rsid w:val="00D229AD"/>
    <w:rsid w:val="00D22DC8"/>
    <w:rsid w:val="00D23449"/>
    <w:rsid w:val="00D234B5"/>
    <w:rsid w:val="00D24368"/>
    <w:rsid w:val="00D2513B"/>
    <w:rsid w:val="00D25165"/>
    <w:rsid w:val="00D25848"/>
    <w:rsid w:val="00D25945"/>
    <w:rsid w:val="00D25CE5"/>
    <w:rsid w:val="00D26E38"/>
    <w:rsid w:val="00D27185"/>
    <w:rsid w:val="00D305AE"/>
    <w:rsid w:val="00D30BDE"/>
    <w:rsid w:val="00D31351"/>
    <w:rsid w:val="00D3149A"/>
    <w:rsid w:val="00D31CFE"/>
    <w:rsid w:val="00D321E1"/>
    <w:rsid w:val="00D322C4"/>
    <w:rsid w:val="00D3321B"/>
    <w:rsid w:val="00D33E35"/>
    <w:rsid w:val="00D341B7"/>
    <w:rsid w:val="00D34405"/>
    <w:rsid w:val="00D34999"/>
    <w:rsid w:val="00D35580"/>
    <w:rsid w:val="00D36383"/>
    <w:rsid w:val="00D375E5"/>
    <w:rsid w:val="00D402C0"/>
    <w:rsid w:val="00D404AC"/>
    <w:rsid w:val="00D407A2"/>
    <w:rsid w:val="00D4118F"/>
    <w:rsid w:val="00D4171F"/>
    <w:rsid w:val="00D41A4E"/>
    <w:rsid w:val="00D42063"/>
    <w:rsid w:val="00D4212B"/>
    <w:rsid w:val="00D42575"/>
    <w:rsid w:val="00D427C9"/>
    <w:rsid w:val="00D4438C"/>
    <w:rsid w:val="00D44581"/>
    <w:rsid w:val="00D44895"/>
    <w:rsid w:val="00D44AAE"/>
    <w:rsid w:val="00D44B2C"/>
    <w:rsid w:val="00D4546C"/>
    <w:rsid w:val="00D4599F"/>
    <w:rsid w:val="00D45EBE"/>
    <w:rsid w:val="00D461F2"/>
    <w:rsid w:val="00D46B70"/>
    <w:rsid w:val="00D46C08"/>
    <w:rsid w:val="00D46C9A"/>
    <w:rsid w:val="00D4700A"/>
    <w:rsid w:val="00D473FB"/>
    <w:rsid w:val="00D5076E"/>
    <w:rsid w:val="00D508BE"/>
    <w:rsid w:val="00D50C3E"/>
    <w:rsid w:val="00D510CB"/>
    <w:rsid w:val="00D513C3"/>
    <w:rsid w:val="00D515FB"/>
    <w:rsid w:val="00D521DA"/>
    <w:rsid w:val="00D52995"/>
    <w:rsid w:val="00D52CEA"/>
    <w:rsid w:val="00D53237"/>
    <w:rsid w:val="00D55A5B"/>
    <w:rsid w:val="00D55BB3"/>
    <w:rsid w:val="00D5609F"/>
    <w:rsid w:val="00D56694"/>
    <w:rsid w:val="00D56C05"/>
    <w:rsid w:val="00D5718A"/>
    <w:rsid w:val="00D57201"/>
    <w:rsid w:val="00D57776"/>
    <w:rsid w:val="00D6010F"/>
    <w:rsid w:val="00D61472"/>
    <w:rsid w:val="00D61C51"/>
    <w:rsid w:val="00D61F07"/>
    <w:rsid w:val="00D624A0"/>
    <w:rsid w:val="00D62C21"/>
    <w:rsid w:val="00D630DC"/>
    <w:rsid w:val="00D639E3"/>
    <w:rsid w:val="00D63D25"/>
    <w:rsid w:val="00D63DBD"/>
    <w:rsid w:val="00D63F7B"/>
    <w:rsid w:val="00D65B57"/>
    <w:rsid w:val="00D665C1"/>
    <w:rsid w:val="00D66633"/>
    <w:rsid w:val="00D67BA4"/>
    <w:rsid w:val="00D67C76"/>
    <w:rsid w:val="00D700C5"/>
    <w:rsid w:val="00D704F6"/>
    <w:rsid w:val="00D71A5E"/>
    <w:rsid w:val="00D71E5E"/>
    <w:rsid w:val="00D726BC"/>
    <w:rsid w:val="00D72DFC"/>
    <w:rsid w:val="00D73034"/>
    <w:rsid w:val="00D7391C"/>
    <w:rsid w:val="00D73928"/>
    <w:rsid w:val="00D73F03"/>
    <w:rsid w:val="00D743E5"/>
    <w:rsid w:val="00D7450C"/>
    <w:rsid w:val="00D7476A"/>
    <w:rsid w:val="00D74AE4"/>
    <w:rsid w:val="00D74B08"/>
    <w:rsid w:val="00D75803"/>
    <w:rsid w:val="00D774C8"/>
    <w:rsid w:val="00D800A2"/>
    <w:rsid w:val="00D8062B"/>
    <w:rsid w:val="00D8093F"/>
    <w:rsid w:val="00D80A95"/>
    <w:rsid w:val="00D80AE1"/>
    <w:rsid w:val="00D80EBF"/>
    <w:rsid w:val="00D81148"/>
    <w:rsid w:val="00D81DAF"/>
    <w:rsid w:val="00D81FF7"/>
    <w:rsid w:val="00D82A48"/>
    <w:rsid w:val="00D834BA"/>
    <w:rsid w:val="00D8387F"/>
    <w:rsid w:val="00D856A2"/>
    <w:rsid w:val="00D85A75"/>
    <w:rsid w:val="00D86755"/>
    <w:rsid w:val="00D87350"/>
    <w:rsid w:val="00D90286"/>
    <w:rsid w:val="00D904A9"/>
    <w:rsid w:val="00D90537"/>
    <w:rsid w:val="00D90D24"/>
    <w:rsid w:val="00D912F3"/>
    <w:rsid w:val="00D9201E"/>
    <w:rsid w:val="00D93118"/>
    <w:rsid w:val="00D939A0"/>
    <w:rsid w:val="00D93A35"/>
    <w:rsid w:val="00D94946"/>
    <w:rsid w:val="00D95043"/>
    <w:rsid w:val="00D961C1"/>
    <w:rsid w:val="00D96298"/>
    <w:rsid w:val="00D96489"/>
    <w:rsid w:val="00D965FF"/>
    <w:rsid w:val="00D969AD"/>
    <w:rsid w:val="00D971FD"/>
    <w:rsid w:val="00D973FC"/>
    <w:rsid w:val="00DA0158"/>
    <w:rsid w:val="00DA02F3"/>
    <w:rsid w:val="00DA04DA"/>
    <w:rsid w:val="00DA2D07"/>
    <w:rsid w:val="00DA2E66"/>
    <w:rsid w:val="00DA306B"/>
    <w:rsid w:val="00DA31B5"/>
    <w:rsid w:val="00DA54B9"/>
    <w:rsid w:val="00DA56CD"/>
    <w:rsid w:val="00DA5858"/>
    <w:rsid w:val="00DA714D"/>
    <w:rsid w:val="00DB1A1E"/>
    <w:rsid w:val="00DB1FDA"/>
    <w:rsid w:val="00DB2AE2"/>
    <w:rsid w:val="00DB4F05"/>
    <w:rsid w:val="00DB634A"/>
    <w:rsid w:val="00DB641E"/>
    <w:rsid w:val="00DB651A"/>
    <w:rsid w:val="00DB6C05"/>
    <w:rsid w:val="00DB7260"/>
    <w:rsid w:val="00DB747C"/>
    <w:rsid w:val="00DB7CA5"/>
    <w:rsid w:val="00DB7E3B"/>
    <w:rsid w:val="00DC0B1D"/>
    <w:rsid w:val="00DC0D36"/>
    <w:rsid w:val="00DC21C4"/>
    <w:rsid w:val="00DC2642"/>
    <w:rsid w:val="00DC268C"/>
    <w:rsid w:val="00DC2A7A"/>
    <w:rsid w:val="00DC2BF0"/>
    <w:rsid w:val="00DC2D2C"/>
    <w:rsid w:val="00DC2F2C"/>
    <w:rsid w:val="00DC30BD"/>
    <w:rsid w:val="00DC34DE"/>
    <w:rsid w:val="00DC39E5"/>
    <w:rsid w:val="00DC3C28"/>
    <w:rsid w:val="00DC3F24"/>
    <w:rsid w:val="00DC5FA4"/>
    <w:rsid w:val="00DC6EF2"/>
    <w:rsid w:val="00DC716C"/>
    <w:rsid w:val="00DC732D"/>
    <w:rsid w:val="00DD023C"/>
    <w:rsid w:val="00DD07D8"/>
    <w:rsid w:val="00DD0B5D"/>
    <w:rsid w:val="00DD0EF1"/>
    <w:rsid w:val="00DD1015"/>
    <w:rsid w:val="00DD1D24"/>
    <w:rsid w:val="00DD1D69"/>
    <w:rsid w:val="00DD1FF1"/>
    <w:rsid w:val="00DD3306"/>
    <w:rsid w:val="00DD3536"/>
    <w:rsid w:val="00DD3F6C"/>
    <w:rsid w:val="00DD5CF1"/>
    <w:rsid w:val="00DD698B"/>
    <w:rsid w:val="00DD6B79"/>
    <w:rsid w:val="00DD6F1F"/>
    <w:rsid w:val="00DE0DE1"/>
    <w:rsid w:val="00DE1380"/>
    <w:rsid w:val="00DE173E"/>
    <w:rsid w:val="00DE1C82"/>
    <w:rsid w:val="00DE25B8"/>
    <w:rsid w:val="00DE2F69"/>
    <w:rsid w:val="00DE30BE"/>
    <w:rsid w:val="00DE43C7"/>
    <w:rsid w:val="00DE444D"/>
    <w:rsid w:val="00DE46F9"/>
    <w:rsid w:val="00DE5125"/>
    <w:rsid w:val="00DE616D"/>
    <w:rsid w:val="00DE6E60"/>
    <w:rsid w:val="00DE7B99"/>
    <w:rsid w:val="00DF02F7"/>
    <w:rsid w:val="00DF06A3"/>
    <w:rsid w:val="00DF0B57"/>
    <w:rsid w:val="00DF0E51"/>
    <w:rsid w:val="00DF1016"/>
    <w:rsid w:val="00DF24AB"/>
    <w:rsid w:val="00DF3165"/>
    <w:rsid w:val="00DF4BDB"/>
    <w:rsid w:val="00DF5336"/>
    <w:rsid w:val="00DF5BB5"/>
    <w:rsid w:val="00DF65FB"/>
    <w:rsid w:val="00DF6C20"/>
    <w:rsid w:val="00DF6FF0"/>
    <w:rsid w:val="00DF777A"/>
    <w:rsid w:val="00DF7C68"/>
    <w:rsid w:val="00E00336"/>
    <w:rsid w:val="00E00571"/>
    <w:rsid w:val="00E00EB2"/>
    <w:rsid w:val="00E0122F"/>
    <w:rsid w:val="00E01282"/>
    <w:rsid w:val="00E016CE"/>
    <w:rsid w:val="00E0261E"/>
    <w:rsid w:val="00E038D0"/>
    <w:rsid w:val="00E03DB4"/>
    <w:rsid w:val="00E043AB"/>
    <w:rsid w:val="00E04432"/>
    <w:rsid w:val="00E046C7"/>
    <w:rsid w:val="00E04836"/>
    <w:rsid w:val="00E05715"/>
    <w:rsid w:val="00E06313"/>
    <w:rsid w:val="00E06818"/>
    <w:rsid w:val="00E06C5D"/>
    <w:rsid w:val="00E06D0D"/>
    <w:rsid w:val="00E06F8D"/>
    <w:rsid w:val="00E07DCA"/>
    <w:rsid w:val="00E102BB"/>
    <w:rsid w:val="00E103A4"/>
    <w:rsid w:val="00E1357F"/>
    <w:rsid w:val="00E137DF"/>
    <w:rsid w:val="00E1427E"/>
    <w:rsid w:val="00E15C7E"/>
    <w:rsid w:val="00E15E73"/>
    <w:rsid w:val="00E16473"/>
    <w:rsid w:val="00E16A37"/>
    <w:rsid w:val="00E200CE"/>
    <w:rsid w:val="00E2059C"/>
    <w:rsid w:val="00E209C2"/>
    <w:rsid w:val="00E20B32"/>
    <w:rsid w:val="00E20C55"/>
    <w:rsid w:val="00E21536"/>
    <w:rsid w:val="00E21EC5"/>
    <w:rsid w:val="00E22B3A"/>
    <w:rsid w:val="00E23598"/>
    <w:rsid w:val="00E240BF"/>
    <w:rsid w:val="00E243CC"/>
    <w:rsid w:val="00E25B9D"/>
    <w:rsid w:val="00E260AF"/>
    <w:rsid w:val="00E2693C"/>
    <w:rsid w:val="00E26D8F"/>
    <w:rsid w:val="00E26E7B"/>
    <w:rsid w:val="00E27745"/>
    <w:rsid w:val="00E2798E"/>
    <w:rsid w:val="00E27E91"/>
    <w:rsid w:val="00E313B4"/>
    <w:rsid w:val="00E318DA"/>
    <w:rsid w:val="00E31CA6"/>
    <w:rsid w:val="00E3537F"/>
    <w:rsid w:val="00E362D6"/>
    <w:rsid w:val="00E405BB"/>
    <w:rsid w:val="00E40F82"/>
    <w:rsid w:val="00E41B76"/>
    <w:rsid w:val="00E42077"/>
    <w:rsid w:val="00E4260F"/>
    <w:rsid w:val="00E4291E"/>
    <w:rsid w:val="00E44EED"/>
    <w:rsid w:val="00E45768"/>
    <w:rsid w:val="00E45A91"/>
    <w:rsid w:val="00E479CA"/>
    <w:rsid w:val="00E47EB0"/>
    <w:rsid w:val="00E51349"/>
    <w:rsid w:val="00E5187D"/>
    <w:rsid w:val="00E51FAD"/>
    <w:rsid w:val="00E52FF0"/>
    <w:rsid w:val="00E5310D"/>
    <w:rsid w:val="00E56916"/>
    <w:rsid w:val="00E575A0"/>
    <w:rsid w:val="00E5762E"/>
    <w:rsid w:val="00E57DCC"/>
    <w:rsid w:val="00E57FF1"/>
    <w:rsid w:val="00E61093"/>
    <w:rsid w:val="00E6208D"/>
    <w:rsid w:val="00E631F2"/>
    <w:rsid w:val="00E63B4C"/>
    <w:rsid w:val="00E64338"/>
    <w:rsid w:val="00E64C0F"/>
    <w:rsid w:val="00E64F39"/>
    <w:rsid w:val="00E65490"/>
    <w:rsid w:val="00E65901"/>
    <w:rsid w:val="00E66309"/>
    <w:rsid w:val="00E66B3B"/>
    <w:rsid w:val="00E66D5D"/>
    <w:rsid w:val="00E66F7A"/>
    <w:rsid w:val="00E67A90"/>
    <w:rsid w:val="00E7005A"/>
    <w:rsid w:val="00E704BD"/>
    <w:rsid w:val="00E70D01"/>
    <w:rsid w:val="00E7170E"/>
    <w:rsid w:val="00E71C3B"/>
    <w:rsid w:val="00E71E89"/>
    <w:rsid w:val="00E72E1D"/>
    <w:rsid w:val="00E7329E"/>
    <w:rsid w:val="00E741F5"/>
    <w:rsid w:val="00E74290"/>
    <w:rsid w:val="00E76093"/>
    <w:rsid w:val="00E7610F"/>
    <w:rsid w:val="00E7707C"/>
    <w:rsid w:val="00E7716C"/>
    <w:rsid w:val="00E7797C"/>
    <w:rsid w:val="00E77E95"/>
    <w:rsid w:val="00E8042B"/>
    <w:rsid w:val="00E808A6"/>
    <w:rsid w:val="00E80E2A"/>
    <w:rsid w:val="00E81879"/>
    <w:rsid w:val="00E81991"/>
    <w:rsid w:val="00E82775"/>
    <w:rsid w:val="00E8335A"/>
    <w:rsid w:val="00E838F0"/>
    <w:rsid w:val="00E84383"/>
    <w:rsid w:val="00E844D5"/>
    <w:rsid w:val="00E8476E"/>
    <w:rsid w:val="00E85396"/>
    <w:rsid w:val="00E856F7"/>
    <w:rsid w:val="00E85B3F"/>
    <w:rsid w:val="00E8618F"/>
    <w:rsid w:val="00E87404"/>
    <w:rsid w:val="00E8762B"/>
    <w:rsid w:val="00E879B6"/>
    <w:rsid w:val="00E87D7C"/>
    <w:rsid w:val="00E87E24"/>
    <w:rsid w:val="00E90AB5"/>
    <w:rsid w:val="00E91101"/>
    <w:rsid w:val="00E91B34"/>
    <w:rsid w:val="00E9328D"/>
    <w:rsid w:val="00E9348C"/>
    <w:rsid w:val="00E93F63"/>
    <w:rsid w:val="00E9426E"/>
    <w:rsid w:val="00E9457F"/>
    <w:rsid w:val="00E94B57"/>
    <w:rsid w:val="00E94D92"/>
    <w:rsid w:val="00E94FEB"/>
    <w:rsid w:val="00E951DF"/>
    <w:rsid w:val="00E95EF3"/>
    <w:rsid w:val="00E977AB"/>
    <w:rsid w:val="00E9791D"/>
    <w:rsid w:val="00EA173B"/>
    <w:rsid w:val="00EA1F5A"/>
    <w:rsid w:val="00EA2729"/>
    <w:rsid w:val="00EA298D"/>
    <w:rsid w:val="00EA2B0A"/>
    <w:rsid w:val="00EA30EB"/>
    <w:rsid w:val="00EA3901"/>
    <w:rsid w:val="00EA55EE"/>
    <w:rsid w:val="00EA593F"/>
    <w:rsid w:val="00EA5BAF"/>
    <w:rsid w:val="00EA6BDA"/>
    <w:rsid w:val="00EA6D45"/>
    <w:rsid w:val="00EA7962"/>
    <w:rsid w:val="00EA7AE8"/>
    <w:rsid w:val="00EA7AED"/>
    <w:rsid w:val="00EA7D84"/>
    <w:rsid w:val="00EB0547"/>
    <w:rsid w:val="00EB06A6"/>
    <w:rsid w:val="00EB0F96"/>
    <w:rsid w:val="00EB10B6"/>
    <w:rsid w:val="00EB173C"/>
    <w:rsid w:val="00EB1B2D"/>
    <w:rsid w:val="00EB29AA"/>
    <w:rsid w:val="00EB2ABA"/>
    <w:rsid w:val="00EB2B12"/>
    <w:rsid w:val="00EB308E"/>
    <w:rsid w:val="00EB3BB2"/>
    <w:rsid w:val="00EB4ED8"/>
    <w:rsid w:val="00EB54DE"/>
    <w:rsid w:val="00EB5AEA"/>
    <w:rsid w:val="00EB5C20"/>
    <w:rsid w:val="00EB6173"/>
    <w:rsid w:val="00EB66B3"/>
    <w:rsid w:val="00EB781E"/>
    <w:rsid w:val="00EB7F35"/>
    <w:rsid w:val="00EB7FC4"/>
    <w:rsid w:val="00EC0C4F"/>
    <w:rsid w:val="00EC111A"/>
    <w:rsid w:val="00EC1E9F"/>
    <w:rsid w:val="00EC214A"/>
    <w:rsid w:val="00EC2227"/>
    <w:rsid w:val="00EC3DD5"/>
    <w:rsid w:val="00EC47C6"/>
    <w:rsid w:val="00EC47ED"/>
    <w:rsid w:val="00EC4D1C"/>
    <w:rsid w:val="00EC537A"/>
    <w:rsid w:val="00EC5B50"/>
    <w:rsid w:val="00EC5D62"/>
    <w:rsid w:val="00EC65BF"/>
    <w:rsid w:val="00EC682C"/>
    <w:rsid w:val="00EC6D00"/>
    <w:rsid w:val="00EC6DF1"/>
    <w:rsid w:val="00EC6E7A"/>
    <w:rsid w:val="00EC6EE1"/>
    <w:rsid w:val="00EC74C1"/>
    <w:rsid w:val="00EC78A1"/>
    <w:rsid w:val="00EC7E39"/>
    <w:rsid w:val="00ED196F"/>
    <w:rsid w:val="00ED2155"/>
    <w:rsid w:val="00ED2184"/>
    <w:rsid w:val="00ED38B8"/>
    <w:rsid w:val="00ED49AC"/>
    <w:rsid w:val="00ED6212"/>
    <w:rsid w:val="00ED6596"/>
    <w:rsid w:val="00ED686E"/>
    <w:rsid w:val="00ED6CC1"/>
    <w:rsid w:val="00ED6D41"/>
    <w:rsid w:val="00ED7915"/>
    <w:rsid w:val="00EE0348"/>
    <w:rsid w:val="00EE170E"/>
    <w:rsid w:val="00EE17BE"/>
    <w:rsid w:val="00EE18FA"/>
    <w:rsid w:val="00EE2416"/>
    <w:rsid w:val="00EE2A4C"/>
    <w:rsid w:val="00EE2FFD"/>
    <w:rsid w:val="00EE30CE"/>
    <w:rsid w:val="00EE315C"/>
    <w:rsid w:val="00EE4D5A"/>
    <w:rsid w:val="00EE501E"/>
    <w:rsid w:val="00EE51C5"/>
    <w:rsid w:val="00EE575A"/>
    <w:rsid w:val="00EE5E15"/>
    <w:rsid w:val="00EE7205"/>
    <w:rsid w:val="00EE76CF"/>
    <w:rsid w:val="00EE7782"/>
    <w:rsid w:val="00EE7A6A"/>
    <w:rsid w:val="00EF11F7"/>
    <w:rsid w:val="00EF1323"/>
    <w:rsid w:val="00EF1A7F"/>
    <w:rsid w:val="00EF1BF5"/>
    <w:rsid w:val="00EF2FE8"/>
    <w:rsid w:val="00EF39CC"/>
    <w:rsid w:val="00EF39DD"/>
    <w:rsid w:val="00EF475C"/>
    <w:rsid w:val="00EF4E3E"/>
    <w:rsid w:val="00EF5B39"/>
    <w:rsid w:val="00EF6123"/>
    <w:rsid w:val="00EF787E"/>
    <w:rsid w:val="00EF7982"/>
    <w:rsid w:val="00F0085D"/>
    <w:rsid w:val="00F013AF"/>
    <w:rsid w:val="00F01535"/>
    <w:rsid w:val="00F01A8A"/>
    <w:rsid w:val="00F01F05"/>
    <w:rsid w:val="00F02DB9"/>
    <w:rsid w:val="00F03AAD"/>
    <w:rsid w:val="00F05206"/>
    <w:rsid w:val="00F053CB"/>
    <w:rsid w:val="00F055EB"/>
    <w:rsid w:val="00F05668"/>
    <w:rsid w:val="00F05D22"/>
    <w:rsid w:val="00F06142"/>
    <w:rsid w:val="00F062FB"/>
    <w:rsid w:val="00F06E82"/>
    <w:rsid w:val="00F06F37"/>
    <w:rsid w:val="00F106F5"/>
    <w:rsid w:val="00F109B4"/>
    <w:rsid w:val="00F10B38"/>
    <w:rsid w:val="00F114E2"/>
    <w:rsid w:val="00F121B4"/>
    <w:rsid w:val="00F12530"/>
    <w:rsid w:val="00F12788"/>
    <w:rsid w:val="00F129CD"/>
    <w:rsid w:val="00F135EB"/>
    <w:rsid w:val="00F13B7A"/>
    <w:rsid w:val="00F13CD8"/>
    <w:rsid w:val="00F13D9D"/>
    <w:rsid w:val="00F13E34"/>
    <w:rsid w:val="00F13E9E"/>
    <w:rsid w:val="00F1433D"/>
    <w:rsid w:val="00F1512E"/>
    <w:rsid w:val="00F15705"/>
    <w:rsid w:val="00F15B24"/>
    <w:rsid w:val="00F17312"/>
    <w:rsid w:val="00F2022E"/>
    <w:rsid w:val="00F20EA4"/>
    <w:rsid w:val="00F21093"/>
    <w:rsid w:val="00F211A2"/>
    <w:rsid w:val="00F2371D"/>
    <w:rsid w:val="00F23939"/>
    <w:rsid w:val="00F25C58"/>
    <w:rsid w:val="00F26C2A"/>
    <w:rsid w:val="00F26E13"/>
    <w:rsid w:val="00F275A0"/>
    <w:rsid w:val="00F27D87"/>
    <w:rsid w:val="00F310E1"/>
    <w:rsid w:val="00F3189A"/>
    <w:rsid w:val="00F31FB2"/>
    <w:rsid w:val="00F322FF"/>
    <w:rsid w:val="00F327B5"/>
    <w:rsid w:val="00F3281B"/>
    <w:rsid w:val="00F338B9"/>
    <w:rsid w:val="00F3400C"/>
    <w:rsid w:val="00F34E46"/>
    <w:rsid w:val="00F34ED8"/>
    <w:rsid w:val="00F3554D"/>
    <w:rsid w:val="00F37D67"/>
    <w:rsid w:val="00F40139"/>
    <w:rsid w:val="00F40151"/>
    <w:rsid w:val="00F4093D"/>
    <w:rsid w:val="00F409EE"/>
    <w:rsid w:val="00F40FC4"/>
    <w:rsid w:val="00F41197"/>
    <w:rsid w:val="00F41A66"/>
    <w:rsid w:val="00F41BD1"/>
    <w:rsid w:val="00F42347"/>
    <w:rsid w:val="00F42DB1"/>
    <w:rsid w:val="00F433A2"/>
    <w:rsid w:val="00F4370F"/>
    <w:rsid w:val="00F43914"/>
    <w:rsid w:val="00F43F9D"/>
    <w:rsid w:val="00F443ED"/>
    <w:rsid w:val="00F447C0"/>
    <w:rsid w:val="00F44CE8"/>
    <w:rsid w:val="00F45452"/>
    <w:rsid w:val="00F4677E"/>
    <w:rsid w:val="00F469B7"/>
    <w:rsid w:val="00F47813"/>
    <w:rsid w:val="00F47832"/>
    <w:rsid w:val="00F47E15"/>
    <w:rsid w:val="00F47EF8"/>
    <w:rsid w:val="00F47F20"/>
    <w:rsid w:val="00F5049D"/>
    <w:rsid w:val="00F511CB"/>
    <w:rsid w:val="00F52F43"/>
    <w:rsid w:val="00F5376D"/>
    <w:rsid w:val="00F53B53"/>
    <w:rsid w:val="00F54307"/>
    <w:rsid w:val="00F54783"/>
    <w:rsid w:val="00F550BE"/>
    <w:rsid w:val="00F550D2"/>
    <w:rsid w:val="00F554D9"/>
    <w:rsid w:val="00F554F9"/>
    <w:rsid w:val="00F56414"/>
    <w:rsid w:val="00F573D4"/>
    <w:rsid w:val="00F57BCA"/>
    <w:rsid w:val="00F57FCF"/>
    <w:rsid w:val="00F61360"/>
    <w:rsid w:val="00F614AE"/>
    <w:rsid w:val="00F6186C"/>
    <w:rsid w:val="00F61B25"/>
    <w:rsid w:val="00F624A9"/>
    <w:rsid w:val="00F6348B"/>
    <w:rsid w:val="00F63668"/>
    <w:rsid w:val="00F63DF1"/>
    <w:rsid w:val="00F642E4"/>
    <w:rsid w:val="00F64314"/>
    <w:rsid w:val="00F64C45"/>
    <w:rsid w:val="00F658C8"/>
    <w:rsid w:val="00F65B9E"/>
    <w:rsid w:val="00F65E29"/>
    <w:rsid w:val="00F70011"/>
    <w:rsid w:val="00F70BE4"/>
    <w:rsid w:val="00F7124D"/>
    <w:rsid w:val="00F71495"/>
    <w:rsid w:val="00F71BCB"/>
    <w:rsid w:val="00F71D29"/>
    <w:rsid w:val="00F71EE8"/>
    <w:rsid w:val="00F72154"/>
    <w:rsid w:val="00F724B8"/>
    <w:rsid w:val="00F7285D"/>
    <w:rsid w:val="00F728B8"/>
    <w:rsid w:val="00F731B3"/>
    <w:rsid w:val="00F74510"/>
    <w:rsid w:val="00F757D1"/>
    <w:rsid w:val="00F75952"/>
    <w:rsid w:val="00F764D4"/>
    <w:rsid w:val="00F7668A"/>
    <w:rsid w:val="00F773E3"/>
    <w:rsid w:val="00F77833"/>
    <w:rsid w:val="00F7796D"/>
    <w:rsid w:val="00F800F3"/>
    <w:rsid w:val="00F817CD"/>
    <w:rsid w:val="00F81F42"/>
    <w:rsid w:val="00F82AEA"/>
    <w:rsid w:val="00F84925"/>
    <w:rsid w:val="00F84FC0"/>
    <w:rsid w:val="00F85BCC"/>
    <w:rsid w:val="00F85EE3"/>
    <w:rsid w:val="00F869D8"/>
    <w:rsid w:val="00F86CE1"/>
    <w:rsid w:val="00F86E3D"/>
    <w:rsid w:val="00F876CF"/>
    <w:rsid w:val="00F8793B"/>
    <w:rsid w:val="00F87CB5"/>
    <w:rsid w:val="00F90663"/>
    <w:rsid w:val="00F907EC"/>
    <w:rsid w:val="00F91089"/>
    <w:rsid w:val="00F92538"/>
    <w:rsid w:val="00F92582"/>
    <w:rsid w:val="00F931EF"/>
    <w:rsid w:val="00F9339D"/>
    <w:rsid w:val="00F933AF"/>
    <w:rsid w:val="00F94D52"/>
    <w:rsid w:val="00F96D15"/>
    <w:rsid w:val="00F973DE"/>
    <w:rsid w:val="00F97675"/>
    <w:rsid w:val="00FA00CD"/>
    <w:rsid w:val="00FA04B0"/>
    <w:rsid w:val="00FA0999"/>
    <w:rsid w:val="00FA0BC3"/>
    <w:rsid w:val="00FA0C65"/>
    <w:rsid w:val="00FA1300"/>
    <w:rsid w:val="00FA1880"/>
    <w:rsid w:val="00FA1DAA"/>
    <w:rsid w:val="00FA22B1"/>
    <w:rsid w:val="00FA2626"/>
    <w:rsid w:val="00FA31F2"/>
    <w:rsid w:val="00FA38F5"/>
    <w:rsid w:val="00FA39E9"/>
    <w:rsid w:val="00FA4185"/>
    <w:rsid w:val="00FA5CA5"/>
    <w:rsid w:val="00FA5E8A"/>
    <w:rsid w:val="00FA614C"/>
    <w:rsid w:val="00FA6529"/>
    <w:rsid w:val="00FA6EAA"/>
    <w:rsid w:val="00FA79B6"/>
    <w:rsid w:val="00FA7F25"/>
    <w:rsid w:val="00FB1219"/>
    <w:rsid w:val="00FB122F"/>
    <w:rsid w:val="00FB3211"/>
    <w:rsid w:val="00FB3467"/>
    <w:rsid w:val="00FB3943"/>
    <w:rsid w:val="00FB3C0F"/>
    <w:rsid w:val="00FB4289"/>
    <w:rsid w:val="00FB4885"/>
    <w:rsid w:val="00FB53AB"/>
    <w:rsid w:val="00FB574C"/>
    <w:rsid w:val="00FB61F6"/>
    <w:rsid w:val="00FB6743"/>
    <w:rsid w:val="00FB7158"/>
    <w:rsid w:val="00FB7887"/>
    <w:rsid w:val="00FB7D68"/>
    <w:rsid w:val="00FB7F0A"/>
    <w:rsid w:val="00FB7F44"/>
    <w:rsid w:val="00FC0D38"/>
    <w:rsid w:val="00FC100D"/>
    <w:rsid w:val="00FC1673"/>
    <w:rsid w:val="00FC2E1C"/>
    <w:rsid w:val="00FC3912"/>
    <w:rsid w:val="00FC3B3C"/>
    <w:rsid w:val="00FC3FC4"/>
    <w:rsid w:val="00FC403F"/>
    <w:rsid w:val="00FC448C"/>
    <w:rsid w:val="00FC576E"/>
    <w:rsid w:val="00FC66A7"/>
    <w:rsid w:val="00FC73FE"/>
    <w:rsid w:val="00FD0EDA"/>
    <w:rsid w:val="00FD1663"/>
    <w:rsid w:val="00FD2556"/>
    <w:rsid w:val="00FD2C68"/>
    <w:rsid w:val="00FD2DAE"/>
    <w:rsid w:val="00FD3B72"/>
    <w:rsid w:val="00FD45BF"/>
    <w:rsid w:val="00FD4CC7"/>
    <w:rsid w:val="00FD4E7E"/>
    <w:rsid w:val="00FD501C"/>
    <w:rsid w:val="00FD5273"/>
    <w:rsid w:val="00FD5F53"/>
    <w:rsid w:val="00FD6B01"/>
    <w:rsid w:val="00FD73C5"/>
    <w:rsid w:val="00FE00C4"/>
    <w:rsid w:val="00FE11A5"/>
    <w:rsid w:val="00FE13E2"/>
    <w:rsid w:val="00FE177E"/>
    <w:rsid w:val="00FE221F"/>
    <w:rsid w:val="00FE34BE"/>
    <w:rsid w:val="00FE3E0B"/>
    <w:rsid w:val="00FE3FFB"/>
    <w:rsid w:val="00FE6E2D"/>
    <w:rsid w:val="00FE712A"/>
    <w:rsid w:val="00FF02C4"/>
    <w:rsid w:val="00FF0795"/>
    <w:rsid w:val="00FF09D7"/>
    <w:rsid w:val="00FF1CF7"/>
    <w:rsid w:val="00FF216C"/>
    <w:rsid w:val="00FF2194"/>
    <w:rsid w:val="00FF293B"/>
    <w:rsid w:val="00FF29D8"/>
    <w:rsid w:val="00FF2FBA"/>
    <w:rsid w:val="00FF3444"/>
    <w:rsid w:val="00FF3788"/>
    <w:rsid w:val="00FF3B4F"/>
    <w:rsid w:val="00FF3CF2"/>
    <w:rsid w:val="00FF464A"/>
    <w:rsid w:val="00FF4FA4"/>
    <w:rsid w:val="00FF507E"/>
    <w:rsid w:val="00FF5C9C"/>
    <w:rsid w:val="00FF5F03"/>
    <w:rsid w:val="00FF6050"/>
    <w:rsid w:val="00FF65FD"/>
    <w:rsid w:val="00FF7AE4"/>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F1F5FA"/>
  <w15:chartTrackingRefBased/>
  <w15:docId w15:val="{3F043386-18E2-46EF-B053-329C0EA7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sid w:val="008C3E70"/>
    <w:pPr>
      <w:spacing w:before="120" w:after="0" w:line="240" w:lineRule="auto"/>
      <w:jc w:val="both"/>
    </w:pPr>
    <w:rPr>
      <w:rFonts w:ascii="Times New Roman" w:eastAsia="Times New Roman" w:hAnsi="Times New Roman" w:cs="Times New Roman"/>
      <w:sz w:val="24"/>
      <w:szCs w:val="24"/>
      <w:lang w:eastAsia="et-EE"/>
    </w:rPr>
  </w:style>
  <w:style w:type="paragraph" w:styleId="Pealkiri1">
    <w:name w:val="heading 1"/>
    <w:basedOn w:val="Normaallaad"/>
    <w:next w:val="Normaallaad"/>
    <w:link w:val="Pealkiri1Mrk"/>
    <w:uiPriority w:val="9"/>
    <w:qFormat/>
    <w:rsid w:val="00C05129"/>
    <w:pPr>
      <w:keepNext/>
      <w:numPr>
        <w:numId w:val="3"/>
      </w:numPr>
      <w:spacing w:before="0"/>
      <w:outlineLvl w:val="0"/>
    </w:pPr>
    <w:rPr>
      <w:b/>
      <w:bCs/>
      <w:color w:val="002060"/>
      <w:sz w:val="28"/>
      <w:lang w:val="en-GB" w:eastAsia="en-US"/>
    </w:rPr>
  </w:style>
  <w:style w:type="paragraph" w:styleId="Pealkiri2">
    <w:name w:val="heading 2"/>
    <w:basedOn w:val="Normaallaad"/>
    <w:next w:val="Normaallaad"/>
    <w:link w:val="Pealkiri2Mrk"/>
    <w:uiPriority w:val="9"/>
    <w:unhideWhenUsed/>
    <w:qFormat/>
    <w:rsid w:val="00C05129"/>
    <w:pPr>
      <w:keepNext/>
      <w:keepLines/>
      <w:spacing w:before="200"/>
      <w:jc w:val="left"/>
      <w:outlineLvl w:val="1"/>
    </w:pPr>
    <w:rPr>
      <w:rFonts w:eastAsiaTheme="majorEastAsia"/>
      <w:b/>
      <w:bCs/>
      <w:color w:val="002060"/>
      <w:sz w:val="26"/>
      <w:szCs w:val="26"/>
      <w:lang w:eastAsia="en-US"/>
    </w:rPr>
  </w:style>
  <w:style w:type="paragraph" w:styleId="Pealkiri30">
    <w:name w:val="heading 3"/>
    <w:basedOn w:val="Normaallaad"/>
    <w:next w:val="Normaallaad"/>
    <w:link w:val="Pealkiri3Mrk"/>
    <w:uiPriority w:val="9"/>
    <w:unhideWhenUsed/>
    <w:qFormat/>
    <w:rsid w:val="00C05129"/>
    <w:pPr>
      <w:keepNext/>
      <w:keepLines/>
      <w:spacing w:before="200"/>
      <w:jc w:val="left"/>
      <w:outlineLvl w:val="2"/>
    </w:pPr>
    <w:rPr>
      <w:rFonts w:eastAsiaTheme="majorEastAsia"/>
      <w:b/>
      <w:bCs/>
      <w:color w:val="002060"/>
      <w:lang w:val="en-GB" w:eastAsia="en-US"/>
    </w:rPr>
  </w:style>
  <w:style w:type="paragraph" w:styleId="Pealkiri4">
    <w:name w:val="heading 4"/>
    <w:basedOn w:val="Normaallaad"/>
    <w:next w:val="Normaallaad"/>
    <w:link w:val="Pealkiri4Mrk"/>
    <w:uiPriority w:val="9"/>
    <w:qFormat/>
    <w:rsid w:val="008C3E70"/>
    <w:pPr>
      <w:keepNext/>
      <w:spacing w:before="0" w:after="120"/>
      <w:jc w:val="left"/>
      <w:outlineLvl w:val="3"/>
    </w:pPr>
    <w:rPr>
      <w:b/>
      <w:bCs/>
      <w:sz w:val="25"/>
      <w:lang w:eastAsia="en-US"/>
    </w:rPr>
  </w:style>
  <w:style w:type="paragraph" w:styleId="Pealkiri5">
    <w:name w:val="heading 5"/>
    <w:basedOn w:val="Normaallaad"/>
    <w:next w:val="Normaallaad"/>
    <w:link w:val="Pealkiri5Mrk"/>
    <w:uiPriority w:val="9"/>
    <w:qFormat/>
    <w:rsid w:val="008C3E70"/>
    <w:pPr>
      <w:keepNext/>
      <w:spacing w:before="0" w:after="120"/>
      <w:outlineLvl w:val="4"/>
    </w:pPr>
    <w:rPr>
      <w:b/>
      <w:bCs/>
      <w:sz w:val="25"/>
      <w:lang w:eastAsia="en-US"/>
    </w:rPr>
  </w:style>
  <w:style w:type="paragraph" w:styleId="Pealkiri6">
    <w:name w:val="heading 6"/>
    <w:basedOn w:val="Normaallaad"/>
    <w:next w:val="Normaallaad"/>
    <w:link w:val="Pealkiri6Mrk"/>
    <w:uiPriority w:val="9"/>
    <w:qFormat/>
    <w:rsid w:val="008C3E70"/>
    <w:pPr>
      <w:keepNext/>
      <w:numPr>
        <w:numId w:val="2"/>
      </w:numPr>
      <w:spacing w:before="0" w:line="300" w:lineRule="auto"/>
      <w:outlineLvl w:val="5"/>
    </w:pPr>
    <w:rPr>
      <w:b/>
      <w:bCs/>
      <w:lang w:val="en-GB" w:eastAsia="en-US"/>
    </w:rPr>
  </w:style>
  <w:style w:type="paragraph" w:styleId="Pealkiri7">
    <w:name w:val="heading 7"/>
    <w:basedOn w:val="Normaallaad"/>
    <w:next w:val="Normaallaad"/>
    <w:link w:val="Pealkiri7Mrk"/>
    <w:uiPriority w:val="9"/>
    <w:qFormat/>
    <w:rsid w:val="008C3E70"/>
    <w:pPr>
      <w:keepNext/>
      <w:spacing w:before="0" w:line="300" w:lineRule="auto"/>
      <w:outlineLvl w:val="6"/>
    </w:pPr>
    <w:rPr>
      <w:rFonts w:ascii="Arial" w:hAnsi="Arial" w:cs="Arial"/>
      <w:b/>
      <w:bCs/>
      <w:sz w:val="20"/>
      <w:szCs w:val="20"/>
      <w:lang w:eastAsia="en-US"/>
    </w:rPr>
  </w:style>
  <w:style w:type="paragraph" w:styleId="Pealkiri8">
    <w:name w:val="heading 8"/>
    <w:basedOn w:val="Normaallaad"/>
    <w:next w:val="Normaallaad"/>
    <w:link w:val="Pealkiri8Mrk"/>
    <w:uiPriority w:val="9"/>
    <w:unhideWhenUsed/>
    <w:qFormat/>
    <w:rsid w:val="002C15AB"/>
    <w:pPr>
      <w:keepNext/>
      <w:ind w:left="720"/>
      <w:jc w:val="center"/>
      <w:outlineLvl w:val="7"/>
    </w:pPr>
    <w:rPr>
      <w:b/>
      <w:color w:val="000000" w:themeColor="text1"/>
    </w:rPr>
  </w:style>
  <w:style w:type="paragraph" w:styleId="Pealkiri9">
    <w:name w:val="heading 9"/>
    <w:basedOn w:val="Normaallaad"/>
    <w:next w:val="Normaallaad"/>
    <w:link w:val="Pealkiri9Mrk"/>
    <w:uiPriority w:val="9"/>
    <w:unhideWhenUsed/>
    <w:qFormat/>
    <w:rsid w:val="00AB394C"/>
    <w:pPr>
      <w:keepNext/>
      <w:autoSpaceDE w:val="0"/>
      <w:autoSpaceDN w:val="0"/>
      <w:adjustRightInd w:val="0"/>
      <w:spacing w:before="0"/>
      <w:outlineLvl w:val="8"/>
    </w:pPr>
    <w:rPr>
      <w:rFonts w:eastAsiaTheme="minorHAnsi"/>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05129"/>
    <w:rPr>
      <w:rFonts w:ascii="Times New Roman" w:eastAsia="Times New Roman" w:hAnsi="Times New Roman" w:cs="Times New Roman"/>
      <w:b/>
      <w:bCs/>
      <w:color w:val="002060"/>
      <w:sz w:val="28"/>
      <w:szCs w:val="24"/>
      <w:lang w:val="en-GB"/>
    </w:rPr>
  </w:style>
  <w:style w:type="character" w:customStyle="1" w:styleId="Pealkiri2Mrk">
    <w:name w:val="Pealkiri 2 Märk"/>
    <w:basedOn w:val="Liguvaikefont"/>
    <w:link w:val="Pealkiri2"/>
    <w:uiPriority w:val="9"/>
    <w:rsid w:val="00C05129"/>
    <w:rPr>
      <w:rFonts w:ascii="Times New Roman" w:eastAsiaTheme="majorEastAsia" w:hAnsi="Times New Roman" w:cs="Times New Roman"/>
      <w:b/>
      <w:bCs/>
      <w:color w:val="002060"/>
      <w:sz w:val="26"/>
      <w:szCs w:val="26"/>
    </w:rPr>
  </w:style>
  <w:style w:type="character" w:customStyle="1" w:styleId="Pealkiri3Mrk">
    <w:name w:val="Pealkiri 3 Märk"/>
    <w:basedOn w:val="Liguvaikefont"/>
    <w:link w:val="Pealkiri30"/>
    <w:uiPriority w:val="9"/>
    <w:rsid w:val="00C05129"/>
    <w:rPr>
      <w:rFonts w:ascii="Times New Roman" w:eastAsiaTheme="majorEastAsia" w:hAnsi="Times New Roman" w:cs="Times New Roman"/>
      <w:b/>
      <w:bCs/>
      <w:color w:val="002060"/>
      <w:sz w:val="24"/>
      <w:szCs w:val="24"/>
      <w:lang w:val="en-GB"/>
    </w:rPr>
  </w:style>
  <w:style w:type="character" w:customStyle="1" w:styleId="Pealkiri4Mrk">
    <w:name w:val="Pealkiri 4 Märk"/>
    <w:basedOn w:val="Liguvaikefont"/>
    <w:link w:val="Pealkiri4"/>
    <w:uiPriority w:val="9"/>
    <w:rsid w:val="008C3E70"/>
    <w:rPr>
      <w:rFonts w:ascii="Times New Roman" w:eastAsia="Times New Roman" w:hAnsi="Times New Roman" w:cs="Times New Roman"/>
      <w:b/>
      <w:bCs/>
      <w:sz w:val="25"/>
      <w:szCs w:val="24"/>
    </w:rPr>
  </w:style>
  <w:style w:type="character" w:customStyle="1" w:styleId="Pealkiri5Mrk">
    <w:name w:val="Pealkiri 5 Märk"/>
    <w:basedOn w:val="Liguvaikefont"/>
    <w:link w:val="Pealkiri5"/>
    <w:uiPriority w:val="9"/>
    <w:rsid w:val="008C3E70"/>
    <w:rPr>
      <w:rFonts w:ascii="Times New Roman" w:eastAsia="Times New Roman" w:hAnsi="Times New Roman" w:cs="Times New Roman"/>
      <w:b/>
      <w:bCs/>
      <w:sz w:val="25"/>
      <w:szCs w:val="24"/>
    </w:rPr>
  </w:style>
  <w:style w:type="character" w:customStyle="1" w:styleId="Pealkiri6Mrk">
    <w:name w:val="Pealkiri 6 Märk"/>
    <w:basedOn w:val="Liguvaikefont"/>
    <w:link w:val="Pealkiri6"/>
    <w:uiPriority w:val="9"/>
    <w:rsid w:val="008C3E70"/>
    <w:rPr>
      <w:rFonts w:ascii="Times New Roman" w:eastAsia="Times New Roman" w:hAnsi="Times New Roman" w:cs="Times New Roman"/>
      <w:b/>
      <w:bCs/>
      <w:sz w:val="24"/>
      <w:szCs w:val="24"/>
      <w:lang w:val="en-GB"/>
    </w:rPr>
  </w:style>
  <w:style w:type="character" w:customStyle="1" w:styleId="Pealkiri7Mrk">
    <w:name w:val="Pealkiri 7 Märk"/>
    <w:basedOn w:val="Liguvaikefont"/>
    <w:link w:val="Pealkiri7"/>
    <w:uiPriority w:val="9"/>
    <w:rsid w:val="008C3E70"/>
    <w:rPr>
      <w:rFonts w:ascii="Arial" w:eastAsia="Times New Roman" w:hAnsi="Arial" w:cs="Arial"/>
      <w:b/>
      <w:bCs/>
      <w:sz w:val="20"/>
      <w:szCs w:val="20"/>
    </w:rPr>
  </w:style>
  <w:style w:type="character" w:customStyle="1" w:styleId="Pealkiri8Mrk">
    <w:name w:val="Pealkiri 8 Märk"/>
    <w:basedOn w:val="Liguvaikefont"/>
    <w:link w:val="Pealkiri8"/>
    <w:uiPriority w:val="9"/>
    <w:rsid w:val="002C15AB"/>
    <w:rPr>
      <w:rFonts w:ascii="Times New Roman" w:eastAsia="Times New Roman" w:hAnsi="Times New Roman" w:cs="Times New Roman"/>
      <w:b/>
      <w:color w:val="000000" w:themeColor="text1"/>
      <w:sz w:val="24"/>
      <w:szCs w:val="24"/>
      <w:lang w:eastAsia="et-EE"/>
    </w:rPr>
  </w:style>
  <w:style w:type="character" w:customStyle="1" w:styleId="Pealkiri9Mrk">
    <w:name w:val="Pealkiri 9 Märk"/>
    <w:basedOn w:val="Liguvaikefont"/>
    <w:link w:val="Pealkiri9"/>
    <w:uiPriority w:val="9"/>
    <w:rsid w:val="00AB394C"/>
    <w:rPr>
      <w:rFonts w:ascii="Times New Roman" w:hAnsi="Times New Roman" w:cs="Times New Roman"/>
      <w:b/>
      <w:sz w:val="24"/>
      <w:szCs w:val="24"/>
      <w:lang w:eastAsia="et-EE"/>
    </w:rPr>
  </w:style>
  <w:style w:type="character" w:styleId="Hperlink">
    <w:name w:val="Hyperlink"/>
    <w:basedOn w:val="Liguvaikefont"/>
    <w:uiPriority w:val="99"/>
    <w:rsid w:val="008C3E70"/>
    <w:rPr>
      <w:rFonts w:cs="Times New Roman"/>
      <w:color w:val="0000FF"/>
      <w:u w:val="single"/>
    </w:rPr>
  </w:style>
  <w:style w:type="paragraph" w:styleId="Loendilik">
    <w:name w:val="List Paragraph"/>
    <w:aliases w:val="Puce,Recommendation,List Paragraph1,List Paragraph11,L,Listaszerű bekezdés1,List Paragraph à moi,Kolorowa lista — akcent 11,Numerowanie,Dot pt,F5 List Paragraph,Issue Action POC,3,POCG Table Text,List Paragraph Char Char Char,No Spacing1"/>
    <w:basedOn w:val="Normaallaad"/>
    <w:link w:val="LoendilikMrk"/>
    <w:uiPriority w:val="34"/>
    <w:qFormat/>
    <w:rsid w:val="008C3E70"/>
    <w:pPr>
      <w:spacing w:before="0"/>
      <w:ind w:left="720"/>
      <w:contextualSpacing/>
      <w:jc w:val="left"/>
    </w:pPr>
    <w:rPr>
      <w:lang w:eastAsia="en-US"/>
    </w:rPr>
  </w:style>
  <w:style w:type="character" w:customStyle="1" w:styleId="LoendilikMrk">
    <w:name w:val="Loendi lõik Märk"/>
    <w:aliases w:val="Puce Märk,Recommendation Märk,List Paragraph1 Märk,List Paragraph11 Märk,L Märk,Listaszerű bekezdés1 Märk,List Paragraph à moi Märk,Kolorowa lista — akcent 11 Märk,Numerowanie Märk,Dot pt Märk,F5 List Paragraph Märk,3 Märk"/>
    <w:basedOn w:val="Liguvaikefont"/>
    <w:link w:val="Loendilik"/>
    <w:uiPriority w:val="34"/>
    <w:qFormat/>
    <w:locked/>
    <w:rsid w:val="00D402C0"/>
    <w:rPr>
      <w:rFonts w:ascii="Times New Roman" w:eastAsia="Times New Roman" w:hAnsi="Times New Roman" w:cs="Times New Roman"/>
      <w:sz w:val="24"/>
      <w:szCs w:val="24"/>
    </w:rPr>
  </w:style>
  <w:style w:type="paragraph" w:styleId="Allmrkusetekst">
    <w:name w:val="footnote text"/>
    <w:aliases w:val="Footnote Text Char Char,Footnote,Fußnote,FSR footnote,lábléc,Carattere1,Footnote Text Char1 Char,Footnote Text Char2 Char Char Char,Footnote Text Char1 Char Char Char Char,Footnote Text Char Char Char Char Char Char,fn,f,Znak,libléc,lib"/>
    <w:basedOn w:val="Normaallaad"/>
    <w:link w:val="AllmrkusetekstMrk"/>
    <w:uiPriority w:val="99"/>
    <w:qFormat/>
    <w:rsid w:val="008C3E70"/>
    <w:pPr>
      <w:spacing w:before="0"/>
      <w:ind w:left="720" w:hanging="720"/>
      <w:jc w:val="left"/>
    </w:pPr>
    <w:rPr>
      <w:lang w:eastAsia="en-US"/>
    </w:rPr>
  </w:style>
  <w:style w:type="character" w:customStyle="1" w:styleId="AllmrkusetekstMrk">
    <w:name w:val="Allmärkuse tekst Märk"/>
    <w:aliases w:val="Footnote Text Char Char Märk,Footnote Märk,Fußnote Märk,FSR footnote Märk,lábléc Märk,Carattere1 Märk,Footnote Text Char1 Char Märk,Footnote Text Char2 Char Char Char Märk,Footnote Text Char1 Char Char Char Char Märk,fn Märk,f Märk"/>
    <w:basedOn w:val="Liguvaikefont"/>
    <w:link w:val="Allmrkusetekst"/>
    <w:uiPriority w:val="99"/>
    <w:rsid w:val="008C3E70"/>
    <w:rPr>
      <w:rFonts w:ascii="Times New Roman" w:eastAsia="Times New Roman" w:hAnsi="Times New Roman" w:cs="Times New Roman"/>
      <w:sz w:val="24"/>
      <w:szCs w:val="24"/>
    </w:rPr>
  </w:style>
  <w:style w:type="paragraph" w:customStyle="1" w:styleId="kehatekst">
    <w:name w:val="kehatekst"/>
    <w:basedOn w:val="Normaallaad"/>
    <w:rsid w:val="008C3E70"/>
    <w:pPr>
      <w:spacing w:before="0" w:after="90"/>
      <w:jc w:val="left"/>
    </w:pPr>
    <w:rPr>
      <w:spacing w:val="-5"/>
      <w:lang w:eastAsia="en-US"/>
    </w:rPr>
  </w:style>
  <w:style w:type="paragraph" w:styleId="Redaktsioon">
    <w:name w:val="Revision"/>
    <w:hidden/>
    <w:uiPriority w:val="99"/>
    <w:semiHidden/>
    <w:rsid w:val="008C3E70"/>
    <w:pPr>
      <w:spacing w:after="0" w:line="240" w:lineRule="auto"/>
    </w:pPr>
    <w:rPr>
      <w:rFonts w:ascii="Times New Roman" w:eastAsia="Times New Roman" w:hAnsi="Times New Roman" w:cs="Times New Roman"/>
      <w:sz w:val="24"/>
      <w:szCs w:val="24"/>
    </w:rPr>
  </w:style>
  <w:style w:type="character" w:customStyle="1" w:styleId="tyhik">
    <w:name w:val="tyhik"/>
    <w:basedOn w:val="Liguvaikefont"/>
    <w:rsid w:val="008C3E70"/>
    <w:rPr>
      <w:rFonts w:cs="Times New Roman"/>
    </w:rPr>
  </w:style>
  <w:style w:type="paragraph" w:customStyle="1" w:styleId="paragraph">
    <w:name w:val="paragraph"/>
    <w:basedOn w:val="Normaallaad"/>
    <w:rsid w:val="008C3E70"/>
    <w:pPr>
      <w:spacing w:before="240" w:after="100" w:afterAutospacing="1"/>
      <w:jc w:val="left"/>
    </w:pPr>
  </w:style>
  <w:style w:type="paragraph" w:customStyle="1" w:styleId="Text2">
    <w:name w:val="Text 2"/>
    <w:basedOn w:val="Normaallaad"/>
    <w:rsid w:val="008C3E70"/>
    <w:pPr>
      <w:tabs>
        <w:tab w:val="left" w:pos="2302"/>
      </w:tabs>
      <w:spacing w:before="0" w:after="240"/>
      <w:ind w:left="1202"/>
    </w:pPr>
    <w:rPr>
      <w:szCs w:val="20"/>
      <w:lang w:val="en-GB" w:eastAsia="en-US"/>
    </w:rPr>
  </w:style>
  <w:style w:type="paragraph" w:styleId="Kommentaaritekst">
    <w:name w:val="annotation text"/>
    <w:basedOn w:val="Normaallaad"/>
    <w:link w:val="KommentaaritekstMrk"/>
    <w:uiPriority w:val="99"/>
    <w:rsid w:val="008C3E70"/>
    <w:pPr>
      <w:spacing w:before="0"/>
      <w:jc w:val="left"/>
    </w:pPr>
    <w:rPr>
      <w:sz w:val="20"/>
      <w:szCs w:val="20"/>
      <w:lang w:val="en-GB" w:eastAsia="en-US"/>
    </w:rPr>
  </w:style>
  <w:style w:type="character" w:customStyle="1" w:styleId="KommentaaritekstMrk">
    <w:name w:val="Kommentaari tekst Märk"/>
    <w:basedOn w:val="Liguvaikefont"/>
    <w:link w:val="Kommentaaritekst"/>
    <w:uiPriority w:val="99"/>
    <w:rsid w:val="008C3E70"/>
    <w:rPr>
      <w:rFonts w:ascii="Times New Roman" w:eastAsia="Times New Roman" w:hAnsi="Times New Roman" w:cs="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8C3E70"/>
    <w:rPr>
      <w:b/>
      <w:bCs/>
      <w:lang w:val="et-EE"/>
    </w:rPr>
  </w:style>
  <w:style w:type="character" w:customStyle="1" w:styleId="KommentaariteemaMrk">
    <w:name w:val="Kommentaari teema Märk"/>
    <w:basedOn w:val="KommentaaritekstMrk"/>
    <w:link w:val="Kommentaariteema"/>
    <w:uiPriority w:val="99"/>
    <w:semiHidden/>
    <w:rsid w:val="008C3E70"/>
    <w:rPr>
      <w:rFonts w:ascii="Times New Roman" w:eastAsia="Times New Roman" w:hAnsi="Times New Roman" w:cs="Times New Roman"/>
      <w:b/>
      <w:bCs/>
      <w:sz w:val="20"/>
      <w:szCs w:val="20"/>
      <w:lang w:val="en-GB"/>
    </w:rPr>
  </w:style>
  <w:style w:type="character" w:customStyle="1" w:styleId="hps">
    <w:name w:val="hps"/>
    <w:basedOn w:val="Liguvaikefont"/>
    <w:rsid w:val="008C3E70"/>
    <w:rPr>
      <w:rFonts w:cs="Times New Roman"/>
    </w:rPr>
  </w:style>
  <w:style w:type="character" w:customStyle="1" w:styleId="st1">
    <w:name w:val="st1"/>
    <w:basedOn w:val="Liguvaikefont"/>
    <w:rsid w:val="008C3E70"/>
    <w:rPr>
      <w:rFonts w:cs="Times New Roman"/>
    </w:rPr>
  </w:style>
  <w:style w:type="paragraph" w:customStyle="1" w:styleId="CM3">
    <w:name w:val="CM3"/>
    <w:basedOn w:val="Default"/>
    <w:next w:val="Default"/>
    <w:uiPriority w:val="99"/>
    <w:rsid w:val="008C3E70"/>
    <w:rPr>
      <w:rFonts w:ascii="EUAlbertina" w:hAnsi="EUAlbertina" w:cs="Arial"/>
      <w:color w:val="auto"/>
      <w:lang w:val="et-EE"/>
    </w:rPr>
  </w:style>
  <w:style w:type="paragraph" w:customStyle="1" w:styleId="Default">
    <w:name w:val="Default"/>
    <w:rsid w:val="008C3E7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M1">
    <w:name w:val="CM1"/>
    <w:basedOn w:val="Default"/>
    <w:next w:val="Default"/>
    <w:uiPriority w:val="99"/>
    <w:rsid w:val="008C3E70"/>
    <w:rPr>
      <w:rFonts w:ascii="EUAlbertina" w:hAnsi="EUAlbertina" w:cs="Arial"/>
      <w:color w:val="auto"/>
      <w:lang w:val="et-EE"/>
    </w:rPr>
  </w:style>
  <w:style w:type="paragraph" w:styleId="Jutumullitekst">
    <w:name w:val="Balloon Text"/>
    <w:basedOn w:val="Normaallaad"/>
    <w:link w:val="JutumullitekstMrk"/>
    <w:uiPriority w:val="99"/>
    <w:semiHidden/>
    <w:unhideWhenUsed/>
    <w:rsid w:val="008C3E70"/>
    <w:pPr>
      <w:spacing w:before="0"/>
      <w:jc w:val="left"/>
    </w:pPr>
    <w:rPr>
      <w:rFonts w:ascii="Tahoma" w:hAnsi="Tahoma" w:cs="Tahoma"/>
      <w:sz w:val="16"/>
      <w:szCs w:val="16"/>
      <w:lang w:eastAsia="en-US"/>
    </w:rPr>
  </w:style>
  <w:style w:type="character" w:customStyle="1" w:styleId="JutumullitekstMrk">
    <w:name w:val="Jutumullitekst Märk"/>
    <w:basedOn w:val="Liguvaikefont"/>
    <w:link w:val="Jutumullitekst"/>
    <w:uiPriority w:val="99"/>
    <w:semiHidden/>
    <w:rsid w:val="008C3E70"/>
    <w:rPr>
      <w:rFonts w:ascii="Tahoma" w:eastAsia="Times New Roman" w:hAnsi="Tahoma" w:cs="Tahoma"/>
      <w:sz w:val="16"/>
      <w:szCs w:val="16"/>
    </w:rPr>
  </w:style>
  <w:style w:type="character" w:styleId="Kommentaariviide">
    <w:name w:val="annotation reference"/>
    <w:aliases w:val="Heading 4 Char1"/>
    <w:basedOn w:val="Liguvaikefont"/>
    <w:uiPriority w:val="99"/>
    <w:rsid w:val="008C3E70"/>
    <w:rPr>
      <w:rFonts w:cs="Times New Roman"/>
      <w:sz w:val="16"/>
      <w:szCs w:val="16"/>
    </w:rPr>
  </w:style>
  <w:style w:type="character" w:styleId="Rhutus">
    <w:name w:val="Emphasis"/>
    <w:basedOn w:val="Liguvaikefont"/>
    <w:uiPriority w:val="20"/>
    <w:qFormat/>
    <w:rsid w:val="008C3E70"/>
    <w:rPr>
      <w:rFonts w:cs="Times New Roman"/>
      <w:i/>
      <w:iCs/>
    </w:rPr>
  </w:style>
  <w:style w:type="character" w:customStyle="1" w:styleId="NormaallaadveebMrk1">
    <w:name w:val="Normaallaad (veeb) Märk1"/>
    <w:basedOn w:val="Liguvaikefont"/>
    <w:link w:val="Normaallaadveeb"/>
    <w:uiPriority w:val="99"/>
    <w:locked/>
    <w:rsid w:val="008C3E70"/>
    <w:rPr>
      <w:rFonts w:ascii="Times New Roman" w:hAnsi="Times New Roman" w:cs="Times New Roman"/>
      <w:sz w:val="24"/>
      <w:szCs w:val="24"/>
      <w:lang w:val="x-none" w:eastAsia="et-EE"/>
    </w:rPr>
  </w:style>
  <w:style w:type="paragraph" w:styleId="Normaallaadveeb">
    <w:name w:val="Normal (Web)"/>
    <w:basedOn w:val="Normaallaad"/>
    <w:link w:val="NormaallaadveebMrk1"/>
    <w:uiPriority w:val="99"/>
    <w:unhideWhenUsed/>
    <w:rsid w:val="008C3E70"/>
    <w:pPr>
      <w:spacing w:before="100" w:beforeAutospacing="1" w:after="100" w:afterAutospacing="1"/>
      <w:jc w:val="left"/>
    </w:pPr>
    <w:rPr>
      <w:rFonts w:eastAsiaTheme="minorHAnsi"/>
      <w:lang w:val="x-none"/>
    </w:rPr>
  </w:style>
  <w:style w:type="paragraph" w:styleId="Jalus">
    <w:name w:val="footer"/>
    <w:basedOn w:val="Normaallaad"/>
    <w:link w:val="JalusMrk"/>
    <w:uiPriority w:val="99"/>
    <w:unhideWhenUsed/>
    <w:rsid w:val="008C3E70"/>
    <w:pPr>
      <w:tabs>
        <w:tab w:val="center" w:pos="4536"/>
        <w:tab w:val="right" w:pos="9072"/>
      </w:tabs>
      <w:spacing w:before="0"/>
      <w:jc w:val="left"/>
    </w:pPr>
    <w:rPr>
      <w:lang w:eastAsia="en-US"/>
    </w:rPr>
  </w:style>
  <w:style w:type="character" w:customStyle="1" w:styleId="JalusMrk">
    <w:name w:val="Jalus Märk"/>
    <w:basedOn w:val="Liguvaikefont"/>
    <w:link w:val="Jalus"/>
    <w:uiPriority w:val="99"/>
    <w:rsid w:val="008C3E70"/>
    <w:rPr>
      <w:rFonts w:ascii="Times New Roman" w:eastAsia="Times New Roman" w:hAnsi="Times New Roman" w:cs="Times New Roman"/>
      <w:sz w:val="24"/>
      <w:szCs w:val="24"/>
    </w:rPr>
  </w:style>
  <w:style w:type="paragraph" w:styleId="Pis">
    <w:name w:val="header"/>
    <w:basedOn w:val="Normaallaad"/>
    <w:link w:val="PisMrk"/>
    <w:uiPriority w:val="99"/>
    <w:unhideWhenUsed/>
    <w:rsid w:val="008C3E70"/>
    <w:pPr>
      <w:tabs>
        <w:tab w:val="center" w:pos="4536"/>
        <w:tab w:val="right" w:pos="9072"/>
      </w:tabs>
      <w:spacing w:before="0"/>
      <w:jc w:val="left"/>
    </w:pPr>
    <w:rPr>
      <w:lang w:eastAsia="en-US"/>
    </w:rPr>
  </w:style>
  <w:style w:type="character" w:customStyle="1" w:styleId="PisMrk">
    <w:name w:val="Päis Märk"/>
    <w:basedOn w:val="Liguvaikefont"/>
    <w:link w:val="Pis"/>
    <w:uiPriority w:val="99"/>
    <w:rsid w:val="008C3E70"/>
    <w:rPr>
      <w:rFonts w:ascii="Times New Roman" w:eastAsia="Times New Roman" w:hAnsi="Times New Roman" w:cs="Times New Roman"/>
      <w:sz w:val="24"/>
      <w:szCs w:val="24"/>
    </w:rPr>
  </w:style>
  <w:style w:type="paragraph" w:customStyle="1" w:styleId="CM4">
    <w:name w:val="CM4"/>
    <w:basedOn w:val="Normaallaad"/>
    <w:next w:val="Normaallaad"/>
    <w:uiPriority w:val="99"/>
    <w:rsid w:val="008C3E70"/>
    <w:pPr>
      <w:autoSpaceDE w:val="0"/>
      <w:autoSpaceDN w:val="0"/>
      <w:adjustRightInd w:val="0"/>
      <w:spacing w:before="0"/>
      <w:jc w:val="left"/>
    </w:pPr>
    <w:rPr>
      <w:rFonts w:ascii="EUAlbertina" w:hAnsi="EUAlbertina"/>
      <w:lang w:eastAsia="en-US"/>
    </w:rPr>
  </w:style>
  <w:style w:type="paragraph" w:customStyle="1" w:styleId="Text1">
    <w:name w:val="Text 1"/>
    <w:basedOn w:val="Normaallaad"/>
    <w:rsid w:val="008C3E70"/>
    <w:pPr>
      <w:spacing w:after="120"/>
      <w:ind w:left="850"/>
    </w:pPr>
    <w:rPr>
      <w:rFonts w:cs="Calibri"/>
      <w:sz w:val="22"/>
      <w:lang w:eastAsia="de-DE"/>
    </w:rPr>
  </w:style>
  <w:style w:type="table" w:styleId="Kontuurtabel">
    <w:name w:val="Table Grid"/>
    <w:basedOn w:val="Normaaltabel"/>
    <w:uiPriority w:val="99"/>
    <w:rsid w:val="008C3E70"/>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0">
    <w:name w:val="Body Text"/>
    <w:basedOn w:val="Normaallaad"/>
    <w:link w:val="KehatekstMrk"/>
    <w:uiPriority w:val="99"/>
    <w:rsid w:val="008C3E70"/>
    <w:pPr>
      <w:spacing w:before="0"/>
    </w:pPr>
    <w:rPr>
      <w:rFonts w:eastAsiaTheme="minorEastAsia"/>
      <w:lang w:eastAsia="en-US"/>
    </w:rPr>
  </w:style>
  <w:style w:type="character" w:customStyle="1" w:styleId="KehatekstMrk">
    <w:name w:val="Kehatekst Märk"/>
    <w:basedOn w:val="Liguvaikefont"/>
    <w:link w:val="Kehatekst0"/>
    <w:uiPriority w:val="99"/>
    <w:rsid w:val="008C3E70"/>
    <w:rPr>
      <w:rFonts w:ascii="Times New Roman" w:eastAsiaTheme="minorEastAsia" w:hAnsi="Times New Roman" w:cs="Times New Roman"/>
      <w:sz w:val="24"/>
      <w:szCs w:val="24"/>
    </w:rPr>
  </w:style>
  <w:style w:type="character" w:styleId="Allmrkuseviide">
    <w:name w:val="footnote reference"/>
    <w:aliases w:val="Footnote Reference Number,Footnote Reference_LVL6,Footnote Reference_LVL61,Footnote Reference_LVL62,Footnote Reference_LVL63,Footnote Reference_LVL64,Fußnotenzeichen3,Footnote symbol,Footnote reference number,Footnote Reference Num,C"/>
    <w:basedOn w:val="Liguvaikefont"/>
    <w:uiPriority w:val="99"/>
    <w:qFormat/>
    <w:rsid w:val="008C3E70"/>
    <w:rPr>
      <w:rFonts w:cs="Times New Roman"/>
      <w:b/>
      <w:bCs/>
      <w:vertAlign w:val="superscript"/>
    </w:rPr>
  </w:style>
  <w:style w:type="paragraph" w:customStyle="1" w:styleId="Textbody">
    <w:name w:val="Text body"/>
    <w:basedOn w:val="Default"/>
    <w:uiPriority w:val="99"/>
    <w:rsid w:val="008C3E70"/>
    <w:pPr>
      <w:widowControl w:val="0"/>
      <w:adjustRightInd/>
      <w:jc w:val="both"/>
    </w:pPr>
    <w:rPr>
      <w:color w:val="auto"/>
      <w:lang w:val="de-DE" w:eastAsia="et-EE"/>
    </w:rPr>
  </w:style>
  <w:style w:type="paragraph" w:customStyle="1" w:styleId="Paragraphedeliste1">
    <w:name w:val="Paragraphe de liste1"/>
    <w:basedOn w:val="Normaallaad"/>
    <w:qFormat/>
    <w:rsid w:val="008C3E70"/>
    <w:pPr>
      <w:spacing w:before="0"/>
      <w:ind w:left="708"/>
      <w:jc w:val="left"/>
    </w:pPr>
    <w:rPr>
      <w:lang w:val="en-GB" w:eastAsia="en-GB"/>
    </w:rPr>
  </w:style>
  <w:style w:type="paragraph" w:customStyle="1" w:styleId="Point1letter">
    <w:name w:val="Point 1 (letter)"/>
    <w:basedOn w:val="Normaallaad"/>
    <w:qFormat/>
    <w:rsid w:val="008C3E70"/>
    <w:pPr>
      <w:spacing w:after="120"/>
    </w:pPr>
    <w:rPr>
      <w:lang w:val="en-GB" w:eastAsia="en-US"/>
    </w:rPr>
  </w:style>
  <w:style w:type="character" w:customStyle="1" w:styleId="CommentTextChar1">
    <w:name w:val="Comment Text Char1"/>
    <w:basedOn w:val="Liguvaikefont"/>
    <w:rsid w:val="008C3E70"/>
    <w:rPr>
      <w:rFonts w:cs="Times New Roman"/>
      <w:lang w:val="en-GB" w:eastAsia="en-US" w:bidi="ar-SA"/>
    </w:rPr>
  </w:style>
  <w:style w:type="paragraph" w:styleId="Kehatekst2">
    <w:name w:val="Body Text 2"/>
    <w:basedOn w:val="Normaallaad"/>
    <w:link w:val="Kehatekst2Mrk"/>
    <w:uiPriority w:val="99"/>
    <w:unhideWhenUsed/>
    <w:rsid w:val="008C3E70"/>
    <w:pPr>
      <w:spacing w:before="0" w:after="120" w:line="480" w:lineRule="auto"/>
      <w:jc w:val="left"/>
    </w:pPr>
    <w:rPr>
      <w:lang w:eastAsia="en-US"/>
    </w:rPr>
  </w:style>
  <w:style w:type="character" w:customStyle="1" w:styleId="Kehatekst2Mrk">
    <w:name w:val="Kehatekst 2 Märk"/>
    <w:basedOn w:val="Liguvaikefont"/>
    <w:link w:val="Kehatekst2"/>
    <w:uiPriority w:val="99"/>
    <w:rsid w:val="008C3E70"/>
    <w:rPr>
      <w:rFonts w:ascii="Times New Roman" w:eastAsia="Times New Roman" w:hAnsi="Times New Roman" w:cs="Times New Roman"/>
      <w:sz w:val="24"/>
      <w:szCs w:val="24"/>
    </w:rPr>
  </w:style>
  <w:style w:type="paragraph" w:styleId="Taandegakehatekst">
    <w:name w:val="Body Text Indent"/>
    <w:basedOn w:val="Normaallaad"/>
    <w:link w:val="TaandegakehatekstMrk"/>
    <w:uiPriority w:val="99"/>
    <w:unhideWhenUsed/>
    <w:rsid w:val="008C3E70"/>
    <w:pPr>
      <w:spacing w:before="0" w:after="120"/>
      <w:ind w:left="283"/>
      <w:jc w:val="left"/>
    </w:pPr>
    <w:rPr>
      <w:lang w:eastAsia="en-US"/>
    </w:rPr>
  </w:style>
  <w:style w:type="character" w:customStyle="1" w:styleId="TaandegakehatekstMrk">
    <w:name w:val="Taandega kehatekst Märk"/>
    <w:basedOn w:val="Liguvaikefont"/>
    <w:link w:val="Taandegakehatekst"/>
    <w:uiPriority w:val="99"/>
    <w:rsid w:val="008C3E70"/>
    <w:rPr>
      <w:rFonts w:ascii="Times New Roman" w:eastAsia="Times New Roman" w:hAnsi="Times New Roman" w:cs="Times New Roman"/>
      <w:sz w:val="24"/>
      <w:szCs w:val="24"/>
    </w:rPr>
  </w:style>
  <w:style w:type="paragraph" w:customStyle="1" w:styleId="NormalConseil">
    <w:name w:val="NormalConseil"/>
    <w:basedOn w:val="Normaallaad"/>
    <w:rsid w:val="008C3E70"/>
    <w:pPr>
      <w:spacing w:before="0"/>
      <w:jc w:val="left"/>
    </w:pPr>
    <w:rPr>
      <w:szCs w:val="20"/>
      <w:lang w:val="en-GB" w:eastAsia="fr-BE"/>
    </w:rPr>
  </w:style>
  <w:style w:type="paragraph" w:styleId="Pealkiri">
    <w:name w:val="Title"/>
    <w:basedOn w:val="Normaallaad"/>
    <w:link w:val="PealkiriMrk"/>
    <w:uiPriority w:val="10"/>
    <w:qFormat/>
    <w:rsid w:val="008C3E70"/>
    <w:pPr>
      <w:spacing w:before="0"/>
      <w:jc w:val="center"/>
    </w:pPr>
    <w:rPr>
      <w:b/>
      <w:bCs/>
      <w:sz w:val="22"/>
      <w:szCs w:val="22"/>
      <w:lang w:val="en-GB" w:eastAsia="en-US"/>
    </w:rPr>
  </w:style>
  <w:style w:type="character" w:customStyle="1" w:styleId="PealkiriMrk">
    <w:name w:val="Pealkiri Märk"/>
    <w:basedOn w:val="Liguvaikefont"/>
    <w:link w:val="Pealkiri"/>
    <w:uiPriority w:val="10"/>
    <w:rsid w:val="008C3E70"/>
    <w:rPr>
      <w:rFonts w:ascii="Times New Roman" w:eastAsia="Times New Roman" w:hAnsi="Times New Roman" w:cs="Times New Roman"/>
      <w:b/>
      <w:bCs/>
      <w:lang w:val="en-GB"/>
    </w:rPr>
  </w:style>
  <w:style w:type="paragraph" w:styleId="HTML-eelvormindatud">
    <w:name w:val="HTML Preformatted"/>
    <w:basedOn w:val="Normaallaad"/>
    <w:link w:val="HTML-eelvormindatudMrk"/>
    <w:uiPriority w:val="99"/>
    <w:rsid w:val="008C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Unicode MS" w:cs="Arial Unicode MS"/>
      <w:sz w:val="20"/>
      <w:szCs w:val="20"/>
      <w:lang w:val="en-GB" w:eastAsia="en-US"/>
    </w:rPr>
  </w:style>
  <w:style w:type="character" w:customStyle="1" w:styleId="HTML-eelvormindatudMrk">
    <w:name w:val="HTML-eelvormindatud Märk"/>
    <w:basedOn w:val="Liguvaikefont"/>
    <w:link w:val="HTML-eelvormindatud"/>
    <w:uiPriority w:val="99"/>
    <w:rsid w:val="008C3E70"/>
    <w:rPr>
      <w:rFonts w:ascii="Arial Unicode MS" w:eastAsia="Arial Unicode MS" w:hAnsi="Arial Unicode MS" w:cs="Arial Unicode MS"/>
      <w:sz w:val="20"/>
      <w:szCs w:val="20"/>
      <w:lang w:val="en-GB"/>
    </w:rPr>
  </w:style>
  <w:style w:type="character" w:customStyle="1" w:styleId="goohl1">
    <w:name w:val="goohl1"/>
    <w:basedOn w:val="Liguvaikefont"/>
    <w:rsid w:val="008C3E70"/>
    <w:rPr>
      <w:rFonts w:cs="Times New Roman"/>
    </w:rPr>
  </w:style>
  <w:style w:type="paragraph" w:styleId="Kehatekst3">
    <w:name w:val="Body Text 3"/>
    <w:basedOn w:val="Normaallaad"/>
    <w:link w:val="Kehatekst3Mrk"/>
    <w:uiPriority w:val="99"/>
    <w:rsid w:val="008C3E70"/>
    <w:pPr>
      <w:autoSpaceDE w:val="0"/>
      <w:autoSpaceDN w:val="0"/>
      <w:adjustRightInd w:val="0"/>
      <w:spacing w:before="0"/>
      <w:jc w:val="left"/>
    </w:pPr>
  </w:style>
  <w:style w:type="character" w:customStyle="1" w:styleId="Kehatekst3Mrk">
    <w:name w:val="Kehatekst 3 Märk"/>
    <w:basedOn w:val="Liguvaikefont"/>
    <w:link w:val="Kehatekst3"/>
    <w:uiPriority w:val="99"/>
    <w:rsid w:val="008C3E70"/>
    <w:rPr>
      <w:rFonts w:ascii="Times New Roman" w:eastAsia="Times New Roman" w:hAnsi="Times New Roman" w:cs="Times New Roman"/>
      <w:sz w:val="24"/>
      <w:szCs w:val="24"/>
      <w:lang w:eastAsia="et-EE"/>
    </w:rPr>
  </w:style>
  <w:style w:type="character" w:styleId="Lehekljenumber">
    <w:name w:val="page number"/>
    <w:basedOn w:val="Liguvaikefont"/>
    <w:uiPriority w:val="99"/>
    <w:rsid w:val="008C3E70"/>
    <w:rPr>
      <w:rFonts w:cs="Times New Roman"/>
    </w:rPr>
  </w:style>
  <w:style w:type="paragraph" w:styleId="Taandegakehatekst2">
    <w:name w:val="Body Text Indent 2"/>
    <w:basedOn w:val="Normaallaad"/>
    <w:link w:val="Taandegakehatekst2Mrk"/>
    <w:uiPriority w:val="99"/>
    <w:rsid w:val="008C3E70"/>
    <w:pPr>
      <w:autoSpaceDE w:val="0"/>
      <w:autoSpaceDN w:val="0"/>
      <w:adjustRightInd w:val="0"/>
      <w:spacing w:before="0" w:line="300" w:lineRule="auto"/>
      <w:ind w:left="624"/>
    </w:pPr>
    <w:rPr>
      <w:rFonts w:ascii="Arial" w:hAnsi="Arial" w:cs="Arial"/>
      <w:sz w:val="20"/>
      <w:szCs w:val="20"/>
      <w:lang w:eastAsia="en-US"/>
    </w:rPr>
  </w:style>
  <w:style w:type="character" w:customStyle="1" w:styleId="Taandegakehatekst2Mrk">
    <w:name w:val="Taandega kehatekst 2 Märk"/>
    <w:basedOn w:val="Liguvaikefont"/>
    <w:link w:val="Taandegakehatekst2"/>
    <w:uiPriority w:val="99"/>
    <w:rsid w:val="008C3E70"/>
    <w:rPr>
      <w:rFonts w:ascii="Arial" w:eastAsia="Times New Roman" w:hAnsi="Arial" w:cs="Arial"/>
      <w:sz w:val="20"/>
      <w:szCs w:val="20"/>
    </w:rPr>
  </w:style>
  <w:style w:type="character" w:styleId="Klastatudhperlink">
    <w:name w:val="FollowedHyperlink"/>
    <w:basedOn w:val="Liguvaikefont"/>
    <w:uiPriority w:val="99"/>
    <w:rsid w:val="008C3E70"/>
    <w:rPr>
      <w:rFonts w:cs="Times New Roman"/>
      <w:color w:val="800080"/>
      <w:u w:val="single"/>
    </w:rPr>
  </w:style>
  <w:style w:type="paragraph" w:styleId="Taandegakehatekst3">
    <w:name w:val="Body Text Indent 3"/>
    <w:basedOn w:val="Normaallaad"/>
    <w:link w:val="Taandegakehatekst3Mrk"/>
    <w:uiPriority w:val="99"/>
    <w:rsid w:val="008C3E70"/>
    <w:pPr>
      <w:spacing w:before="0" w:line="300" w:lineRule="auto"/>
      <w:ind w:left="540"/>
    </w:pPr>
    <w:rPr>
      <w:rFonts w:ascii="Arial" w:hAnsi="Arial" w:cs="Arial"/>
      <w:b/>
      <w:bCs/>
      <w:sz w:val="20"/>
      <w:lang w:eastAsia="en-US"/>
    </w:rPr>
  </w:style>
  <w:style w:type="character" w:customStyle="1" w:styleId="Taandegakehatekst3Mrk">
    <w:name w:val="Taandega kehatekst 3 Märk"/>
    <w:basedOn w:val="Liguvaikefont"/>
    <w:link w:val="Taandegakehatekst3"/>
    <w:uiPriority w:val="99"/>
    <w:rsid w:val="008C3E70"/>
    <w:rPr>
      <w:rFonts w:ascii="Arial" w:eastAsia="Times New Roman" w:hAnsi="Arial" w:cs="Arial"/>
      <w:b/>
      <w:bCs/>
      <w:sz w:val="20"/>
      <w:szCs w:val="24"/>
    </w:rPr>
  </w:style>
  <w:style w:type="paragraph" w:customStyle="1" w:styleId="Pealkiri20">
    <w:name w:val="Pealkiri2"/>
    <w:basedOn w:val="Pealkiri2"/>
    <w:rsid w:val="008C3E70"/>
    <w:pPr>
      <w:keepLines w:val="0"/>
      <w:spacing w:before="240" w:after="120"/>
    </w:pPr>
    <w:rPr>
      <w:rFonts w:ascii="Garamond" w:eastAsia="Times New Roman" w:hAnsi="Garamond" w:cs="Arial"/>
      <w:iCs/>
      <w:color w:val="auto"/>
      <w:spacing w:val="-5"/>
      <w:szCs w:val="24"/>
      <w:lang w:val="en-GB"/>
    </w:rPr>
  </w:style>
  <w:style w:type="paragraph" w:customStyle="1" w:styleId="StyleHeading1Garamond14ptBoldBlackSmallcapsAfter">
    <w:name w:val="Style Heading 1 + Garamond 14 pt Bold Black Small caps After: ..."/>
    <w:basedOn w:val="Pealkiri1"/>
    <w:rsid w:val="008C3E70"/>
    <w:pPr>
      <w:keepLines/>
      <w:numPr>
        <w:numId w:val="4"/>
      </w:numPr>
      <w:tabs>
        <w:tab w:val="num" w:pos="720"/>
        <w:tab w:val="num" w:pos="7241"/>
      </w:tabs>
      <w:spacing w:after="100" w:line="200" w:lineRule="atLeast"/>
      <w:jc w:val="left"/>
    </w:pPr>
    <w:rPr>
      <w:rFonts w:ascii="Garamond" w:hAnsi="Garamond"/>
      <w:smallCaps/>
      <w:color w:val="000000"/>
      <w:spacing w:val="-10"/>
      <w:kern w:val="28"/>
      <w:szCs w:val="20"/>
    </w:rPr>
  </w:style>
  <w:style w:type="paragraph" w:customStyle="1" w:styleId="Pealkiri3">
    <w:name w:val="Pealkiri3"/>
    <w:basedOn w:val="Pealkiri30"/>
    <w:rsid w:val="008C3E70"/>
    <w:pPr>
      <w:keepLines w:val="0"/>
      <w:numPr>
        <w:ilvl w:val="2"/>
        <w:numId w:val="1"/>
      </w:numPr>
      <w:tabs>
        <w:tab w:val="clear" w:pos="360"/>
        <w:tab w:val="num" w:pos="720"/>
        <w:tab w:val="num" w:pos="2160"/>
      </w:tabs>
      <w:autoSpaceDE w:val="0"/>
      <w:autoSpaceDN w:val="0"/>
      <w:adjustRightInd w:val="0"/>
      <w:spacing w:before="240" w:afterLines="120" w:after="288"/>
      <w:ind w:left="720" w:hanging="720"/>
      <w:jc w:val="both"/>
    </w:pPr>
    <w:rPr>
      <w:rFonts w:ascii="Garamond" w:eastAsia="Times New Roman" w:hAnsi="Garamond"/>
      <w:color w:val="auto"/>
      <w:lang w:val="et-EE"/>
    </w:rPr>
  </w:style>
  <w:style w:type="character" w:styleId="Tugev">
    <w:name w:val="Strong"/>
    <w:basedOn w:val="Liguvaikefont"/>
    <w:uiPriority w:val="22"/>
    <w:qFormat/>
    <w:rsid w:val="008C3E70"/>
    <w:rPr>
      <w:rFonts w:cs="Times New Roman"/>
      <w:b/>
      <w:bCs/>
    </w:rPr>
  </w:style>
  <w:style w:type="paragraph" w:customStyle="1" w:styleId="Style2">
    <w:name w:val="Style2"/>
    <w:basedOn w:val="Normaallaad"/>
    <w:rsid w:val="008C3E70"/>
    <w:pPr>
      <w:numPr>
        <w:ilvl w:val="1"/>
        <w:numId w:val="5"/>
      </w:numPr>
      <w:spacing w:before="0"/>
      <w:jc w:val="left"/>
    </w:pPr>
    <w:rPr>
      <w:lang w:val="en-GB" w:eastAsia="en-US"/>
    </w:rPr>
  </w:style>
  <w:style w:type="paragraph" w:customStyle="1" w:styleId="Titrearticle">
    <w:name w:val="Titre article"/>
    <w:basedOn w:val="Normaallaad"/>
    <w:next w:val="Normaallaad"/>
    <w:rsid w:val="008C3E70"/>
    <w:pPr>
      <w:keepNext/>
      <w:spacing w:before="360" w:after="120"/>
      <w:jc w:val="center"/>
    </w:pPr>
    <w:rPr>
      <w:i/>
      <w:lang w:val="en-GB" w:eastAsia="de-DE"/>
    </w:rPr>
  </w:style>
  <w:style w:type="paragraph" w:customStyle="1" w:styleId="ListNumber1">
    <w:name w:val="List Number 1"/>
    <w:basedOn w:val="Normaallaad"/>
    <w:rsid w:val="008C3E70"/>
    <w:pPr>
      <w:numPr>
        <w:numId w:val="6"/>
      </w:numPr>
      <w:spacing w:after="120"/>
    </w:pPr>
    <w:rPr>
      <w:lang w:val="en-GB" w:eastAsia="de-DE"/>
    </w:rPr>
  </w:style>
  <w:style w:type="paragraph" w:customStyle="1" w:styleId="ListNumber1Level2">
    <w:name w:val="List Number 1 (Level 2)"/>
    <w:basedOn w:val="Normaallaad"/>
    <w:rsid w:val="008C3E70"/>
    <w:pPr>
      <w:numPr>
        <w:ilvl w:val="1"/>
        <w:numId w:val="6"/>
      </w:numPr>
      <w:spacing w:after="120"/>
    </w:pPr>
    <w:rPr>
      <w:lang w:val="en-GB" w:eastAsia="de-DE"/>
    </w:rPr>
  </w:style>
  <w:style w:type="paragraph" w:customStyle="1" w:styleId="ListNumber1Level3">
    <w:name w:val="List Number 1 (Level 3)"/>
    <w:basedOn w:val="Normaallaad"/>
    <w:rsid w:val="008C3E70"/>
    <w:pPr>
      <w:numPr>
        <w:ilvl w:val="2"/>
        <w:numId w:val="6"/>
      </w:numPr>
      <w:spacing w:after="120"/>
    </w:pPr>
    <w:rPr>
      <w:lang w:val="en-GB" w:eastAsia="de-DE"/>
    </w:rPr>
  </w:style>
  <w:style w:type="paragraph" w:customStyle="1" w:styleId="ListNumber1Level4">
    <w:name w:val="List Number 1 (Level 4)"/>
    <w:basedOn w:val="Normaallaad"/>
    <w:rsid w:val="008C3E70"/>
    <w:pPr>
      <w:tabs>
        <w:tab w:val="num" w:pos="3686"/>
      </w:tabs>
      <w:spacing w:after="120"/>
      <w:ind w:left="3686" w:hanging="709"/>
    </w:pPr>
    <w:rPr>
      <w:lang w:val="en-GB" w:eastAsia="de-DE"/>
    </w:rPr>
  </w:style>
  <w:style w:type="character" w:customStyle="1" w:styleId="Marker">
    <w:name w:val="Marker"/>
    <w:basedOn w:val="Liguvaikefont"/>
    <w:rsid w:val="008C3E70"/>
    <w:rPr>
      <w:rFonts w:cs="Times New Roman"/>
      <w:color w:val="0000FF"/>
      <w:shd w:val="clear" w:color="auto" w:fill="auto"/>
    </w:rPr>
  </w:style>
  <w:style w:type="paragraph" w:customStyle="1" w:styleId="Considrant">
    <w:name w:val="Considérant"/>
    <w:basedOn w:val="Normaallaad"/>
    <w:rsid w:val="008C3E70"/>
    <w:pPr>
      <w:numPr>
        <w:numId w:val="7"/>
      </w:numPr>
      <w:spacing w:after="120"/>
    </w:pPr>
    <w:rPr>
      <w:lang w:val="en-GB" w:eastAsia="en-US"/>
    </w:rPr>
  </w:style>
  <w:style w:type="paragraph" w:customStyle="1" w:styleId="western">
    <w:name w:val="western"/>
    <w:basedOn w:val="Normaallaad"/>
    <w:rsid w:val="008C3E70"/>
    <w:pPr>
      <w:spacing w:before="100" w:beforeAutospacing="1" w:after="100" w:afterAutospacing="1"/>
      <w:jc w:val="left"/>
    </w:pPr>
    <w:rPr>
      <w:color w:val="000000"/>
    </w:rPr>
  </w:style>
  <w:style w:type="character" w:customStyle="1" w:styleId="tekst4">
    <w:name w:val="tekst4"/>
    <w:basedOn w:val="Liguvaikefont"/>
    <w:rsid w:val="008C3E70"/>
    <w:rPr>
      <w:rFonts w:cs="Times New Roman"/>
    </w:rPr>
  </w:style>
  <w:style w:type="paragraph" w:customStyle="1" w:styleId="WW-NormalWeb">
    <w:name w:val="WW-Normal (Web)"/>
    <w:basedOn w:val="Default"/>
    <w:rsid w:val="008C3E70"/>
    <w:pPr>
      <w:widowControl w:val="0"/>
      <w:adjustRightInd/>
      <w:spacing w:before="280" w:after="280"/>
    </w:pPr>
    <w:rPr>
      <w:color w:val="auto"/>
      <w:lang w:eastAsia="et-EE"/>
    </w:rPr>
  </w:style>
  <w:style w:type="paragraph" w:customStyle="1" w:styleId="CharChar1CharCharCharCharCharCharChar2">
    <w:name w:val="Char Char1 Char Char Char Char Char Char Char2"/>
    <w:basedOn w:val="Normaallaad"/>
    <w:uiPriority w:val="99"/>
    <w:rsid w:val="008C3E70"/>
    <w:pPr>
      <w:tabs>
        <w:tab w:val="num" w:pos="360"/>
      </w:tabs>
      <w:spacing w:before="0" w:after="160" w:line="240" w:lineRule="exact"/>
      <w:jc w:val="left"/>
    </w:pPr>
    <w:rPr>
      <w:rFonts w:ascii="Tahoma" w:hAnsi="Tahoma" w:cs="Tahoma"/>
      <w:sz w:val="20"/>
      <w:szCs w:val="20"/>
      <w:lang w:val="en-US" w:eastAsia="en-US"/>
    </w:rPr>
  </w:style>
  <w:style w:type="paragraph" w:customStyle="1" w:styleId="Loendilik1">
    <w:name w:val="Loendi lõik1"/>
    <w:basedOn w:val="Normaallaad"/>
    <w:rsid w:val="008C3E70"/>
    <w:pPr>
      <w:spacing w:before="0" w:after="200" w:line="276" w:lineRule="auto"/>
      <w:ind w:left="720"/>
      <w:contextualSpacing/>
      <w:jc w:val="left"/>
    </w:pPr>
    <w:rPr>
      <w:rFonts w:ascii="Calibri" w:hAnsi="Calibri"/>
      <w:sz w:val="22"/>
      <w:szCs w:val="22"/>
      <w:lang w:eastAsia="en-US"/>
    </w:rPr>
  </w:style>
  <w:style w:type="character" w:customStyle="1" w:styleId="NormaallaadveebMrk">
    <w:name w:val="Normaallaad (veeb) Märk"/>
    <w:basedOn w:val="Liguvaikefont"/>
    <w:uiPriority w:val="99"/>
    <w:locked/>
    <w:rsid w:val="008C3E70"/>
    <w:rPr>
      <w:rFonts w:cs="Times New Roman"/>
      <w:color w:val="000000"/>
      <w:sz w:val="24"/>
      <w:szCs w:val="24"/>
      <w:lang w:val="et-EE" w:eastAsia="et-EE" w:bidi="ar-SA"/>
    </w:rPr>
  </w:style>
  <w:style w:type="paragraph" w:customStyle="1" w:styleId="msolistparagraph0">
    <w:name w:val="msolistparagraph"/>
    <w:basedOn w:val="Normaallaad"/>
    <w:rsid w:val="008C3E70"/>
    <w:pPr>
      <w:spacing w:before="0"/>
      <w:ind w:left="720"/>
      <w:jc w:val="left"/>
    </w:pPr>
    <w:rPr>
      <w:rFonts w:ascii="Calibri" w:hAnsi="Calibri"/>
      <w:sz w:val="22"/>
      <w:szCs w:val="22"/>
      <w:lang w:eastAsia="en-US"/>
    </w:rPr>
  </w:style>
  <w:style w:type="character" w:customStyle="1" w:styleId="mm">
    <w:name w:val="mm"/>
    <w:basedOn w:val="Liguvaikefont"/>
    <w:rsid w:val="008C3E70"/>
    <w:rPr>
      <w:rFonts w:cs="Times New Roman"/>
    </w:rPr>
  </w:style>
  <w:style w:type="paragraph" w:customStyle="1" w:styleId="BodyTextTekst11">
    <w:name w:val="Body Text: Tekst 11"/>
    <w:basedOn w:val="Normaallaad"/>
    <w:uiPriority w:val="99"/>
    <w:rsid w:val="008C3E70"/>
    <w:pPr>
      <w:suppressAutoHyphens/>
      <w:spacing w:before="0"/>
    </w:pPr>
    <w:rPr>
      <w:rFonts w:ascii="Garamond" w:hAnsi="Garamond" w:cs="Garamond"/>
      <w:sz w:val="22"/>
      <w:szCs w:val="22"/>
    </w:rPr>
  </w:style>
  <w:style w:type="paragraph" w:customStyle="1" w:styleId="Normal12Hanging">
    <w:name w:val="Normal12Hanging"/>
    <w:basedOn w:val="Normaallaad"/>
    <w:rsid w:val="008C3E70"/>
    <w:pPr>
      <w:widowControl w:val="0"/>
      <w:spacing w:before="0" w:after="240"/>
      <w:ind w:left="357" w:hanging="357"/>
      <w:jc w:val="left"/>
    </w:pPr>
    <w:rPr>
      <w:szCs w:val="20"/>
      <w:lang w:val="en-GB" w:eastAsia="en-GB"/>
    </w:rPr>
  </w:style>
  <w:style w:type="paragraph" w:customStyle="1" w:styleId="Normal6">
    <w:name w:val="Normal6"/>
    <w:basedOn w:val="Normaallaad"/>
    <w:rsid w:val="008C3E70"/>
    <w:pPr>
      <w:widowControl w:val="0"/>
      <w:spacing w:before="0" w:after="120"/>
      <w:jc w:val="left"/>
    </w:pPr>
    <w:rPr>
      <w:szCs w:val="20"/>
      <w:lang w:val="en-GB" w:eastAsia="en-GB"/>
    </w:rPr>
  </w:style>
  <w:style w:type="paragraph" w:customStyle="1" w:styleId="NumPar1">
    <w:name w:val="NumPar 1"/>
    <w:basedOn w:val="Normaallaad"/>
    <w:next w:val="Text1"/>
    <w:link w:val="NumPar1Char"/>
    <w:qFormat/>
    <w:rsid w:val="008C3E70"/>
    <w:pPr>
      <w:numPr>
        <w:numId w:val="8"/>
      </w:numPr>
      <w:spacing w:after="120"/>
    </w:pPr>
    <w:rPr>
      <w:lang w:val="en-GB" w:eastAsia="en-US"/>
    </w:rPr>
  </w:style>
  <w:style w:type="character" w:customStyle="1" w:styleId="NumPar1Char">
    <w:name w:val="NumPar 1 Char"/>
    <w:link w:val="NumPar1"/>
    <w:locked/>
    <w:rsid w:val="008C3E70"/>
    <w:rPr>
      <w:rFonts w:ascii="Times New Roman" w:eastAsia="Times New Roman" w:hAnsi="Times New Roman" w:cs="Times New Roman"/>
      <w:sz w:val="24"/>
      <w:szCs w:val="24"/>
      <w:lang w:val="en-GB"/>
    </w:rPr>
  </w:style>
  <w:style w:type="paragraph" w:customStyle="1" w:styleId="NumPar2">
    <w:name w:val="NumPar 2"/>
    <w:basedOn w:val="Normaallaad"/>
    <w:next w:val="Text1"/>
    <w:rsid w:val="008C3E70"/>
    <w:pPr>
      <w:numPr>
        <w:ilvl w:val="1"/>
        <w:numId w:val="8"/>
      </w:numPr>
      <w:spacing w:after="120"/>
    </w:pPr>
    <w:rPr>
      <w:lang w:val="en-GB" w:eastAsia="en-US"/>
    </w:rPr>
  </w:style>
  <w:style w:type="paragraph" w:customStyle="1" w:styleId="NumPar3">
    <w:name w:val="NumPar 3"/>
    <w:basedOn w:val="Normaallaad"/>
    <w:next w:val="Text1"/>
    <w:rsid w:val="008C3E70"/>
    <w:pPr>
      <w:numPr>
        <w:ilvl w:val="2"/>
        <w:numId w:val="8"/>
      </w:numPr>
      <w:spacing w:after="120"/>
    </w:pPr>
    <w:rPr>
      <w:lang w:val="en-GB" w:eastAsia="en-US"/>
    </w:rPr>
  </w:style>
  <w:style w:type="paragraph" w:customStyle="1" w:styleId="NumPar4">
    <w:name w:val="NumPar 4"/>
    <w:basedOn w:val="Normaallaad"/>
    <w:next w:val="Text1"/>
    <w:rsid w:val="008C3E70"/>
    <w:pPr>
      <w:tabs>
        <w:tab w:val="num" w:pos="850"/>
      </w:tabs>
      <w:spacing w:after="120"/>
      <w:ind w:left="850" w:hanging="850"/>
    </w:pPr>
    <w:rPr>
      <w:lang w:val="en-GB" w:eastAsia="en-US"/>
    </w:rPr>
  </w:style>
  <w:style w:type="character" w:customStyle="1" w:styleId="CommentTextChar4">
    <w:name w:val="Comment Text Char4"/>
    <w:uiPriority w:val="99"/>
    <w:semiHidden/>
    <w:rsid w:val="008C3E70"/>
    <w:rPr>
      <w:rFonts w:ascii="Times New Roman" w:hAnsi="Times New Roman"/>
      <w:lang w:val="et-EE" w:eastAsia="x-none"/>
    </w:rPr>
  </w:style>
  <w:style w:type="paragraph" w:styleId="SK2">
    <w:name w:val="toc 2"/>
    <w:basedOn w:val="Normaallaad"/>
    <w:next w:val="Normaallaad"/>
    <w:autoRedefine/>
    <w:uiPriority w:val="39"/>
    <w:rsid w:val="00362264"/>
    <w:pPr>
      <w:tabs>
        <w:tab w:val="left" w:pos="660"/>
        <w:tab w:val="right" w:leader="dot" w:pos="9457"/>
      </w:tabs>
      <w:spacing w:before="0"/>
    </w:pPr>
    <w:rPr>
      <w:lang w:val="en-GB" w:eastAsia="en-US"/>
    </w:rPr>
  </w:style>
  <w:style w:type="paragraph" w:styleId="SK1">
    <w:name w:val="toc 1"/>
    <w:basedOn w:val="Normaallaad"/>
    <w:next w:val="Normaallaad"/>
    <w:autoRedefine/>
    <w:uiPriority w:val="39"/>
    <w:unhideWhenUsed/>
    <w:rsid w:val="00362264"/>
    <w:pPr>
      <w:tabs>
        <w:tab w:val="left" w:pos="480"/>
        <w:tab w:val="right" w:leader="dot" w:pos="9062"/>
      </w:tabs>
      <w:spacing w:before="0"/>
      <w:jc w:val="center"/>
    </w:pPr>
    <w:rPr>
      <w:lang w:eastAsia="en-US"/>
    </w:rPr>
  </w:style>
  <w:style w:type="paragraph" w:styleId="SK3">
    <w:name w:val="toc 3"/>
    <w:basedOn w:val="Normaallaad"/>
    <w:next w:val="Normaallaad"/>
    <w:autoRedefine/>
    <w:uiPriority w:val="39"/>
    <w:unhideWhenUsed/>
    <w:rsid w:val="008C3E70"/>
    <w:pPr>
      <w:tabs>
        <w:tab w:val="left" w:pos="1320"/>
        <w:tab w:val="right" w:leader="dot" w:pos="9062"/>
      </w:tabs>
      <w:spacing w:before="0" w:after="100" w:line="276" w:lineRule="auto"/>
      <w:ind w:left="480"/>
    </w:pPr>
    <w:rPr>
      <w:lang w:eastAsia="en-US"/>
    </w:rPr>
  </w:style>
  <w:style w:type="paragraph" w:customStyle="1" w:styleId="vv">
    <w:name w:val="vv"/>
    <w:basedOn w:val="Normaallaad"/>
    <w:rsid w:val="008C3E70"/>
    <w:pPr>
      <w:spacing w:before="240" w:after="100" w:afterAutospacing="1"/>
      <w:jc w:val="left"/>
    </w:pPr>
  </w:style>
  <w:style w:type="paragraph" w:customStyle="1" w:styleId="AonBodyCopy">
    <w:name w:val="Aon Body Copy"/>
    <w:basedOn w:val="Normaallaad"/>
    <w:rsid w:val="008C3E70"/>
    <w:pPr>
      <w:spacing w:before="0" w:after="240" w:line="264" w:lineRule="auto"/>
      <w:jc w:val="left"/>
    </w:pPr>
    <w:rPr>
      <w:rFonts w:ascii="Arial" w:eastAsia="MS Mincho" w:hAnsi="Arial"/>
      <w:sz w:val="20"/>
      <w:szCs w:val="20"/>
      <w:lang w:val="en-US" w:eastAsia="en-US"/>
    </w:rPr>
  </w:style>
  <w:style w:type="character" w:customStyle="1" w:styleId="NormalWebChar1">
    <w:name w:val="Normal (Web) Char1"/>
    <w:basedOn w:val="Liguvaikefont"/>
    <w:locked/>
    <w:rsid w:val="008C3E70"/>
    <w:rPr>
      <w:rFonts w:cs="Times New Roman"/>
      <w:color w:val="000000"/>
      <w:sz w:val="24"/>
      <w:szCs w:val="24"/>
      <w:lang w:val="et-EE" w:eastAsia="et-EE" w:bidi="ar-SA"/>
    </w:rPr>
  </w:style>
  <w:style w:type="character" w:customStyle="1" w:styleId="sbmessagebody">
    <w:name w:val="sb_messagebody"/>
    <w:basedOn w:val="Liguvaikefont"/>
    <w:rsid w:val="008C3E70"/>
    <w:rPr>
      <w:rFonts w:cs="Times New Roman"/>
    </w:rPr>
  </w:style>
  <w:style w:type="character" w:customStyle="1" w:styleId="NormalWebChar2">
    <w:name w:val="Normal (Web) Char2"/>
    <w:uiPriority w:val="99"/>
    <w:rsid w:val="008C3E70"/>
    <w:rPr>
      <w:rFonts w:ascii="Times New Roman" w:hAnsi="Times New Roman"/>
      <w:color w:val="000000"/>
      <w:sz w:val="24"/>
    </w:rPr>
  </w:style>
  <w:style w:type="character" w:customStyle="1" w:styleId="CommentTextChar2">
    <w:name w:val="Comment Text Char2"/>
    <w:rsid w:val="008C3E70"/>
    <w:rPr>
      <w:rFonts w:ascii="Times New Roman" w:hAnsi="Times New Roman"/>
      <w:sz w:val="20"/>
      <w:lang w:val="en-GB" w:eastAsia="x-none"/>
    </w:rPr>
  </w:style>
  <w:style w:type="character" w:customStyle="1" w:styleId="st">
    <w:name w:val="st"/>
    <w:basedOn w:val="Liguvaikefont"/>
    <w:rsid w:val="008C3E70"/>
    <w:rPr>
      <w:rFonts w:cs="Times New Roman"/>
    </w:rPr>
  </w:style>
  <w:style w:type="paragraph" w:customStyle="1" w:styleId="pealkiri0">
    <w:name w:val="pealkiri"/>
    <w:basedOn w:val="Normaallaad"/>
    <w:rsid w:val="008C3E70"/>
    <w:pPr>
      <w:spacing w:before="100" w:beforeAutospacing="1" w:after="100" w:afterAutospacing="1"/>
      <w:jc w:val="left"/>
    </w:pPr>
  </w:style>
  <w:style w:type="paragraph" w:styleId="Loendinumber">
    <w:name w:val="List Number"/>
    <w:basedOn w:val="Normaallaad"/>
    <w:uiPriority w:val="99"/>
    <w:rsid w:val="008C3E70"/>
    <w:pPr>
      <w:tabs>
        <w:tab w:val="num" w:pos="709"/>
      </w:tabs>
      <w:spacing w:after="120"/>
      <w:ind w:left="709" w:hanging="709"/>
    </w:pPr>
    <w:rPr>
      <w:lang w:val="en-GB" w:eastAsia="de-DE"/>
    </w:rPr>
  </w:style>
  <w:style w:type="character" w:customStyle="1" w:styleId="msoins0">
    <w:name w:val="msoins"/>
    <w:basedOn w:val="Liguvaikefont"/>
    <w:rsid w:val="008C3E70"/>
    <w:rPr>
      <w:rFonts w:cs="Times New Roman"/>
      <w:color w:val="008080"/>
      <w:u w:val="single"/>
    </w:rPr>
  </w:style>
  <w:style w:type="paragraph" w:customStyle="1" w:styleId="sisu">
    <w:name w:val="sisu"/>
    <w:basedOn w:val="Normaallaad"/>
    <w:rsid w:val="008C3E70"/>
    <w:pPr>
      <w:spacing w:before="0" w:after="240"/>
      <w:jc w:val="left"/>
    </w:pPr>
    <w:rPr>
      <w:lang w:eastAsia="en-US"/>
    </w:rPr>
  </w:style>
  <w:style w:type="paragraph" w:customStyle="1" w:styleId="title-doc-first">
    <w:name w:val="title-doc-first"/>
    <w:basedOn w:val="Normaallaad"/>
    <w:rsid w:val="008C3E70"/>
    <w:pPr>
      <w:spacing w:before="100" w:beforeAutospacing="1" w:after="100" w:afterAutospacing="1"/>
      <w:jc w:val="left"/>
    </w:pPr>
  </w:style>
  <w:style w:type="paragraph" w:customStyle="1" w:styleId="Point0number">
    <w:name w:val="Point 0 (number)"/>
    <w:basedOn w:val="Normaallaad"/>
    <w:qFormat/>
    <w:rsid w:val="008C3E70"/>
    <w:pPr>
      <w:tabs>
        <w:tab w:val="num" w:pos="399"/>
        <w:tab w:val="num" w:pos="450"/>
        <w:tab w:val="num" w:pos="794"/>
        <w:tab w:val="num" w:pos="1065"/>
        <w:tab w:val="num" w:pos="1287"/>
      </w:tabs>
      <w:spacing w:after="120"/>
      <w:ind w:left="399" w:hanging="399"/>
    </w:pPr>
    <w:rPr>
      <w:szCs w:val="22"/>
      <w:lang w:val="en-GB" w:eastAsia="en-GB"/>
    </w:rPr>
  </w:style>
  <w:style w:type="paragraph" w:customStyle="1" w:styleId="Point1number">
    <w:name w:val="Point 1 (number)"/>
    <w:basedOn w:val="Normaallaad"/>
    <w:rsid w:val="008C3E70"/>
    <w:pPr>
      <w:numPr>
        <w:ilvl w:val="2"/>
        <w:numId w:val="2"/>
      </w:numPr>
      <w:tabs>
        <w:tab w:val="num" w:pos="397"/>
        <w:tab w:val="num" w:pos="1763"/>
        <w:tab w:val="num" w:pos="1800"/>
        <w:tab w:val="num" w:pos="2160"/>
        <w:tab w:val="num" w:pos="2868"/>
      </w:tabs>
      <w:spacing w:after="120"/>
      <w:ind w:left="2160" w:hanging="180"/>
    </w:pPr>
    <w:rPr>
      <w:szCs w:val="22"/>
      <w:lang w:val="en-GB" w:eastAsia="en-GB"/>
    </w:rPr>
  </w:style>
  <w:style w:type="paragraph" w:customStyle="1" w:styleId="Point2number">
    <w:name w:val="Point 2 (number)"/>
    <w:basedOn w:val="Normaallaad"/>
    <w:rsid w:val="008C3E70"/>
    <w:pPr>
      <w:tabs>
        <w:tab w:val="num" w:pos="1984"/>
      </w:tabs>
      <w:spacing w:after="120"/>
      <w:ind w:left="1984" w:hanging="567"/>
    </w:pPr>
    <w:rPr>
      <w:szCs w:val="22"/>
      <w:lang w:val="en-GB" w:eastAsia="en-GB"/>
    </w:rPr>
  </w:style>
  <w:style w:type="paragraph" w:customStyle="1" w:styleId="Point3number">
    <w:name w:val="Point 3 (number)"/>
    <w:basedOn w:val="Normaallaad"/>
    <w:rsid w:val="008C3E70"/>
    <w:pPr>
      <w:tabs>
        <w:tab w:val="num" w:pos="2551"/>
      </w:tabs>
      <w:spacing w:after="120"/>
      <w:ind w:left="2551" w:hanging="567"/>
    </w:pPr>
    <w:rPr>
      <w:szCs w:val="22"/>
      <w:lang w:val="en-GB" w:eastAsia="en-GB"/>
    </w:rPr>
  </w:style>
  <w:style w:type="paragraph" w:customStyle="1" w:styleId="Point0letter">
    <w:name w:val="Point 0 (letter)"/>
    <w:basedOn w:val="Normaallaad"/>
    <w:rsid w:val="008C3E70"/>
    <w:pPr>
      <w:tabs>
        <w:tab w:val="num" w:pos="743"/>
        <w:tab w:val="num" w:pos="1043"/>
        <w:tab w:val="num" w:pos="1080"/>
        <w:tab w:val="num" w:pos="1440"/>
        <w:tab w:val="num" w:pos="1479"/>
        <w:tab w:val="num" w:pos="2145"/>
        <w:tab w:val="num" w:pos="2197"/>
      </w:tabs>
      <w:spacing w:after="120"/>
      <w:ind w:left="1440" w:hanging="360"/>
    </w:pPr>
    <w:rPr>
      <w:szCs w:val="22"/>
      <w:lang w:val="en-GB" w:eastAsia="en-GB"/>
    </w:rPr>
  </w:style>
  <w:style w:type="paragraph" w:customStyle="1" w:styleId="Point2letter">
    <w:name w:val="Point 2 (letter)"/>
    <w:basedOn w:val="Normaallaad"/>
    <w:rsid w:val="008C3E70"/>
    <w:pPr>
      <w:tabs>
        <w:tab w:val="num" w:pos="1984"/>
      </w:tabs>
      <w:spacing w:after="120"/>
      <w:ind w:left="1984" w:hanging="567"/>
    </w:pPr>
    <w:rPr>
      <w:szCs w:val="22"/>
      <w:lang w:val="en-GB" w:eastAsia="en-GB"/>
    </w:rPr>
  </w:style>
  <w:style w:type="paragraph" w:customStyle="1" w:styleId="Point3letter">
    <w:name w:val="Point 3 (letter)"/>
    <w:basedOn w:val="Normaallaad"/>
    <w:rsid w:val="008C3E70"/>
    <w:pPr>
      <w:tabs>
        <w:tab w:val="num" w:pos="2551"/>
      </w:tabs>
      <w:spacing w:after="120"/>
      <w:ind w:left="2551" w:hanging="567"/>
    </w:pPr>
    <w:rPr>
      <w:szCs w:val="22"/>
      <w:lang w:val="en-GB" w:eastAsia="en-GB"/>
    </w:rPr>
  </w:style>
  <w:style w:type="paragraph" w:customStyle="1" w:styleId="Point4letter">
    <w:name w:val="Point 4 (letter)"/>
    <w:basedOn w:val="Normaallaad"/>
    <w:rsid w:val="008C3E70"/>
    <w:pPr>
      <w:tabs>
        <w:tab w:val="num" w:pos="3118"/>
      </w:tabs>
      <w:spacing w:after="120"/>
      <w:ind w:left="3118" w:hanging="567"/>
    </w:pPr>
    <w:rPr>
      <w:szCs w:val="22"/>
      <w:lang w:val="en-GB" w:eastAsia="en-GB"/>
    </w:rPr>
  </w:style>
  <w:style w:type="paragraph" w:customStyle="1" w:styleId="vk">
    <w:name w:val="vk"/>
    <w:basedOn w:val="Normaallaad"/>
    <w:rsid w:val="008C3E70"/>
    <w:pPr>
      <w:spacing w:before="240" w:after="100" w:afterAutospacing="1"/>
      <w:jc w:val="left"/>
    </w:pPr>
  </w:style>
  <w:style w:type="paragraph" w:styleId="Dokumendiplaan">
    <w:name w:val="Document Map"/>
    <w:basedOn w:val="Normaallaad"/>
    <w:link w:val="DokumendiplaanMrk"/>
    <w:uiPriority w:val="99"/>
    <w:semiHidden/>
    <w:unhideWhenUsed/>
    <w:rsid w:val="008C3E70"/>
    <w:pPr>
      <w:spacing w:before="0"/>
      <w:jc w:val="left"/>
    </w:pPr>
    <w:rPr>
      <w:rFonts w:ascii="Tahoma" w:hAnsi="Tahoma" w:cs="Tahoma"/>
      <w:sz w:val="16"/>
      <w:szCs w:val="16"/>
      <w:lang w:eastAsia="en-US"/>
    </w:rPr>
  </w:style>
  <w:style w:type="character" w:customStyle="1" w:styleId="DokumendiplaanMrk">
    <w:name w:val="Dokumendiplaan Märk"/>
    <w:basedOn w:val="Liguvaikefont"/>
    <w:link w:val="Dokumendiplaan"/>
    <w:uiPriority w:val="99"/>
    <w:semiHidden/>
    <w:rsid w:val="008C3E70"/>
    <w:rPr>
      <w:rFonts w:ascii="Tahoma" w:eastAsia="Times New Roman" w:hAnsi="Tahoma" w:cs="Tahoma"/>
      <w:sz w:val="16"/>
      <w:szCs w:val="16"/>
    </w:rPr>
  </w:style>
  <w:style w:type="paragraph" w:customStyle="1" w:styleId="Standard">
    <w:name w:val="Standard"/>
    <w:rsid w:val="008C3E70"/>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table" w:customStyle="1" w:styleId="LightList-Accent11">
    <w:name w:val="Light List - Accent 11"/>
    <w:basedOn w:val="Normaaltabel"/>
    <w:uiPriority w:val="61"/>
    <w:rsid w:val="008C3E70"/>
    <w:pPr>
      <w:spacing w:after="0" w:line="240" w:lineRule="auto"/>
    </w:pPr>
    <w:rPr>
      <w:rFonts w:ascii="Calibri" w:eastAsia="Times New Roman" w:hAnsi="Calibri" w:cs="Calibri"/>
      <w:sz w:val="20"/>
      <w:szCs w:val="20"/>
      <w:lang w:eastAsia="et-E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pPr>
      <w:rPr>
        <w:rFonts w:cs="Calibri"/>
        <w:b/>
        <w:bCs/>
        <w:color w:val="FFFFFF" w:themeColor="background1"/>
      </w:rPr>
      <w:tblPr/>
      <w:tcPr>
        <w:shd w:val="clear" w:color="auto" w:fill="5B9BD5" w:themeFill="accent1"/>
      </w:tcPr>
    </w:tblStylePr>
    <w:tblStylePr w:type="lastRow">
      <w:pPr>
        <w:spacing w:before="0" w:after="0"/>
      </w:pPr>
      <w:rPr>
        <w:rFonts w:cs="Calibr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rPr>
        <w:rFonts w:cs="Calibri"/>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field-content">
    <w:name w:val="field-content"/>
    <w:basedOn w:val="Liguvaikefont"/>
    <w:rsid w:val="008C3E70"/>
    <w:rPr>
      <w:rFonts w:cs="Times New Roman"/>
    </w:rPr>
  </w:style>
  <w:style w:type="character" w:customStyle="1" w:styleId="super">
    <w:name w:val="super"/>
    <w:basedOn w:val="Liguvaikefont"/>
    <w:rsid w:val="008C3E70"/>
    <w:rPr>
      <w:rFonts w:cs="Times New Roman"/>
    </w:rPr>
  </w:style>
  <w:style w:type="character" w:customStyle="1" w:styleId="z-VormiallosaMrk">
    <w:name w:val="z-Vormi allosa Märk"/>
    <w:basedOn w:val="Liguvaikefont"/>
    <w:link w:val="z-Vormiallosa"/>
    <w:uiPriority w:val="99"/>
    <w:semiHidden/>
    <w:rsid w:val="00B80066"/>
    <w:rPr>
      <w:rFonts w:ascii="Arial" w:eastAsia="Times New Roman" w:hAnsi="Arial" w:cs="Arial"/>
      <w:vanish/>
      <w:sz w:val="16"/>
      <w:szCs w:val="16"/>
      <w:lang w:eastAsia="et-EE"/>
    </w:rPr>
  </w:style>
  <w:style w:type="paragraph" w:styleId="z-Vormiallosa">
    <w:name w:val="HTML Bottom of Form"/>
    <w:basedOn w:val="Normaallaad"/>
    <w:next w:val="Normaallaad"/>
    <w:link w:val="z-VormiallosaMrk"/>
    <w:hidden/>
    <w:uiPriority w:val="99"/>
    <w:semiHidden/>
    <w:unhideWhenUsed/>
    <w:rsid w:val="00B80066"/>
    <w:pPr>
      <w:pBdr>
        <w:top w:val="single" w:sz="6" w:space="1" w:color="auto"/>
      </w:pBdr>
      <w:spacing w:before="0"/>
      <w:jc w:val="center"/>
    </w:pPr>
    <w:rPr>
      <w:rFonts w:ascii="Arial" w:hAnsi="Arial" w:cs="Arial"/>
      <w:vanish/>
      <w:sz w:val="16"/>
      <w:szCs w:val="16"/>
    </w:rPr>
  </w:style>
  <w:style w:type="character" w:customStyle="1" w:styleId="z-BottomofFormChar1">
    <w:name w:val="z-Bottom of Form Char1"/>
    <w:basedOn w:val="Liguvaikefont"/>
    <w:uiPriority w:val="99"/>
    <w:semiHidden/>
    <w:rsid w:val="00B80066"/>
    <w:rPr>
      <w:rFonts w:ascii="Arial" w:eastAsia="Times New Roman" w:hAnsi="Arial" w:cs="Arial"/>
      <w:vanish/>
      <w:sz w:val="16"/>
      <w:szCs w:val="16"/>
      <w:lang w:eastAsia="et-EE"/>
    </w:rPr>
  </w:style>
  <w:style w:type="paragraph" w:customStyle="1" w:styleId="label">
    <w:name w:val="label"/>
    <w:basedOn w:val="Normaallaad"/>
    <w:rsid w:val="00907B06"/>
    <w:pPr>
      <w:spacing w:before="100" w:beforeAutospacing="1" w:after="100" w:afterAutospacing="1"/>
      <w:jc w:val="left"/>
    </w:pPr>
  </w:style>
  <w:style w:type="paragraph" w:styleId="z-Vormilaosa">
    <w:name w:val="HTML Top of Form"/>
    <w:basedOn w:val="Normaallaad"/>
    <w:next w:val="Normaallaad"/>
    <w:link w:val="z-VormilaosaMrk"/>
    <w:hidden/>
    <w:uiPriority w:val="99"/>
    <w:semiHidden/>
    <w:unhideWhenUsed/>
    <w:rsid w:val="00907B06"/>
    <w:pPr>
      <w:pBdr>
        <w:bottom w:val="single" w:sz="6" w:space="1" w:color="auto"/>
      </w:pBdr>
      <w:spacing w:before="0"/>
      <w:jc w:val="center"/>
    </w:pPr>
    <w:rPr>
      <w:rFonts w:ascii="Arial" w:hAnsi="Arial" w:cs="Arial"/>
      <w:vanish/>
      <w:sz w:val="16"/>
      <w:szCs w:val="16"/>
    </w:rPr>
  </w:style>
  <w:style w:type="character" w:customStyle="1" w:styleId="z-VormilaosaMrk">
    <w:name w:val="z-Vormi ülaosa Märk"/>
    <w:basedOn w:val="Liguvaikefont"/>
    <w:link w:val="z-Vormilaosa"/>
    <w:uiPriority w:val="99"/>
    <w:semiHidden/>
    <w:rsid w:val="00907B06"/>
    <w:rPr>
      <w:rFonts w:ascii="Arial" w:eastAsia="Times New Roman" w:hAnsi="Arial" w:cs="Arial"/>
      <w:vanish/>
      <w:sz w:val="16"/>
      <w:szCs w:val="16"/>
      <w:lang w:eastAsia="et-EE"/>
    </w:rPr>
  </w:style>
  <w:style w:type="paragraph" w:customStyle="1" w:styleId="field">
    <w:name w:val="field"/>
    <w:basedOn w:val="Normaallaad"/>
    <w:rsid w:val="00907B06"/>
    <w:pPr>
      <w:spacing w:before="100" w:beforeAutospacing="1" w:after="100" w:afterAutospacing="1"/>
      <w:jc w:val="left"/>
    </w:pPr>
  </w:style>
  <w:style w:type="character" w:customStyle="1" w:styleId="button">
    <w:name w:val="button"/>
    <w:basedOn w:val="Liguvaikefont"/>
    <w:rsid w:val="00907B06"/>
  </w:style>
  <w:style w:type="paragraph" w:customStyle="1" w:styleId="path">
    <w:name w:val="path"/>
    <w:basedOn w:val="Normaallaad"/>
    <w:rsid w:val="00907B06"/>
    <w:pPr>
      <w:spacing w:before="100" w:beforeAutospacing="1" w:after="100" w:afterAutospacing="1"/>
      <w:jc w:val="left"/>
    </w:pPr>
  </w:style>
  <w:style w:type="paragraph" w:customStyle="1" w:styleId="button1">
    <w:name w:val="button1"/>
    <w:basedOn w:val="Normaallaad"/>
    <w:rsid w:val="00907B06"/>
    <w:pPr>
      <w:spacing w:before="100" w:beforeAutospacing="1" w:after="100" w:afterAutospacing="1"/>
      <w:jc w:val="left"/>
    </w:pPr>
  </w:style>
  <w:style w:type="paragraph" w:customStyle="1" w:styleId="drop-button">
    <w:name w:val="drop-button"/>
    <w:basedOn w:val="Normaallaad"/>
    <w:rsid w:val="00907B06"/>
    <w:pPr>
      <w:spacing w:before="100" w:beforeAutospacing="1" w:after="100" w:afterAutospacing="1"/>
      <w:jc w:val="left"/>
    </w:pPr>
  </w:style>
  <w:style w:type="paragraph" w:customStyle="1" w:styleId="toggle-laws-closed">
    <w:name w:val="toggle-laws-closed"/>
    <w:basedOn w:val="Normaallaad"/>
    <w:rsid w:val="00907B06"/>
    <w:pPr>
      <w:spacing w:before="100" w:beforeAutospacing="1" w:after="100" w:afterAutospacing="1"/>
      <w:jc w:val="left"/>
    </w:pPr>
  </w:style>
  <w:style w:type="paragraph" w:customStyle="1" w:styleId="pagenav">
    <w:name w:val="pagenav"/>
    <w:basedOn w:val="Normaallaad"/>
    <w:rsid w:val="00907B06"/>
    <w:pPr>
      <w:spacing w:before="100" w:beforeAutospacing="1" w:after="100" w:afterAutospacing="1"/>
      <w:jc w:val="left"/>
    </w:pPr>
  </w:style>
  <w:style w:type="paragraph" w:customStyle="1" w:styleId="euro">
    <w:name w:val="euro"/>
    <w:basedOn w:val="Normaallaad"/>
    <w:rsid w:val="00907B06"/>
    <w:pPr>
      <w:spacing w:before="100" w:beforeAutospacing="1" w:after="100" w:afterAutospacing="1"/>
      <w:jc w:val="left"/>
    </w:pPr>
  </w:style>
  <w:style w:type="paragraph" w:customStyle="1" w:styleId="copy">
    <w:name w:val="copy"/>
    <w:basedOn w:val="Normaallaad"/>
    <w:rsid w:val="00907B06"/>
    <w:pPr>
      <w:spacing w:before="100" w:beforeAutospacing="1" w:after="100" w:afterAutospacing="1"/>
      <w:jc w:val="left"/>
    </w:pPr>
  </w:style>
  <w:style w:type="paragraph" w:customStyle="1" w:styleId="meta">
    <w:name w:val="meta"/>
    <w:basedOn w:val="Normaallaad"/>
    <w:rsid w:val="00907B06"/>
    <w:pPr>
      <w:spacing w:before="100" w:beforeAutospacing="1" w:after="100" w:afterAutospacing="1"/>
      <w:jc w:val="left"/>
    </w:pPr>
  </w:style>
  <w:style w:type="paragraph" w:styleId="Sisukorrapealkiri">
    <w:name w:val="TOC Heading"/>
    <w:basedOn w:val="Pealkiri1"/>
    <w:next w:val="Normaallaad"/>
    <w:uiPriority w:val="39"/>
    <w:unhideWhenUsed/>
    <w:qFormat/>
    <w:rsid w:val="00907B06"/>
    <w:pPr>
      <w:keepLines/>
      <w:numPr>
        <w:numId w:val="0"/>
      </w:numPr>
      <w:spacing w:before="120" w:line="259" w:lineRule="auto"/>
      <w:jc w:val="center"/>
      <w:outlineLvl w:val="9"/>
    </w:pPr>
    <w:rPr>
      <w:rFonts w:asciiTheme="majorHAnsi" w:eastAsiaTheme="majorEastAsia" w:hAnsiTheme="majorHAnsi" w:cstheme="majorBidi"/>
      <w:b w:val="0"/>
      <w:bCs w:val="0"/>
      <w:color w:val="2E74B5" w:themeColor="accent1" w:themeShade="BF"/>
      <w:sz w:val="32"/>
      <w:szCs w:val="32"/>
      <w:lang w:val="et-EE" w:eastAsia="et-EE"/>
    </w:rPr>
  </w:style>
  <w:style w:type="paragraph" w:styleId="Vahedeta">
    <w:name w:val="No Spacing"/>
    <w:uiPriority w:val="1"/>
    <w:qFormat/>
    <w:rsid w:val="00907B06"/>
    <w:pPr>
      <w:spacing w:after="0" w:line="240" w:lineRule="auto"/>
    </w:pPr>
    <w:rPr>
      <w:rFonts w:ascii="Times New Roman" w:hAnsi="Times New Roman"/>
      <w:sz w:val="24"/>
    </w:rPr>
  </w:style>
  <w:style w:type="character" w:customStyle="1" w:styleId="element-invisible">
    <w:name w:val="element-invisible"/>
    <w:basedOn w:val="Liguvaikefont"/>
    <w:rsid w:val="00907B06"/>
  </w:style>
  <w:style w:type="character" w:customStyle="1" w:styleId="highlight">
    <w:name w:val="highlight"/>
    <w:basedOn w:val="Liguvaikefont"/>
    <w:rsid w:val="00907B06"/>
  </w:style>
  <w:style w:type="paragraph" w:customStyle="1" w:styleId="ti-art">
    <w:name w:val="ti-art"/>
    <w:basedOn w:val="Normaallaad"/>
    <w:rsid w:val="00907B06"/>
    <w:pPr>
      <w:spacing w:before="100" w:beforeAutospacing="1" w:after="100" w:afterAutospacing="1"/>
      <w:jc w:val="left"/>
    </w:pPr>
    <w:rPr>
      <w:lang w:val="en-GB" w:eastAsia="en-GB"/>
    </w:rPr>
  </w:style>
  <w:style w:type="paragraph" w:customStyle="1" w:styleId="sti-art">
    <w:name w:val="sti-art"/>
    <w:basedOn w:val="Normaallaad"/>
    <w:rsid w:val="00907B06"/>
    <w:pPr>
      <w:spacing w:before="100" w:beforeAutospacing="1" w:after="100" w:afterAutospacing="1"/>
      <w:jc w:val="left"/>
    </w:pPr>
    <w:rPr>
      <w:lang w:val="en-GB" w:eastAsia="en-GB"/>
    </w:rPr>
  </w:style>
  <w:style w:type="paragraph" w:customStyle="1" w:styleId="Normal1">
    <w:name w:val="Normal1"/>
    <w:basedOn w:val="Normaallaad"/>
    <w:rsid w:val="00907B06"/>
    <w:pPr>
      <w:spacing w:before="100" w:beforeAutospacing="1" w:after="100" w:afterAutospacing="1"/>
      <w:jc w:val="left"/>
    </w:pPr>
    <w:rPr>
      <w:lang w:val="en-GB" w:eastAsia="en-GB"/>
    </w:rPr>
  </w:style>
  <w:style w:type="paragraph" w:styleId="SK4">
    <w:name w:val="toc 4"/>
    <w:basedOn w:val="Normaallaad"/>
    <w:next w:val="Normaallaad"/>
    <w:autoRedefine/>
    <w:uiPriority w:val="39"/>
    <w:unhideWhenUsed/>
    <w:rsid w:val="00907B06"/>
    <w:pPr>
      <w:spacing w:before="0" w:after="100" w:line="259" w:lineRule="auto"/>
      <w:ind w:left="660"/>
      <w:jc w:val="left"/>
    </w:pPr>
    <w:rPr>
      <w:rFonts w:asciiTheme="minorHAnsi" w:eastAsiaTheme="minorEastAsia" w:hAnsiTheme="minorHAnsi" w:cstheme="minorBidi"/>
      <w:sz w:val="22"/>
      <w:szCs w:val="22"/>
    </w:rPr>
  </w:style>
  <w:style w:type="paragraph" w:styleId="SK5">
    <w:name w:val="toc 5"/>
    <w:basedOn w:val="Normaallaad"/>
    <w:next w:val="Normaallaad"/>
    <w:autoRedefine/>
    <w:uiPriority w:val="39"/>
    <w:unhideWhenUsed/>
    <w:rsid w:val="00907B06"/>
    <w:pPr>
      <w:spacing w:before="0" w:after="100" w:line="259" w:lineRule="auto"/>
      <w:ind w:left="880"/>
      <w:jc w:val="left"/>
    </w:pPr>
    <w:rPr>
      <w:rFonts w:asciiTheme="minorHAnsi" w:eastAsiaTheme="minorEastAsia" w:hAnsiTheme="minorHAnsi" w:cstheme="minorBidi"/>
      <w:sz w:val="22"/>
      <w:szCs w:val="22"/>
    </w:rPr>
  </w:style>
  <w:style w:type="paragraph" w:styleId="SK6">
    <w:name w:val="toc 6"/>
    <w:basedOn w:val="Normaallaad"/>
    <w:next w:val="Normaallaad"/>
    <w:autoRedefine/>
    <w:uiPriority w:val="39"/>
    <w:unhideWhenUsed/>
    <w:rsid w:val="00907B06"/>
    <w:pPr>
      <w:spacing w:before="0" w:after="100" w:line="259" w:lineRule="auto"/>
      <w:ind w:left="1100"/>
      <w:jc w:val="left"/>
    </w:pPr>
    <w:rPr>
      <w:rFonts w:asciiTheme="minorHAnsi" w:eastAsiaTheme="minorEastAsia" w:hAnsiTheme="minorHAnsi" w:cstheme="minorBidi"/>
      <w:sz w:val="22"/>
      <w:szCs w:val="22"/>
    </w:rPr>
  </w:style>
  <w:style w:type="paragraph" w:styleId="SK7">
    <w:name w:val="toc 7"/>
    <w:basedOn w:val="Normaallaad"/>
    <w:next w:val="Normaallaad"/>
    <w:autoRedefine/>
    <w:uiPriority w:val="39"/>
    <w:unhideWhenUsed/>
    <w:rsid w:val="00907B06"/>
    <w:pPr>
      <w:spacing w:before="0" w:after="100" w:line="259" w:lineRule="auto"/>
      <w:ind w:left="1320"/>
      <w:jc w:val="left"/>
    </w:pPr>
    <w:rPr>
      <w:rFonts w:asciiTheme="minorHAnsi" w:eastAsiaTheme="minorEastAsia" w:hAnsiTheme="minorHAnsi" w:cstheme="minorBidi"/>
      <w:sz w:val="22"/>
      <w:szCs w:val="22"/>
    </w:rPr>
  </w:style>
  <w:style w:type="paragraph" w:styleId="SK8">
    <w:name w:val="toc 8"/>
    <w:basedOn w:val="Normaallaad"/>
    <w:next w:val="Normaallaad"/>
    <w:autoRedefine/>
    <w:uiPriority w:val="39"/>
    <w:unhideWhenUsed/>
    <w:rsid w:val="00907B06"/>
    <w:pPr>
      <w:spacing w:before="0" w:after="100" w:line="259" w:lineRule="auto"/>
      <w:ind w:left="1540"/>
      <w:jc w:val="left"/>
    </w:pPr>
    <w:rPr>
      <w:rFonts w:asciiTheme="minorHAnsi" w:eastAsiaTheme="minorEastAsia" w:hAnsiTheme="minorHAnsi" w:cstheme="minorBidi"/>
      <w:sz w:val="22"/>
      <w:szCs w:val="22"/>
    </w:rPr>
  </w:style>
  <w:style w:type="paragraph" w:styleId="SK9">
    <w:name w:val="toc 9"/>
    <w:basedOn w:val="Normaallaad"/>
    <w:next w:val="Normaallaad"/>
    <w:autoRedefine/>
    <w:uiPriority w:val="39"/>
    <w:unhideWhenUsed/>
    <w:rsid w:val="00907B06"/>
    <w:pPr>
      <w:spacing w:before="0" w:after="100" w:line="259" w:lineRule="auto"/>
      <w:ind w:left="1760"/>
      <w:jc w:val="left"/>
    </w:pPr>
    <w:rPr>
      <w:rFonts w:asciiTheme="minorHAnsi" w:eastAsiaTheme="minorEastAsia" w:hAnsiTheme="minorHAnsi" w:cstheme="minorBidi"/>
      <w:sz w:val="22"/>
      <w:szCs w:val="22"/>
    </w:rPr>
  </w:style>
  <w:style w:type="paragraph" w:customStyle="1" w:styleId="ti-section-2">
    <w:name w:val="ti-section-2"/>
    <w:basedOn w:val="Normaallaad"/>
    <w:rsid w:val="00C93D1B"/>
    <w:pPr>
      <w:spacing w:before="100" w:beforeAutospacing="1" w:after="100" w:afterAutospacing="1"/>
      <w:jc w:val="left"/>
    </w:pPr>
  </w:style>
  <w:style w:type="character" w:customStyle="1" w:styleId="bold">
    <w:name w:val="bold"/>
    <w:basedOn w:val="Liguvaikefont"/>
    <w:rsid w:val="00C93D1B"/>
  </w:style>
  <w:style w:type="paragraph" w:customStyle="1" w:styleId="ti-grseq-1">
    <w:name w:val="ti-grseq-1"/>
    <w:basedOn w:val="Normaallaad"/>
    <w:rsid w:val="00C93D1B"/>
    <w:pPr>
      <w:spacing w:before="100" w:beforeAutospacing="1" w:after="100" w:afterAutospacing="1"/>
      <w:jc w:val="left"/>
    </w:pPr>
  </w:style>
  <w:style w:type="character" w:customStyle="1" w:styleId="italic">
    <w:name w:val="italic"/>
    <w:basedOn w:val="Liguvaikefont"/>
    <w:rsid w:val="00C93D1B"/>
  </w:style>
  <w:style w:type="paragraph" w:customStyle="1" w:styleId="Normaallaad1">
    <w:name w:val="Normaallaad1"/>
    <w:basedOn w:val="Normaallaad"/>
    <w:rsid w:val="00C93D1B"/>
    <w:pPr>
      <w:spacing w:before="100" w:beforeAutospacing="1" w:after="100" w:afterAutospacing="1"/>
      <w:jc w:val="left"/>
    </w:pPr>
  </w:style>
  <w:style w:type="paragraph" w:customStyle="1" w:styleId="ti-section-1">
    <w:name w:val="ti-section-1"/>
    <w:basedOn w:val="Normaallaad"/>
    <w:rsid w:val="00C93D1B"/>
    <w:pPr>
      <w:spacing w:before="100" w:beforeAutospacing="1" w:after="100" w:afterAutospacing="1"/>
      <w:jc w:val="left"/>
    </w:pPr>
  </w:style>
  <w:style w:type="paragraph" w:customStyle="1" w:styleId="Normaallaad2">
    <w:name w:val="Normaallaad2"/>
    <w:basedOn w:val="Normaallaad"/>
    <w:rsid w:val="00C93D1B"/>
    <w:pPr>
      <w:spacing w:before="100" w:beforeAutospacing="1" w:after="100" w:afterAutospacing="1"/>
      <w:jc w:val="left"/>
    </w:pPr>
  </w:style>
  <w:style w:type="paragraph" w:styleId="Lpumrkusetekst">
    <w:name w:val="endnote text"/>
    <w:basedOn w:val="Normaallaad"/>
    <w:link w:val="LpumrkusetekstMrk"/>
    <w:uiPriority w:val="99"/>
    <w:semiHidden/>
    <w:unhideWhenUsed/>
    <w:rsid w:val="009D6BE2"/>
    <w:pPr>
      <w:spacing w:before="0"/>
    </w:pPr>
    <w:rPr>
      <w:sz w:val="20"/>
      <w:szCs w:val="20"/>
    </w:rPr>
  </w:style>
  <w:style w:type="character" w:customStyle="1" w:styleId="LpumrkusetekstMrk">
    <w:name w:val="Lõpumärkuse tekst Märk"/>
    <w:basedOn w:val="Liguvaikefont"/>
    <w:link w:val="Lpumrkusetekst"/>
    <w:uiPriority w:val="99"/>
    <w:semiHidden/>
    <w:rsid w:val="009D6BE2"/>
    <w:rPr>
      <w:rFonts w:ascii="Times New Roman" w:eastAsia="Times New Roman" w:hAnsi="Times New Roman" w:cs="Times New Roman"/>
      <w:sz w:val="20"/>
      <w:szCs w:val="20"/>
      <w:lang w:eastAsia="et-EE"/>
    </w:rPr>
  </w:style>
  <w:style w:type="character" w:styleId="Lpumrkuseviide">
    <w:name w:val="endnote reference"/>
    <w:basedOn w:val="Liguvaikefont"/>
    <w:uiPriority w:val="99"/>
    <w:semiHidden/>
    <w:unhideWhenUsed/>
    <w:rsid w:val="009D6BE2"/>
    <w:rPr>
      <w:vertAlign w:val="superscript"/>
    </w:rPr>
  </w:style>
  <w:style w:type="paragraph" w:customStyle="1" w:styleId="PointDoubleManual">
    <w:name w:val="Point Double Manual"/>
    <w:basedOn w:val="Normaallaad"/>
    <w:rsid w:val="00CB748D"/>
    <w:pPr>
      <w:tabs>
        <w:tab w:val="left" w:pos="567"/>
      </w:tabs>
      <w:spacing w:after="120" w:line="360" w:lineRule="auto"/>
      <w:ind w:left="1134" w:hanging="1134"/>
      <w:jc w:val="left"/>
    </w:pPr>
    <w:rPr>
      <w:rFonts w:eastAsiaTheme="minorHAnsi"/>
      <w:szCs w:val="22"/>
      <w:lang w:val="en-GB" w:eastAsia="en-US"/>
    </w:rPr>
  </w:style>
  <w:style w:type="paragraph" w:customStyle="1" w:styleId="Normal2">
    <w:name w:val="Normal2"/>
    <w:basedOn w:val="Normaallaad"/>
    <w:link w:val="NormalMrk"/>
    <w:qFormat/>
    <w:rsid w:val="003A6FC4"/>
    <w:pPr>
      <w:spacing w:before="0"/>
    </w:pPr>
    <w:rPr>
      <w:rFonts w:eastAsiaTheme="majorEastAsia"/>
      <w:bCs/>
      <w:sz w:val="22"/>
    </w:rPr>
  </w:style>
  <w:style w:type="character" w:customStyle="1" w:styleId="NormalMrk">
    <w:name w:val="Normal Märk"/>
    <w:basedOn w:val="Liguvaikefont"/>
    <w:link w:val="Normal2"/>
    <w:rsid w:val="003A6FC4"/>
    <w:rPr>
      <w:rFonts w:ascii="Times New Roman" w:eastAsiaTheme="majorEastAsia" w:hAnsi="Times New Roman" w:cs="Times New Roman"/>
      <w:bCs/>
      <w:szCs w:val="24"/>
      <w:lang w:eastAsia="et-EE"/>
    </w:rPr>
  </w:style>
  <w:style w:type="paragraph" w:customStyle="1" w:styleId="li">
    <w:name w:val="li"/>
    <w:basedOn w:val="Normaallaad"/>
    <w:rsid w:val="009950C0"/>
    <w:pPr>
      <w:spacing w:before="100" w:beforeAutospacing="1" w:after="100" w:afterAutospacing="1"/>
      <w:jc w:val="left"/>
    </w:pPr>
    <w:rPr>
      <w:lang w:val="en-GB" w:eastAsia="en-GB"/>
    </w:rPr>
  </w:style>
  <w:style w:type="character" w:customStyle="1" w:styleId="num">
    <w:name w:val="num"/>
    <w:basedOn w:val="Liguvaikefont"/>
    <w:rsid w:val="009950C0"/>
  </w:style>
  <w:style w:type="paragraph" w:customStyle="1" w:styleId="oj-normal">
    <w:name w:val="oj-normal"/>
    <w:basedOn w:val="Normaallaad"/>
    <w:rsid w:val="00E405BB"/>
    <w:pPr>
      <w:spacing w:before="100" w:beforeAutospacing="1" w:after="100" w:afterAutospacing="1"/>
      <w:jc w:val="left"/>
    </w:pPr>
    <w:rPr>
      <w:lang w:val="en-GB" w:eastAsia="en-GB"/>
    </w:rPr>
  </w:style>
  <w:style w:type="table" w:styleId="Tavatabel1">
    <w:name w:val="Plain Table 1"/>
    <w:basedOn w:val="Normaaltabel"/>
    <w:uiPriority w:val="41"/>
    <w:rsid w:val="00BD37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j-super">
    <w:name w:val="oj-super"/>
    <w:basedOn w:val="Liguvaikefont"/>
    <w:rsid w:val="00920965"/>
  </w:style>
  <w:style w:type="paragraph" w:customStyle="1" w:styleId="oj-ti-art">
    <w:name w:val="oj-ti-art"/>
    <w:basedOn w:val="Normaallaad"/>
    <w:rsid w:val="00D93A35"/>
    <w:pPr>
      <w:spacing w:before="100" w:beforeAutospacing="1" w:after="100" w:afterAutospacing="1"/>
      <w:jc w:val="left"/>
    </w:pPr>
  </w:style>
  <w:style w:type="paragraph" w:customStyle="1" w:styleId="oj-sti-art">
    <w:name w:val="oj-sti-art"/>
    <w:basedOn w:val="Normaallaad"/>
    <w:rsid w:val="00D93A35"/>
    <w:pPr>
      <w:spacing w:before="100" w:beforeAutospacing="1" w:after="100" w:afterAutospacing="1"/>
      <w:jc w:val="left"/>
    </w:pPr>
  </w:style>
  <w:style w:type="character" w:customStyle="1" w:styleId="oj-italic">
    <w:name w:val="oj-italic"/>
    <w:basedOn w:val="Liguvaikefont"/>
    <w:rsid w:val="00B370CA"/>
  </w:style>
  <w:style w:type="table" w:customStyle="1" w:styleId="Kontuurtabel1">
    <w:name w:val="Kontuurtabel1"/>
    <w:basedOn w:val="Normaaltabel"/>
    <w:next w:val="Kontuurtabel"/>
    <w:uiPriority w:val="39"/>
    <w:rsid w:val="00390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A938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Liguvaikefont"/>
    <w:uiPriority w:val="99"/>
    <w:semiHidden/>
    <w:unhideWhenUsed/>
    <w:rsid w:val="00AC6BA3"/>
    <w:rPr>
      <w:color w:val="605E5C"/>
      <w:shd w:val="clear" w:color="auto" w:fill="E1DFDD"/>
    </w:rPr>
  </w:style>
  <w:style w:type="paragraph" w:customStyle="1" w:styleId="SLONormal">
    <w:name w:val="SLO Normal"/>
    <w:qFormat/>
    <w:rsid w:val="0005585D"/>
    <w:pPr>
      <w:spacing w:before="120" w:after="120" w:line="240" w:lineRule="auto"/>
      <w:jc w:val="both"/>
    </w:pPr>
    <w:rPr>
      <w:rFonts w:ascii="Times New Roman" w:eastAsia="Times New Roman" w:hAnsi="Times New Roman" w:cs="Times New Roman"/>
      <w:sz w:val="24"/>
      <w:szCs w:val="24"/>
      <w:lang w:val="en-GB"/>
    </w:rPr>
  </w:style>
  <w:style w:type="table" w:styleId="Ruuttabel4rhk5">
    <w:name w:val="Grid Table 4 Accent 5"/>
    <w:basedOn w:val="Normaaltabel"/>
    <w:uiPriority w:val="49"/>
    <w:rsid w:val="005508E5"/>
    <w:pPr>
      <w:spacing w:after="0" w:line="240" w:lineRule="auto"/>
    </w:pPr>
    <w:rPr>
      <w:rFonts w:ascii="Calibri" w:eastAsia="Calibri" w:hAnsi="Calibri" w:cs="Calibri"/>
      <w:sz w:val="21"/>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httekst">
    <w:name w:val="Plain Text"/>
    <w:basedOn w:val="Normaallaad"/>
    <w:link w:val="LihttekstMrk"/>
    <w:uiPriority w:val="99"/>
    <w:unhideWhenUsed/>
    <w:rsid w:val="00804802"/>
    <w:pPr>
      <w:spacing w:before="0"/>
      <w:jc w:val="left"/>
    </w:pPr>
    <w:rPr>
      <w:rFonts w:ascii="Consolas" w:hAnsi="Consolas"/>
      <w:sz w:val="21"/>
      <w:szCs w:val="21"/>
      <w:lang w:eastAsia="en-US"/>
    </w:rPr>
  </w:style>
  <w:style w:type="character" w:customStyle="1" w:styleId="LihttekstMrk">
    <w:name w:val="Lihttekst Märk"/>
    <w:basedOn w:val="Liguvaikefont"/>
    <w:link w:val="Lihttekst"/>
    <w:uiPriority w:val="99"/>
    <w:rsid w:val="00804802"/>
    <w:rPr>
      <w:rFonts w:ascii="Consolas" w:eastAsia="Times New Roman" w:hAnsi="Consolas" w:cs="Times New Roman"/>
      <w:sz w:val="21"/>
      <w:szCs w:val="21"/>
    </w:rPr>
  </w:style>
  <w:style w:type="paragraph" w:customStyle="1" w:styleId="oj-doc-ti">
    <w:name w:val="oj-doc-ti"/>
    <w:basedOn w:val="Normaallaad"/>
    <w:rsid w:val="00804802"/>
    <w:pPr>
      <w:spacing w:before="100" w:beforeAutospacing="1" w:after="100" w:afterAutospacing="1"/>
      <w:jc w:val="left"/>
    </w:pPr>
  </w:style>
  <w:style w:type="paragraph" w:customStyle="1" w:styleId="text10">
    <w:name w:val="text1"/>
    <w:basedOn w:val="Normaallaad"/>
    <w:rsid w:val="00804802"/>
    <w:pPr>
      <w:spacing w:before="100" w:beforeAutospacing="1" w:after="100" w:afterAutospacing="1"/>
      <w:jc w:val="left"/>
    </w:pPr>
    <w:rPr>
      <w:lang w:val="en-GB" w:eastAsia="en-GB"/>
    </w:rPr>
  </w:style>
  <w:style w:type="paragraph" w:customStyle="1" w:styleId="muutmisksk">
    <w:name w:val="muutmiskäsk"/>
    <w:basedOn w:val="Normaallaad"/>
    <w:qFormat/>
    <w:rsid w:val="00804802"/>
    <w:pPr>
      <w:widowControl w:val="0"/>
      <w:autoSpaceDN w:val="0"/>
      <w:adjustRightInd w:val="0"/>
      <w:spacing w:before="240"/>
    </w:pPr>
  </w:style>
  <w:style w:type="paragraph" w:customStyle="1" w:styleId="titrearticle0">
    <w:name w:val="titrearticle"/>
    <w:basedOn w:val="Normaallaad"/>
    <w:rsid w:val="00804802"/>
    <w:pPr>
      <w:spacing w:before="100" w:beforeAutospacing="1" w:after="100" w:afterAutospacing="1"/>
      <w:jc w:val="left"/>
    </w:pPr>
    <w:rPr>
      <w:lang w:val="en-GB" w:eastAsia="en-GB"/>
    </w:rPr>
  </w:style>
  <w:style w:type="character" w:customStyle="1" w:styleId="Lahendamatamainimine2">
    <w:name w:val="Lahendamata mainimine2"/>
    <w:basedOn w:val="Liguvaikefont"/>
    <w:uiPriority w:val="99"/>
    <w:semiHidden/>
    <w:unhideWhenUsed/>
    <w:rsid w:val="00A3112A"/>
    <w:rPr>
      <w:color w:val="605E5C"/>
      <w:shd w:val="clear" w:color="auto" w:fill="E1DFDD"/>
    </w:rPr>
  </w:style>
  <w:style w:type="paragraph" w:customStyle="1" w:styleId="NormalLeft">
    <w:name w:val="Normal Left"/>
    <w:basedOn w:val="Normaallaad"/>
    <w:rsid w:val="00761E0F"/>
    <w:pPr>
      <w:spacing w:after="120" w:line="360" w:lineRule="auto"/>
      <w:jc w:val="left"/>
    </w:pPr>
    <w:rPr>
      <w:rFonts w:eastAsiaTheme="minorHAnsi"/>
      <w:szCs w:val="22"/>
      <w:lang w:eastAsia="en-US"/>
    </w:rPr>
  </w:style>
  <w:style w:type="character" w:customStyle="1" w:styleId="Bold0">
    <w:name w:val="Bold"/>
    <w:uiPriority w:val="1"/>
    <w:qFormat/>
    <w:rsid w:val="00761E0F"/>
    <w:rPr>
      <w:rFonts w:ascii="Times New Roman" w:hAnsi="Times New Roman"/>
      <w:b/>
    </w:rPr>
  </w:style>
  <w:style w:type="paragraph" w:customStyle="1" w:styleId="pf0">
    <w:name w:val="pf0"/>
    <w:basedOn w:val="Normaallaad"/>
    <w:rsid w:val="00AA11F6"/>
    <w:pPr>
      <w:spacing w:before="100" w:beforeAutospacing="1" w:after="100" w:afterAutospacing="1"/>
      <w:jc w:val="left"/>
    </w:pPr>
  </w:style>
  <w:style w:type="character" w:customStyle="1" w:styleId="cf01">
    <w:name w:val="cf01"/>
    <w:basedOn w:val="Liguvaikefont"/>
    <w:rsid w:val="00AA11F6"/>
    <w:rPr>
      <w:rFonts w:ascii="Segoe UI" w:hAnsi="Segoe UI" w:cs="Segoe UI" w:hint="default"/>
      <w:sz w:val="18"/>
      <w:szCs w:val="18"/>
    </w:rPr>
  </w:style>
  <w:style w:type="character" w:customStyle="1" w:styleId="cf21">
    <w:name w:val="cf21"/>
    <w:basedOn w:val="Liguvaikefont"/>
    <w:rsid w:val="00AA11F6"/>
    <w:rPr>
      <w:rFonts w:ascii="Segoe UI" w:hAnsi="Segoe UI" w:cs="Segoe UI" w:hint="default"/>
      <w:i/>
      <w:iCs/>
      <w:sz w:val="18"/>
      <w:szCs w:val="18"/>
    </w:rPr>
  </w:style>
  <w:style w:type="character" w:customStyle="1" w:styleId="BoldItalic">
    <w:name w:val="BoldItalic"/>
    <w:basedOn w:val="Bold0"/>
    <w:uiPriority w:val="1"/>
    <w:qFormat/>
    <w:rsid w:val="006A29A4"/>
    <w:rPr>
      <w:rFonts w:ascii="Times New Roman" w:hAnsi="Times New Roman"/>
      <w:b/>
      <w:i/>
    </w:rPr>
  </w:style>
  <w:style w:type="character" w:customStyle="1" w:styleId="Italic0">
    <w:name w:val="Italic"/>
    <w:uiPriority w:val="1"/>
    <w:qFormat/>
    <w:rsid w:val="00F42DB1"/>
    <w:rPr>
      <w:rFonts w:ascii="Times New Roman" w:hAnsi="Times New Roman"/>
      <w:i/>
    </w:rPr>
  </w:style>
  <w:style w:type="character" w:customStyle="1" w:styleId="cf11">
    <w:name w:val="cf11"/>
    <w:basedOn w:val="Liguvaikefont"/>
    <w:rsid w:val="001B6220"/>
    <w:rPr>
      <w:rFonts w:ascii="Segoe UI" w:hAnsi="Segoe UI" w:cs="Segoe UI" w:hint="default"/>
      <w:sz w:val="18"/>
      <w:szCs w:val="18"/>
    </w:rPr>
  </w:style>
  <w:style w:type="character" w:customStyle="1" w:styleId="z-VormiallosaMrk1">
    <w:name w:val="z-Vormi allosa Märk1"/>
    <w:basedOn w:val="Liguvaikefont"/>
    <w:uiPriority w:val="99"/>
    <w:semiHidden/>
    <w:rsid w:val="001A4507"/>
    <w:rPr>
      <w:rFonts w:ascii="Arial" w:eastAsia="Times New Roman" w:hAnsi="Arial" w:cs="Arial"/>
      <w:vanish/>
      <w:kern w:val="0"/>
      <w:sz w:val="16"/>
      <w:szCs w:val="16"/>
      <w:lang w:eastAsia="et-EE"/>
      <w14:ligatures w14:val="none"/>
    </w:rPr>
  </w:style>
  <w:style w:type="character" w:customStyle="1" w:styleId="footnotereference">
    <w:name w:val="footnotereference"/>
    <w:basedOn w:val="Liguvaikefont"/>
    <w:rsid w:val="008D67DC"/>
  </w:style>
  <w:style w:type="paragraph" w:customStyle="1" w:styleId="Normaallaad3">
    <w:name w:val="Normaallaad3"/>
    <w:basedOn w:val="Normaallaad"/>
    <w:rsid w:val="004F2440"/>
    <w:pPr>
      <w:spacing w:before="100" w:beforeAutospacing="1" w:after="100" w:afterAutospacing="1"/>
      <w:jc w:val="left"/>
    </w:pPr>
  </w:style>
  <w:style w:type="character" w:customStyle="1" w:styleId="UnresolvedMention1">
    <w:name w:val="Unresolved Mention1"/>
    <w:basedOn w:val="Liguvaikefont"/>
    <w:uiPriority w:val="99"/>
    <w:semiHidden/>
    <w:unhideWhenUsed/>
    <w:rsid w:val="001C1216"/>
    <w:rPr>
      <w:color w:val="605E5C"/>
      <w:shd w:val="clear" w:color="auto" w:fill="E1DFDD"/>
    </w:rPr>
  </w:style>
  <w:style w:type="paragraph" w:customStyle="1" w:styleId="typedudocumentcp">
    <w:name w:val="typedudocument_cp"/>
    <w:basedOn w:val="Normaallaad"/>
    <w:rsid w:val="00AC00CE"/>
    <w:pPr>
      <w:spacing w:before="100" w:beforeAutospacing="1" w:after="100" w:afterAutospacing="1"/>
      <w:jc w:val="left"/>
    </w:pPr>
  </w:style>
  <w:style w:type="paragraph" w:customStyle="1" w:styleId="accompagnantcp">
    <w:name w:val="accompagnant_cp"/>
    <w:basedOn w:val="Normaallaad"/>
    <w:rsid w:val="00AC00CE"/>
    <w:pPr>
      <w:spacing w:before="100" w:beforeAutospacing="1" w:after="100" w:afterAutospacing="1"/>
      <w:jc w:val="left"/>
    </w:pPr>
  </w:style>
  <w:style w:type="paragraph" w:customStyle="1" w:styleId="typeacteprincipalcp">
    <w:name w:val="typeacteprincipal_cp"/>
    <w:basedOn w:val="Normaallaad"/>
    <w:rsid w:val="00AC00CE"/>
    <w:pPr>
      <w:spacing w:before="100" w:beforeAutospacing="1" w:after="100" w:afterAutospacing="1"/>
      <w:jc w:val="left"/>
    </w:pPr>
  </w:style>
  <w:style w:type="paragraph" w:customStyle="1" w:styleId="objetacteprincipalcp">
    <w:name w:val="objetacteprincipal_cp"/>
    <w:basedOn w:val="Normaallaad"/>
    <w:rsid w:val="00AC00CE"/>
    <w:pPr>
      <w:spacing w:before="100" w:beforeAutospacing="1" w:after="100" w:afterAutospacing="1"/>
      <w:jc w:val="left"/>
    </w:pPr>
  </w:style>
  <w:style w:type="character" w:customStyle="1" w:styleId="no-parag">
    <w:name w:val="no-parag"/>
    <w:basedOn w:val="Liguvaikefont"/>
    <w:rsid w:val="0024545B"/>
  </w:style>
  <w:style w:type="paragraph" w:customStyle="1" w:styleId="norm">
    <w:name w:val="norm"/>
    <w:basedOn w:val="Normaallaad"/>
    <w:rsid w:val="0024545B"/>
    <w:pPr>
      <w:spacing w:before="100" w:beforeAutospacing="1" w:after="100" w:afterAutospacing="1"/>
      <w:jc w:val="left"/>
    </w:pPr>
  </w:style>
  <w:style w:type="character" w:customStyle="1" w:styleId="Lahendamatamainimine3">
    <w:name w:val="Lahendamata mainimine3"/>
    <w:basedOn w:val="Liguvaikefont"/>
    <w:uiPriority w:val="99"/>
    <w:semiHidden/>
    <w:unhideWhenUsed/>
    <w:rsid w:val="00E21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042">
      <w:bodyDiv w:val="1"/>
      <w:marLeft w:val="0"/>
      <w:marRight w:val="0"/>
      <w:marTop w:val="0"/>
      <w:marBottom w:val="0"/>
      <w:divBdr>
        <w:top w:val="none" w:sz="0" w:space="0" w:color="auto"/>
        <w:left w:val="none" w:sz="0" w:space="0" w:color="auto"/>
        <w:bottom w:val="none" w:sz="0" w:space="0" w:color="auto"/>
        <w:right w:val="none" w:sz="0" w:space="0" w:color="auto"/>
      </w:divBdr>
    </w:div>
    <w:div w:id="26833594">
      <w:bodyDiv w:val="1"/>
      <w:marLeft w:val="0"/>
      <w:marRight w:val="0"/>
      <w:marTop w:val="0"/>
      <w:marBottom w:val="0"/>
      <w:divBdr>
        <w:top w:val="none" w:sz="0" w:space="0" w:color="auto"/>
        <w:left w:val="none" w:sz="0" w:space="0" w:color="auto"/>
        <w:bottom w:val="none" w:sz="0" w:space="0" w:color="auto"/>
        <w:right w:val="none" w:sz="0" w:space="0" w:color="auto"/>
      </w:divBdr>
    </w:div>
    <w:div w:id="33625713">
      <w:bodyDiv w:val="1"/>
      <w:marLeft w:val="0"/>
      <w:marRight w:val="0"/>
      <w:marTop w:val="0"/>
      <w:marBottom w:val="0"/>
      <w:divBdr>
        <w:top w:val="none" w:sz="0" w:space="0" w:color="auto"/>
        <w:left w:val="none" w:sz="0" w:space="0" w:color="auto"/>
        <w:bottom w:val="none" w:sz="0" w:space="0" w:color="auto"/>
        <w:right w:val="none" w:sz="0" w:space="0" w:color="auto"/>
      </w:divBdr>
    </w:div>
    <w:div w:id="50856378">
      <w:bodyDiv w:val="1"/>
      <w:marLeft w:val="0"/>
      <w:marRight w:val="0"/>
      <w:marTop w:val="0"/>
      <w:marBottom w:val="0"/>
      <w:divBdr>
        <w:top w:val="none" w:sz="0" w:space="0" w:color="auto"/>
        <w:left w:val="none" w:sz="0" w:space="0" w:color="auto"/>
        <w:bottom w:val="none" w:sz="0" w:space="0" w:color="auto"/>
        <w:right w:val="none" w:sz="0" w:space="0" w:color="auto"/>
      </w:divBdr>
    </w:div>
    <w:div w:id="56361132">
      <w:bodyDiv w:val="1"/>
      <w:marLeft w:val="0"/>
      <w:marRight w:val="0"/>
      <w:marTop w:val="0"/>
      <w:marBottom w:val="0"/>
      <w:divBdr>
        <w:top w:val="none" w:sz="0" w:space="0" w:color="auto"/>
        <w:left w:val="none" w:sz="0" w:space="0" w:color="auto"/>
        <w:bottom w:val="none" w:sz="0" w:space="0" w:color="auto"/>
        <w:right w:val="none" w:sz="0" w:space="0" w:color="auto"/>
      </w:divBdr>
    </w:div>
    <w:div w:id="79067237">
      <w:bodyDiv w:val="1"/>
      <w:marLeft w:val="0"/>
      <w:marRight w:val="0"/>
      <w:marTop w:val="0"/>
      <w:marBottom w:val="0"/>
      <w:divBdr>
        <w:top w:val="none" w:sz="0" w:space="0" w:color="auto"/>
        <w:left w:val="none" w:sz="0" w:space="0" w:color="auto"/>
        <w:bottom w:val="none" w:sz="0" w:space="0" w:color="auto"/>
        <w:right w:val="none" w:sz="0" w:space="0" w:color="auto"/>
      </w:divBdr>
    </w:div>
    <w:div w:id="105391647">
      <w:bodyDiv w:val="1"/>
      <w:marLeft w:val="0"/>
      <w:marRight w:val="0"/>
      <w:marTop w:val="0"/>
      <w:marBottom w:val="0"/>
      <w:divBdr>
        <w:top w:val="none" w:sz="0" w:space="0" w:color="auto"/>
        <w:left w:val="none" w:sz="0" w:space="0" w:color="auto"/>
        <w:bottom w:val="none" w:sz="0" w:space="0" w:color="auto"/>
        <w:right w:val="none" w:sz="0" w:space="0" w:color="auto"/>
      </w:divBdr>
    </w:div>
    <w:div w:id="139420749">
      <w:bodyDiv w:val="1"/>
      <w:marLeft w:val="0"/>
      <w:marRight w:val="0"/>
      <w:marTop w:val="0"/>
      <w:marBottom w:val="0"/>
      <w:divBdr>
        <w:top w:val="none" w:sz="0" w:space="0" w:color="auto"/>
        <w:left w:val="none" w:sz="0" w:space="0" w:color="auto"/>
        <w:bottom w:val="none" w:sz="0" w:space="0" w:color="auto"/>
        <w:right w:val="none" w:sz="0" w:space="0" w:color="auto"/>
      </w:divBdr>
    </w:div>
    <w:div w:id="160196786">
      <w:bodyDiv w:val="1"/>
      <w:marLeft w:val="0"/>
      <w:marRight w:val="0"/>
      <w:marTop w:val="0"/>
      <w:marBottom w:val="0"/>
      <w:divBdr>
        <w:top w:val="none" w:sz="0" w:space="0" w:color="auto"/>
        <w:left w:val="none" w:sz="0" w:space="0" w:color="auto"/>
        <w:bottom w:val="none" w:sz="0" w:space="0" w:color="auto"/>
        <w:right w:val="none" w:sz="0" w:space="0" w:color="auto"/>
      </w:divBdr>
    </w:div>
    <w:div w:id="176502886">
      <w:bodyDiv w:val="1"/>
      <w:marLeft w:val="0"/>
      <w:marRight w:val="0"/>
      <w:marTop w:val="0"/>
      <w:marBottom w:val="0"/>
      <w:divBdr>
        <w:top w:val="none" w:sz="0" w:space="0" w:color="auto"/>
        <w:left w:val="none" w:sz="0" w:space="0" w:color="auto"/>
        <w:bottom w:val="none" w:sz="0" w:space="0" w:color="auto"/>
        <w:right w:val="none" w:sz="0" w:space="0" w:color="auto"/>
      </w:divBdr>
    </w:div>
    <w:div w:id="194540257">
      <w:bodyDiv w:val="1"/>
      <w:marLeft w:val="0"/>
      <w:marRight w:val="0"/>
      <w:marTop w:val="0"/>
      <w:marBottom w:val="0"/>
      <w:divBdr>
        <w:top w:val="none" w:sz="0" w:space="0" w:color="auto"/>
        <w:left w:val="none" w:sz="0" w:space="0" w:color="auto"/>
        <w:bottom w:val="none" w:sz="0" w:space="0" w:color="auto"/>
        <w:right w:val="none" w:sz="0" w:space="0" w:color="auto"/>
      </w:divBdr>
    </w:div>
    <w:div w:id="196890919">
      <w:bodyDiv w:val="1"/>
      <w:marLeft w:val="0"/>
      <w:marRight w:val="0"/>
      <w:marTop w:val="0"/>
      <w:marBottom w:val="0"/>
      <w:divBdr>
        <w:top w:val="none" w:sz="0" w:space="0" w:color="auto"/>
        <w:left w:val="none" w:sz="0" w:space="0" w:color="auto"/>
        <w:bottom w:val="none" w:sz="0" w:space="0" w:color="auto"/>
        <w:right w:val="none" w:sz="0" w:space="0" w:color="auto"/>
      </w:divBdr>
    </w:div>
    <w:div w:id="197741012">
      <w:bodyDiv w:val="1"/>
      <w:marLeft w:val="0"/>
      <w:marRight w:val="0"/>
      <w:marTop w:val="0"/>
      <w:marBottom w:val="0"/>
      <w:divBdr>
        <w:top w:val="none" w:sz="0" w:space="0" w:color="auto"/>
        <w:left w:val="none" w:sz="0" w:space="0" w:color="auto"/>
        <w:bottom w:val="none" w:sz="0" w:space="0" w:color="auto"/>
        <w:right w:val="none" w:sz="0" w:space="0" w:color="auto"/>
      </w:divBdr>
    </w:div>
    <w:div w:id="198398837">
      <w:bodyDiv w:val="1"/>
      <w:marLeft w:val="0"/>
      <w:marRight w:val="0"/>
      <w:marTop w:val="0"/>
      <w:marBottom w:val="0"/>
      <w:divBdr>
        <w:top w:val="none" w:sz="0" w:space="0" w:color="auto"/>
        <w:left w:val="none" w:sz="0" w:space="0" w:color="auto"/>
        <w:bottom w:val="none" w:sz="0" w:space="0" w:color="auto"/>
        <w:right w:val="none" w:sz="0" w:space="0" w:color="auto"/>
      </w:divBdr>
    </w:div>
    <w:div w:id="221448237">
      <w:bodyDiv w:val="1"/>
      <w:marLeft w:val="0"/>
      <w:marRight w:val="0"/>
      <w:marTop w:val="0"/>
      <w:marBottom w:val="0"/>
      <w:divBdr>
        <w:top w:val="none" w:sz="0" w:space="0" w:color="auto"/>
        <w:left w:val="none" w:sz="0" w:space="0" w:color="auto"/>
        <w:bottom w:val="none" w:sz="0" w:space="0" w:color="auto"/>
        <w:right w:val="none" w:sz="0" w:space="0" w:color="auto"/>
      </w:divBdr>
    </w:div>
    <w:div w:id="224412009">
      <w:bodyDiv w:val="1"/>
      <w:marLeft w:val="0"/>
      <w:marRight w:val="0"/>
      <w:marTop w:val="0"/>
      <w:marBottom w:val="0"/>
      <w:divBdr>
        <w:top w:val="none" w:sz="0" w:space="0" w:color="auto"/>
        <w:left w:val="none" w:sz="0" w:space="0" w:color="auto"/>
        <w:bottom w:val="none" w:sz="0" w:space="0" w:color="auto"/>
        <w:right w:val="none" w:sz="0" w:space="0" w:color="auto"/>
      </w:divBdr>
    </w:div>
    <w:div w:id="248002943">
      <w:bodyDiv w:val="1"/>
      <w:marLeft w:val="0"/>
      <w:marRight w:val="0"/>
      <w:marTop w:val="0"/>
      <w:marBottom w:val="0"/>
      <w:divBdr>
        <w:top w:val="none" w:sz="0" w:space="0" w:color="auto"/>
        <w:left w:val="none" w:sz="0" w:space="0" w:color="auto"/>
        <w:bottom w:val="none" w:sz="0" w:space="0" w:color="auto"/>
        <w:right w:val="none" w:sz="0" w:space="0" w:color="auto"/>
      </w:divBdr>
    </w:div>
    <w:div w:id="254899475">
      <w:bodyDiv w:val="1"/>
      <w:marLeft w:val="0"/>
      <w:marRight w:val="0"/>
      <w:marTop w:val="0"/>
      <w:marBottom w:val="0"/>
      <w:divBdr>
        <w:top w:val="none" w:sz="0" w:space="0" w:color="auto"/>
        <w:left w:val="none" w:sz="0" w:space="0" w:color="auto"/>
        <w:bottom w:val="none" w:sz="0" w:space="0" w:color="auto"/>
        <w:right w:val="none" w:sz="0" w:space="0" w:color="auto"/>
      </w:divBdr>
    </w:div>
    <w:div w:id="256136780">
      <w:bodyDiv w:val="1"/>
      <w:marLeft w:val="0"/>
      <w:marRight w:val="0"/>
      <w:marTop w:val="0"/>
      <w:marBottom w:val="0"/>
      <w:divBdr>
        <w:top w:val="none" w:sz="0" w:space="0" w:color="auto"/>
        <w:left w:val="none" w:sz="0" w:space="0" w:color="auto"/>
        <w:bottom w:val="none" w:sz="0" w:space="0" w:color="auto"/>
        <w:right w:val="none" w:sz="0" w:space="0" w:color="auto"/>
      </w:divBdr>
    </w:div>
    <w:div w:id="265574828">
      <w:bodyDiv w:val="1"/>
      <w:marLeft w:val="0"/>
      <w:marRight w:val="0"/>
      <w:marTop w:val="0"/>
      <w:marBottom w:val="0"/>
      <w:divBdr>
        <w:top w:val="none" w:sz="0" w:space="0" w:color="auto"/>
        <w:left w:val="none" w:sz="0" w:space="0" w:color="auto"/>
        <w:bottom w:val="none" w:sz="0" w:space="0" w:color="auto"/>
        <w:right w:val="none" w:sz="0" w:space="0" w:color="auto"/>
      </w:divBdr>
    </w:div>
    <w:div w:id="272904526">
      <w:bodyDiv w:val="1"/>
      <w:marLeft w:val="0"/>
      <w:marRight w:val="0"/>
      <w:marTop w:val="0"/>
      <w:marBottom w:val="0"/>
      <w:divBdr>
        <w:top w:val="none" w:sz="0" w:space="0" w:color="auto"/>
        <w:left w:val="none" w:sz="0" w:space="0" w:color="auto"/>
        <w:bottom w:val="none" w:sz="0" w:space="0" w:color="auto"/>
        <w:right w:val="none" w:sz="0" w:space="0" w:color="auto"/>
      </w:divBdr>
    </w:div>
    <w:div w:id="282542111">
      <w:bodyDiv w:val="1"/>
      <w:marLeft w:val="0"/>
      <w:marRight w:val="0"/>
      <w:marTop w:val="0"/>
      <w:marBottom w:val="0"/>
      <w:divBdr>
        <w:top w:val="none" w:sz="0" w:space="0" w:color="auto"/>
        <w:left w:val="none" w:sz="0" w:space="0" w:color="auto"/>
        <w:bottom w:val="none" w:sz="0" w:space="0" w:color="auto"/>
        <w:right w:val="none" w:sz="0" w:space="0" w:color="auto"/>
      </w:divBdr>
    </w:div>
    <w:div w:id="298416045">
      <w:bodyDiv w:val="1"/>
      <w:marLeft w:val="0"/>
      <w:marRight w:val="0"/>
      <w:marTop w:val="0"/>
      <w:marBottom w:val="0"/>
      <w:divBdr>
        <w:top w:val="none" w:sz="0" w:space="0" w:color="auto"/>
        <w:left w:val="none" w:sz="0" w:space="0" w:color="auto"/>
        <w:bottom w:val="none" w:sz="0" w:space="0" w:color="auto"/>
        <w:right w:val="none" w:sz="0" w:space="0" w:color="auto"/>
      </w:divBdr>
    </w:div>
    <w:div w:id="304088116">
      <w:bodyDiv w:val="1"/>
      <w:marLeft w:val="0"/>
      <w:marRight w:val="0"/>
      <w:marTop w:val="0"/>
      <w:marBottom w:val="0"/>
      <w:divBdr>
        <w:top w:val="none" w:sz="0" w:space="0" w:color="auto"/>
        <w:left w:val="none" w:sz="0" w:space="0" w:color="auto"/>
        <w:bottom w:val="none" w:sz="0" w:space="0" w:color="auto"/>
        <w:right w:val="none" w:sz="0" w:space="0" w:color="auto"/>
      </w:divBdr>
    </w:div>
    <w:div w:id="383069974">
      <w:bodyDiv w:val="1"/>
      <w:marLeft w:val="0"/>
      <w:marRight w:val="0"/>
      <w:marTop w:val="0"/>
      <w:marBottom w:val="0"/>
      <w:divBdr>
        <w:top w:val="none" w:sz="0" w:space="0" w:color="auto"/>
        <w:left w:val="none" w:sz="0" w:space="0" w:color="auto"/>
        <w:bottom w:val="none" w:sz="0" w:space="0" w:color="auto"/>
        <w:right w:val="none" w:sz="0" w:space="0" w:color="auto"/>
      </w:divBdr>
      <w:divsChild>
        <w:div w:id="672144627">
          <w:marLeft w:val="0"/>
          <w:marRight w:val="0"/>
          <w:marTop w:val="0"/>
          <w:marBottom w:val="0"/>
          <w:divBdr>
            <w:top w:val="none" w:sz="0" w:space="0" w:color="auto"/>
            <w:left w:val="none" w:sz="0" w:space="0" w:color="auto"/>
            <w:bottom w:val="none" w:sz="0" w:space="0" w:color="auto"/>
            <w:right w:val="none" w:sz="0" w:space="0" w:color="auto"/>
          </w:divBdr>
          <w:divsChild>
            <w:div w:id="296683747">
              <w:marLeft w:val="0"/>
              <w:marRight w:val="0"/>
              <w:marTop w:val="0"/>
              <w:marBottom w:val="0"/>
              <w:divBdr>
                <w:top w:val="none" w:sz="0" w:space="0" w:color="auto"/>
                <w:left w:val="none" w:sz="0" w:space="0" w:color="auto"/>
                <w:bottom w:val="none" w:sz="0" w:space="0" w:color="auto"/>
                <w:right w:val="none" w:sz="0" w:space="0" w:color="auto"/>
              </w:divBdr>
              <w:divsChild>
                <w:div w:id="1492601439">
                  <w:marLeft w:val="0"/>
                  <w:marRight w:val="0"/>
                  <w:marTop w:val="120"/>
                  <w:marBottom w:val="0"/>
                  <w:divBdr>
                    <w:top w:val="none" w:sz="0" w:space="0" w:color="auto"/>
                    <w:left w:val="none" w:sz="0" w:space="0" w:color="auto"/>
                    <w:bottom w:val="none" w:sz="0" w:space="0" w:color="auto"/>
                    <w:right w:val="none" w:sz="0" w:space="0" w:color="auto"/>
                  </w:divBdr>
                </w:div>
                <w:div w:id="912739167">
                  <w:marLeft w:val="0"/>
                  <w:marRight w:val="0"/>
                  <w:marTop w:val="0"/>
                  <w:marBottom w:val="0"/>
                  <w:divBdr>
                    <w:top w:val="none" w:sz="0" w:space="0" w:color="auto"/>
                    <w:left w:val="none" w:sz="0" w:space="0" w:color="auto"/>
                    <w:bottom w:val="none" w:sz="0" w:space="0" w:color="auto"/>
                    <w:right w:val="none" w:sz="0" w:space="0" w:color="auto"/>
                  </w:divBdr>
                </w:div>
              </w:divsChild>
            </w:div>
            <w:div w:id="475412221">
              <w:marLeft w:val="0"/>
              <w:marRight w:val="0"/>
              <w:marTop w:val="0"/>
              <w:marBottom w:val="0"/>
              <w:divBdr>
                <w:top w:val="none" w:sz="0" w:space="0" w:color="auto"/>
                <w:left w:val="none" w:sz="0" w:space="0" w:color="auto"/>
                <w:bottom w:val="none" w:sz="0" w:space="0" w:color="auto"/>
                <w:right w:val="none" w:sz="0" w:space="0" w:color="auto"/>
              </w:divBdr>
              <w:divsChild>
                <w:div w:id="1825850586">
                  <w:marLeft w:val="0"/>
                  <w:marRight w:val="0"/>
                  <w:marTop w:val="120"/>
                  <w:marBottom w:val="0"/>
                  <w:divBdr>
                    <w:top w:val="none" w:sz="0" w:space="0" w:color="auto"/>
                    <w:left w:val="none" w:sz="0" w:space="0" w:color="auto"/>
                    <w:bottom w:val="none" w:sz="0" w:space="0" w:color="auto"/>
                    <w:right w:val="none" w:sz="0" w:space="0" w:color="auto"/>
                  </w:divBdr>
                </w:div>
                <w:div w:id="1907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54819">
      <w:bodyDiv w:val="1"/>
      <w:marLeft w:val="0"/>
      <w:marRight w:val="0"/>
      <w:marTop w:val="0"/>
      <w:marBottom w:val="0"/>
      <w:divBdr>
        <w:top w:val="none" w:sz="0" w:space="0" w:color="auto"/>
        <w:left w:val="none" w:sz="0" w:space="0" w:color="auto"/>
        <w:bottom w:val="none" w:sz="0" w:space="0" w:color="auto"/>
        <w:right w:val="none" w:sz="0" w:space="0" w:color="auto"/>
      </w:divBdr>
    </w:div>
    <w:div w:id="420838532">
      <w:bodyDiv w:val="1"/>
      <w:marLeft w:val="0"/>
      <w:marRight w:val="0"/>
      <w:marTop w:val="0"/>
      <w:marBottom w:val="0"/>
      <w:divBdr>
        <w:top w:val="none" w:sz="0" w:space="0" w:color="auto"/>
        <w:left w:val="none" w:sz="0" w:space="0" w:color="auto"/>
        <w:bottom w:val="none" w:sz="0" w:space="0" w:color="auto"/>
        <w:right w:val="none" w:sz="0" w:space="0" w:color="auto"/>
      </w:divBdr>
    </w:div>
    <w:div w:id="421488141">
      <w:bodyDiv w:val="1"/>
      <w:marLeft w:val="0"/>
      <w:marRight w:val="0"/>
      <w:marTop w:val="0"/>
      <w:marBottom w:val="0"/>
      <w:divBdr>
        <w:top w:val="none" w:sz="0" w:space="0" w:color="auto"/>
        <w:left w:val="none" w:sz="0" w:space="0" w:color="auto"/>
        <w:bottom w:val="none" w:sz="0" w:space="0" w:color="auto"/>
        <w:right w:val="none" w:sz="0" w:space="0" w:color="auto"/>
      </w:divBdr>
    </w:div>
    <w:div w:id="436682099">
      <w:bodyDiv w:val="1"/>
      <w:marLeft w:val="0"/>
      <w:marRight w:val="0"/>
      <w:marTop w:val="0"/>
      <w:marBottom w:val="0"/>
      <w:divBdr>
        <w:top w:val="none" w:sz="0" w:space="0" w:color="auto"/>
        <w:left w:val="none" w:sz="0" w:space="0" w:color="auto"/>
        <w:bottom w:val="none" w:sz="0" w:space="0" w:color="auto"/>
        <w:right w:val="none" w:sz="0" w:space="0" w:color="auto"/>
      </w:divBdr>
      <w:divsChild>
        <w:div w:id="2099599574">
          <w:marLeft w:val="0"/>
          <w:marRight w:val="0"/>
          <w:marTop w:val="0"/>
          <w:marBottom w:val="0"/>
          <w:divBdr>
            <w:top w:val="none" w:sz="0" w:space="0" w:color="auto"/>
            <w:left w:val="none" w:sz="0" w:space="0" w:color="auto"/>
            <w:bottom w:val="none" w:sz="0" w:space="0" w:color="auto"/>
            <w:right w:val="none" w:sz="0" w:space="0" w:color="auto"/>
          </w:divBdr>
          <w:divsChild>
            <w:div w:id="367726324">
              <w:marLeft w:val="0"/>
              <w:marRight w:val="0"/>
              <w:marTop w:val="0"/>
              <w:marBottom w:val="0"/>
              <w:divBdr>
                <w:top w:val="none" w:sz="0" w:space="0" w:color="auto"/>
                <w:left w:val="none" w:sz="0" w:space="0" w:color="auto"/>
                <w:bottom w:val="none" w:sz="0" w:space="0" w:color="auto"/>
                <w:right w:val="none" w:sz="0" w:space="0" w:color="auto"/>
              </w:divBdr>
              <w:divsChild>
                <w:div w:id="68699661">
                  <w:marLeft w:val="0"/>
                  <w:marRight w:val="0"/>
                  <w:marTop w:val="120"/>
                  <w:marBottom w:val="0"/>
                  <w:divBdr>
                    <w:top w:val="none" w:sz="0" w:space="0" w:color="auto"/>
                    <w:left w:val="none" w:sz="0" w:space="0" w:color="auto"/>
                    <w:bottom w:val="none" w:sz="0" w:space="0" w:color="auto"/>
                    <w:right w:val="none" w:sz="0" w:space="0" w:color="auto"/>
                  </w:divBdr>
                </w:div>
                <w:div w:id="274138633">
                  <w:marLeft w:val="0"/>
                  <w:marRight w:val="0"/>
                  <w:marTop w:val="0"/>
                  <w:marBottom w:val="0"/>
                  <w:divBdr>
                    <w:top w:val="none" w:sz="0" w:space="0" w:color="auto"/>
                    <w:left w:val="none" w:sz="0" w:space="0" w:color="auto"/>
                    <w:bottom w:val="none" w:sz="0" w:space="0" w:color="auto"/>
                    <w:right w:val="none" w:sz="0" w:space="0" w:color="auto"/>
                  </w:divBdr>
                </w:div>
              </w:divsChild>
            </w:div>
            <w:div w:id="831025967">
              <w:marLeft w:val="0"/>
              <w:marRight w:val="0"/>
              <w:marTop w:val="0"/>
              <w:marBottom w:val="0"/>
              <w:divBdr>
                <w:top w:val="none" w:sz="0" w:space="0" w:color="auto"/>
                <w:left w:val="none" w:sz="0" w:space="0" w:color="auto"/>
                <w:bottom w:val="none" w:sz="0" w:space="0" w:color="auto"/>
                <w:right w:val="none" w:sz="0" w:space="0" w:color="auto"/>
              </w:divBdr>
              <w:divsChild>
                <w:div w:id="802427835">
                  <w:marLeft w:val="0"/>
                  <w:marRight w:val="0"/>
                  <w:marTop w:val="120"/>
                  <w:marBottom w:val="0"/>
                  <w:divBdr>
                    <w:top w:val="none" w:sz="0" w:space="0" w:color="auto"/>
                    <w:left w:val="none" w:sz="0" w:space="0" w:color="auto"/>
                    <w:bottom w:val="none" w:sz="0" w:space="0" w:color="auto"/>
                    <w:right w:val="none" w:sz="0" w:space="0" w:color="auto"/>
                  </w:divBdr>
                </w:div>
                <w:div w:id="130639267">
                  <w:marLeft w:val="0"/>
                  <w:marRight w:val="0"/>
                  <w:marTop w:val="0"/>
                  <w:marBottom w:val="0"/>
                  <w:divBdr>
                    <w:top w:val="none" w:sz="0" w:space="0" w:color="auto"/>
                    <w:left w:val="none" w:sz="0" w:space="0" w:color="auto"/>
                    <w:bottom w:val="none" w:sz="0" w:space="0" w:color="auto"/>
                    <w:right w:val="none" w:sz="0" w:space="0" w:color="auto"/>
                  </w:divBdr>
                </w:div>
              </w:divsChild>
            </w:div>
            <w:div w:id="486551922">
              <w:marLeft w:val="0"/>
              <w:marRight w:val="0"/>
              <w:marTop w:val="0"/>
              <w:marBottom w:val="0"/>
              <w:divBdr>
                <w:top w:val="none" w:sz="0" w:space="0" w:color="auto"/>
                <w:left w:val="none" w:sz="0" w:space="0" w:color="auto"/>
                <w:bottom w:val="none" w:sz="0" w:space="0" w:color="auto"/>
                <w:right w:val="none" w:sz="0" w:space="0" w:color="auto"/>
              </w:divBdr>
              <w:divsChild>
                <w:div w:id="57434713">
                  <w:marLeft w:val="0"/>
                  <w:marRight w:val="0"/>
                  <w:marTop w:val="120"/>
                  <w:marBottom w:val="0"/>
                  <w:divBdr>
                    <w:top w:val="none" w:sz="0" w:space="0" w:color="auto"/>
                    <w:left w:val="none" w:sz="0" w:space="0" w:color="auto"/>
                    <w:bottom w:val="none" w:sz="0" w:space="0" w:color="auto"/>
                    <w:right w:val="none" w:sz="0" w:space="0" w:color="auto"/>
                  </w:divBdr>
                </w:div>
                <w:div w:id="647441695">
                  <w:marLeft w:val="0"/>
                  <w:marRight w:val="0"/>
                  <w:marTop w:val="0"/>
                  <w:marBottom w:val="0"/>
                  <w:divBdr>
                    <w:top w:val="none" w:sz="0" w:space="0" w:color="auto"/>
                    <w:left w:val="none" w:sz="0" w:space="0" w:color="auto"/>
                    <w:bottom w:val="none" w:sz="0" w:space="0" w:color="auto"/>
                    <w:right w:val="none" w:sz="0" w:space="0" w:color="auto"/>
                  </w:divBdr>
                </w:div>
              </w:divsChild>
            </w:div>
            <w:div w:id="1685784997">
              <w:marLeft w:val="0"/>
              <w:marRight w:val="0"/>
              <w:marTop w:val="0"/>
              <w:marBottom w:val="0"/>
              <w:divBdr>
                <w:top w:val="none" w:sz="0" w:space="0" w:color="auto"/>
                <w:left w:val="none" w:sz="0" w:space="0" w:color="auto"/>
                <w:bottom w:val="none" w:sz="0" w:space="0" w:color="auto"/>
                <w:right w:val="none" w:sz="0" w:space="0" w:color="auto"/>
              </w:divBdr>
              <w:divsChild>
                <w:div w:id="2134250215">
                  <w:marLeft w:val="0"/>
                  <w:marRight w:val="0"/>
                  <w:marTop w:val="120"/>
                  <w:marBottom w:val="0"/>
                  <w:divBdr>
                    <w:top w:val="none" w:sz="0" w:space="0" w:color="auto"/>
                    <w:left w:val="none" w:sz="0" w:space="0" w:color="auto"/>
                    <w:bottom w:val="none" w:sz="0" w:space="0" w:color="auto"/>
                    <w:right w:val="none" w:sz="0" w:space="0" w:color="auto"/>
                  </w:divBdr>
                </w:div>
                <w:div w:id="777916650">
                  <w:marLeft w:val="0"/>
                  <w:marRight w:val="0"/>
                  <w:marTop w:val="0"/>
                  <w:marBottom w:val="0"/>
                  <w:divBdr>
                    <w:top w:val="none" w:sz="0" w:space="0" w:color="auto"/>
                    <w:left w:val="none" w:sz="0" w:space="0" w:color="auto"/>
                    <w:bottom w:val="none" w:sz="0" w:space="0" w:color="auto"/>
                    <w:right w:val="none" w:sz="0" w:space="0" w:color="auto"/>
                  </w:divBdr>
                </w:div>
              </w:divsChild>
            </w:div>
            <w:div w:id="1581016915">
              <w:marLeft w:val="0"/>
              <w:marRight w:val="0"/>
              <w:marTop w:val="0"/>
              <w:marBottom w:val="0"/>
              <w:divBdr>
                <w:top w:val="none" w:sz="0" w:space="0" w:color="auto"/>
                <w:left w:val="none" w:sz="0" w:space="0" w:color="auto"/>
                <w:bottom w:val="none" w:sz="0" w:space="0" w:color="auto"/>
                <w:right w:val="none" w:sz="0" w:space="0" w:color="auto"/>
              </w:divBdr>
              <w:divsChild>
                <w:div w:id="2097701428">
                  <w:marLeft w:val="0"/>
                  <w:marRight w:val="0"/>
                  <w:marTop w:val="120"/>
                  <w:marBottom w:val="0"/>
                  <w:divBdr>
                    <w:top w:val="none" w:sz="0" w:space="0" w:color="auto"/>
                    <w:left w:val="none" w:sz="0" w:space="0" w:color="auto"/>
                    <w:bottom w:val="none" w:sz="0" w:space="0" w:color="auto"/>
                    <w:right w:val="none" w:sz="0" w:space="0" w:color="auto"/>
                  </w:divBdr>
                </w:div>
                <w:div w:id="2863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4404">
      <w:bodyDiv w:val="1"/>
      <w:marLeft w:val="0"/>
      <w:marRight w:val="0"/>
      <w:marTop w:val="0"/>
      <w:marBottom w:val="0"/>
      <w:divBdr>
        <w:top w:val="none" w:sz="0" w:space="0" w:color="auto"/>
        <w:left w:val="none" w:sz="0" w:space="0" w:color="auto"/>
        <w:bottom w:val="none" w:sz="0" w:space="0" w:color="auto"/>
        <w:right w:val="none" w:sz="0" w:space="0" w:color="auto"/>
      </w:divBdr>
    </w:div>
    <w:div w:id="442388566">
      <w:bodyDiv w:val="1"/>
      <w:marLeft w:val="0"/>
      <w:marRight w:val="0"/>
      <w:marTop w:val="0"/>
      <w:marBottom w:val="0"/>
      <w:divBdr>
        <w:top w:val="none" w:sz="0" w:space="0" w:color="auto"/>
        <w:left w:val="none" w:sz="0" w:space="0" w:color="auto"/>
        <w:bottom w:val="none" w:sz="0" w:space="0" w:color="auto"/>
        <w:right w:val="none" w:sz="0" w:space="0" w:color="auto"/>
      </w:divBdr>
      <w:divsChild>
        <w:div w:id="1197503486">
          <w:marLeft w:val="0"/>
          <w:marRight w:val="0"/>
          <w:marTop w:val="0"/>
          <w:marBottom w:val="0"/>
          <w:divBdr>
            <w:top w:val="none" w:sz="0" w:space="0" w:color="auto"/>
            <w:left w:val="none" w:sz="0" w:space="0" w:color="auto"/>
            <w:bottom w:val="none" w:sz="0" w:space="0" w:color="auto"/>
            <w:right w:val="none" w:sz="0" w:space="0" w:color="auto"/>
          </w:divBdr>
        </w:div>
        <w:div w:id="1719626450">
          <w:marLeft w:val="0"/>
          <w:marRight w:val="0"/>
          <w:marTop w:val="0"/>
          <w:marBottom w:val="0"/>
          <w:divBdr>
            <w:top w:val="none" w:sz="0" w:space="0" w:color="auto"/>
            <w:left w:val="none" w:sz="0" w:space="0" w:color="auto"/>
            <w:bottom w:val="none" w:sz="0" w:space="0" w:color="auto"/>
            <w:right w:val="none" w:sz="0" w:space="0" w:color="auto"/>
          </w:divBdr>
        </w:div>
        <w:div w:id="2054692422">
          <w:marLeft w:val="0"/>
          <w:marRight w:val="0"/>
          <w:marTop w:val="0"/>
          <w:marBottom w:val="0"/>
          <w:divBdr>
            <w:top w:val="none" w:sz="0" w:space="0" w:color="auto"/>
            <w:left w:val="none" w:sz="0" w:space="0" w:color="auto"/>
            <w:bottom w:val="none" w:sz="0" w:space="0" w:color="auto"/>
            <w:right w:val="none" w:sz="0" w:space="0" w:color="auto"/>
          </w:divBdr>
        </w:div>
      </w:divsChild>
    </w:div>
    <w:div w:id="454494173">
      <w:bodyDiv w:val="1"/>
      <w:marLeft w:val="0"/>
      <w:marRight w:val="0"/>
      <w:marTop w:val="0"/>
      <w:marBottom w:val="0"/>
      <w:divBdr>
        <w:top w:val="none" w:sz="0" w:space="0" w:color="auto"/>
        <w:left w:val="none" w:sz="0" w:space="0" w:color="auto"/>
        <w:bottom w:val="none" w:sz="0" w:space="0" w:color="auto"/>
        <w:right w:val="none" w:sz="0" w:space="0" w:color="auto"/>
      </w:divBdr>
    </w:div>
    <w:div w:id="479687152">
      <w:bodyDiv w:val="1"/>
      <w:marLeft w:val="0"/>
      <w:marRight w:val="0"/>
      <w:marTop w:val="0"/>
      <w:marBottom w:val="0"/>
      <w:divBdr>
        <w:top w:val="none" w:sz="0" w:space="0" w:color="auto"/>
        <w:left w:val="none" w:sz="0" w:space="0" w:color="auto"/>
        <w:bottom w:val="none" w:sz="0" w:space="0" w:color="auto"/>
        <w:right w:val="none" w:sz="0" w:space="0" w:color="auto"/>
      </w:divBdr>
    </w:div>
    <w:div w:id="526917704">
      <w:bodyDiv w:val="1"/>
      <w:marLeft w:val="0"/>
      <w:marRight w:val="0"/>
      <w:marTop w:val="0"/>
      <w:marBottom w:val="0"/>
      <w:divBdr>
        <w:top w:val="none" w:sz="0" w:space="0" w:color="auto"/>
        <w:left w:val="none" w:sz="0" w:space="0" w:color="auto"/>
        <w:bottom w:val="none" w:sz="0" w:space="0" w:color="auto"/>
        <w:right w:val="none" w:sz="0" w:space="0" w:color="auto"/>
      </w:divBdr>
    </w:div>
    <w:div w:id="543102058">
      <w:bodyDiv w:val="1"/>
      <w:marLeft w:val="0"/>
      <w:marRight w:val="0"/>
      <w:marTop w:val="0"/>
      <w:marBottom w:val="0"/>
      <w:divBdr>
        <w:top w:val="none" w:sz="0" w:space="0" w:color="auto"/>
        <w:left w:val="none" w:sz="0" w:space="0" w:color="auto"/>
        <w:bottom w:val="none" w:sz="0" w:space="0" w:color="auto"/>
        <w:right w:val="none" w:sz="0" w:space="0" w:color="auto"/>
      </w:divBdr>
    </w:div>
    <w:div w:id="549345934">
      <w:bodyDiv w:val="1"/>
      <w:marLeft w:val="0"/>
      <w:marRight w:val="0"/>
      <w:marTop w:val="0"/>
      <w:marBottom w:val="0"/>
      <w:divBdr>
        <w:top w:val="none" w:sz="0" w:space="0" w:color="auto"/>
        <w:left w:val="none" w:sz="0" w:space="0" w:color="auto"/>
        <w:bottom w:val="none" w:sz="0" w:space="0" w:color="auto"/>
        <w:right w:val="none" w:sz="0" w:space="0" w:color="auto"/>
      </w:divBdr>
    </w:div>
    <w:div w:id="549726594">
      <w:bodyDiv w:val="1"/>
      <w:marLeft w:val="0"/>
      <w:marRight w:val="0"/>
      <w:marTop w:val="0"/>
      <w:marBottom w:val="0"/>
      <w:divBdr>
        <w:top w:val="none" w:sz="0" w:space="0" w:color="auto"/>
        <w:left w:val="none" w:sz="0" w:space="0" w:color="auto"/>
        <w:bottom w:val="none" w:sz="0" w:space="0" w:color="auto"/>
        <w:right w:val="none" w:sz="0" w:space="0" w:color="auto"/>
      </w:divBdr>
    </w:div>
    <w:div w:id="573323047">
      <w:bodyDiv w:val="1"/>
      <w:marLeft w:val="0"/>
      <w:marRight w:val="0"/>
      <w:marTop w:val="0"/>
      <w:marBottom w:val="0"/>
      <w:divBdr>
        <w:top w:val="none" w:sz="0" w:space="0" w:color="auto"/>
        <w:left w:val="none" w:sz="0" w:space="0" w:color="auto"/>
        <w:bottom w:val="none" w:sz="0" w:space="0" w:color="auto"/>
        <w:right w:val="none" w:sz="0" w:space="0" w:color="auto"/>
      </w:divBdr>
    </w:div>
    <w:div w:id="585303739">
      <w:bodyDiv w:val="1"/>
      <w:marLeft w:val="0"/>
      <w:marRight w:val="0"/>
      <w:marTop w:val="0"/>
      <w:marBottom w:val="0"/>
      <w:divBdr>
        <w:top w:val="none" w:sz="0" w:space="0" w:color="auto"/>
        <w:left w:val="none" w:sz="0" w:space="0" w:color="auto"/>
        <w:bottom w:val="none" w:sz="0" w:space="0" w:color="auto"/>
        <w:right w:val="none" w:sz="0" w:space="0" w:color="auto"/>
      </w:divBdr>
    </w:div>
    <w:div w:id="612443526">
      <w:bodyDiv w:val="1"/>
      <w:marLeft w:val="0"/>
      <w:marRight w:val="0"/>
      <w:marTop w:val="0"/>
      <w:marBottom w:val="0"/>
      <w:divBdr>
        <w:top w:val="none" w:sz="0" w:space="0" w:color="auto"/>
        <w:left w:val="none" w:sz="0" w:space="0" w:color="auto"/>
        <w:bottom w:val="none" w:sz="0" w:space="0" w:color="auto"/>
        <w:right w:val="none" w:sz="0" w:space="0" w:color="auto"/>
      </w:divBdr>
    </w:div>
    <w:div w:id="629868004">
      <w:bodyDiv w:val="1"/>
      <w:marLeft w:val="0"/>
      <w:marRight w:val="0"/>
      <w:marTop w:val="0"/>
      <w:marBottom w:val="0"/>
      <w:divBdr>
        <w:top w:val="none" w:sz="0" w:space="0" w:color="auto"/>
        <w:left w:val="none" w:sz="0" w:space="0" w:color="auto"/>
        <w:bottom w:val="none" w:sz="0" w:space="0" w:color="auto"/>
        <w:right w:val="none" w:sz="0" w:space="0" w:color="auto"/>
      </w:divBdr>
    </w:div>
    <w:div w:id="637078636">
      <w:bodyDiv w:val="1"/>
      <w:marLeft w:val="0"/>
      <w:marRight w:val="0"/>
      <w:marTop w:val="0"/>
      <w:marBottom w:val="0"/>
      <w:divBdr>
        <w:top w:val="none" w:sz="0" w:space="0" w:color="auto"/>
        <w:left w:val="none" w:sz="0" w:space="0" w:color="auto"/>
        <w:bottom w:val="none" w:sz="0" w:space="0" w:color="auto"/>
        <w:right w:val="none" w:sz="0" w:space="0" w:color="auto"/>
      </w:divBdr>
    </w:div>
    <w:div w:id="699664806">
      <w:bodyDiv w:val="1"/>
      <w:marLeft w:val="0"/>
      <w:marRight w:val="0"/>
      <w:marTop w:val="0"/>
      <w:marBottom w:val="0"/>
      <w:divBdr>
        <w:top w:val="none" w:sz="0" w:space="0" w:color="auto"/>
        <w:left w:val="none" w:sz="0" w:space="0" w:color="auto"/>
        <w:bottom w:val="none" w:sz="0" w:space="0" w:color="auto"/>
        <w:right w:val="none" w:sz="0" w:space="0" w:color="auto"/>
      </w:divBdr>
    </w:div>
    <w:div w:id="704985878">
      <w:bodyDiv w:val="1"/>
      <w:marLeft w:val="0"/>
      <w:marRight w:val="0"/>
      <w:marTop w:val="0"/>
      <w:marBottom w:val="0"/>
      <w:divBdr>
        <w:top w:val="none" w:sz="0" w:space="0" w:color="auto"/>
        <w:left w:val="none" w:sz="0" w:space="0" w:color="auto"/>
        <w:bottom w:val="none" w:sz="0" w:space="0" w:color="auto"/>
        <w:right w:val="none" w:sz="0" w:space="0" w:color="auto"/>
      </w:divBdr>
      <w:divsChild>
        <w:div w:id="382870074">
          <w:marLeft w:val="0"/>
          <w:marRight w:val="0"/>
          <w:marTop w:val="0"/>
          <w:marBottom w:val="0"/>
          <w:divBdr>
            <w:top w:val="none" w:sz="0" w:space="0" w:color="auto"/>
            <w:left w:val="none" w:sz="0" w:space="0" w:color="auto"/>
            <w:bottom w:val="none" w:sz="0" w:space="0" w:color="auto"/>
            <w:right w:val="none" w:sz="0" w:space="0" w:color="auto"/>
          </w:divBdr>
        </w:div>
        <w:div w:id="753937924">
          <w:marLeft w:val="0"/>
          <w:marRight w:val="0"/>
          <w:marTop w:val="0"/>
          <w:marBottom w:val="0"/>
          <w:divBdr>
            <w:top w:val="none" w:sz="0" w:space="0" w:color="auto"/>
            <w:left w:val="none" w:sz="0" w:space="0" w:color="auto"/>
            <w:bottom w:val="none" w:sz="0" w:space="0" w:color="auto"/>
            <w:right w:val="none" w:sz="0" w:space="0" w:color="auto"/>
          </w:divBdr>
        </w:div>
        <w:div w:id="1752238852">
          <w:marLeft w:val="0"/>
          <w:marRight w:val="0"/>
          <w:marTop w:val="0"/>
          <w:marBottom w:val="0"/>
          <w:divBdr>
            <w:top w:val="none" w:sz="0" w:space="0" w:color="auto"/>
            <w:left w:val="none" w:sz="0" w:space="0" w:color="auto"/>
            <w:bottom w:val="none" w:sz="0" w:space="0" w:color="auto"/>
            <w:right w:val="none" w:sz="0" w:space="0" w:color="auto"/>
          </w:divBdr>
        </w:div>
        <w:div w:id="1965652185">
          <w:marLeft w:val="0"/>
          <w:marRight w:val="0"/>
          <w:marTop w:val="0"/>
          <w:marBottom w:val="0"/>
          <w:divBdr>
            <w:top w:val="none" w:sz="0" w:space="0" w:color="auto"/>
            <w:left w:val="none" w:sz="0" w:space="0" w:color="auto"/>
            <w:bottom w:val="none" w:sz="0" w:space="0" w:color="auto"/>
            <w:right w:val="none" w:sz="0" w:space="0" w:color="auto"/>
          </w:divBdr>
        </w:div>
      </w:divsChild>
    </w:div>
    <w:div w:id="710618812">
      <w:bodyDiv w:val="1"/>
      <w:marLeft w:val="0"/>
      <w:marRight w:val="0"/>
      <w:marTop w:val="0"/>
      <w:marBottom w:val="0"/>
      <w:divBdr>
        <w:top w:val="none" w:sz="0" w:space="0" w:color="auto"/>
        <w:left w:val="none" w:sz="0" w:space="0" w:color="auto"/>
        <w:bottom w:val="none" w:sz="0" w:space="0" w:color="auto"/>
        <w:right w:val="none" w:sz="0" w:space="0" w:color="auto"/>
      </w:divBdr>
    </w:div>
    <w:div w:id="715931373">
      <w:bodyDiv w:val="1"/>
      <w:marLeft w:val="0"/>
      <w:marRight w:val="0"/>
      <w:marTop w:val="0"/>
      <w:marBottom w:val="0"/>
      <w:divBdr>
        <w:top w:val="none" w:sz="0" w:space="0" w:color="auto"/>
        <w:left w:val="none" w:sz="0" w:space="0" w:color="auto"/>
        <w:bottom w:val="none" w:sz="0" w:space="0" w:color="auto"/>
        <w:right w:val="none" w:sz="0" w:space="0" w:color="auto"/>
      </w:divBdr>
    </w:div>
    <w:div w:id="719479912">
      <w:bodyDiv w:val="1"/>
      <w:marLeft w:val="0"/>
      <w:marRight w:val="0"/>
      <w:marTop w:val="0"/>
      <w:marBottom w:val="0"/>
      <w:divBdr>
        <w:top w:val="none" w:sz="0" w:space="0" w:color="auto"/>
        <w:left w:val="none" w:sz="0" w:space="0" w:color="auto"/>
        <w:bottom w:val="none" w:sz="0" w:space="0" w:color="auto"/>
        <w:right w:val="none" w:sz="0" w:space="0" w:color="auto"/>
      </w:divBdr>
    </w:div>
    <w:div w:id="729619598">
      <w:bodyDiv w:val="1"/>
      <w:marLeft w:val="0"/>
      <w:marRight w:val="0"/>
      <w:marTop w:val="0"/>
      <w:marBottom w:val="0"/>
      <w:divBdr>
        <w:top w:val="none" w:sz="0" w:space="0" w:color="auto"/>
        <w:left w:val="none" w:sz="0" w:space="0" w:color="auto"/>
        <w:bottom w:val="none" w:sz="0" w:space="0" w:color="auto"/>
        <w:right w:val="none" w:sz="0" w:space="0" w:color="auto"/>
      </w:divBdr>
    </w:div>
    <w:div w:id="731394766">
      <w:bodyDiv w:val="1"/>
      <w:marLeft w:val="0"/>
      <w:marRight w:val="0"/>
      <w:marTop w:val="0"/>
      <w:marBottom w:val="0"/>
      <w:divBdr>
        <w:top w:val="none" w:sz="0" w:space="0" w:color="auto"/>
        <w:left w:val="none" w:sz="0" w:space="0" w:color="auto"/>
        <w:bottom w:val="none" w:sz="0" w:space="0" w:color="auto"/>
        <w:right w:val="none" w:sz="0" w:space="0" w:color="auto"/>
      </w:divBdr>
    </w:div>
    <w:div w:id="744111216">
      <w:bodyDiv w:val="1"/>
      <w:marLeft w:val="0"/>
      <w:marRight w:val="0"/>
      <w:marTop w:val="0"/>
      <w:marBottom w:val="0"/>
      <w:divBdr>
        <w:top w:val="none" w:sz="0" w:space="0" w:color="auto"/>
        <w:left w:val="none" w:sz="0" w:space="0" w:color="auto"/>
        <w:bottom w:val="none" w:sz="0" w:space="0" w:color="auto"/>
        <w:right w:val="none" w:sz="0" w:space="0" w:color="auto"/>
      </w:divBdr>
    </w:div>
    <w:div w:id="747850216">
      <w:bodyDiv w:val="1"/>
      <w:marLeft w:val="0"/>
      <w:marRight w:val="0"/>
      <w:marTop w:val="0"/>
      <w:marBottom w:val="0"/>
      <w:divBdr>
        <w:top w:val="none" w:sz="0" w:space="0" w:color="auto"/>
        <w:left w:val="none" w:sz="0" w:space="0" w:color="auto"/>
        <w:bottom w:val="none" w:sz="0" w:space="0" w:color="auto"/>
        <w:right w:val="none" w:sz="0" w:space="0" w:color="auto"/>
      </w:divBdr>
    </w:div>
    <w:div w:id="753821032">
      <w:bodyDiv w:val="1"/>
      <w:marLeft w:val="0"/>
      <w:marRight w:val="0"/>
      <w:marTop w:val="0"/>
      <w:marBottom w:val="0"/>
      <w:divBdr>
        <w:top w:val="none" w:sz="0" w:space="0" w:color="auto"/>
        <w:left w:val="none" w:sz="0" w:space="0" w:color="auto"/>
        <w:bottom w:val="none" w:sz="0" w:space="0" w:color="auto"/>
        <w:right w:val="none" w:sz="0" w:space="0" w:color="auto"/>
      </w:divBdr>
    </w:div>
    <w:div w:id="769393896">
      <w:bodyDiv w:val="1"/>
      <w:marLeft w:val="0"/>
      <w:marRight w:val="0"/>
      <w:marTop w:val="0"/>
      <w:marBottom w:val="0"/>
      <w:divBdr>
        <w:top w:val="none" w:sz="0" w:space="0" w:color="auto"/>
        <w:left w:val="none" w:sz="0" w:space="0" w:color="auto"/>
        <w:bottom w:val="none" w:sz="0" w:space="0" w:color="auto"/>
        <w:right w:val="none" w:sz="0" w:space="0" w:color="auto"/>
      </w:divBdr>
    </w:div>
    <w:div w:id="788278287">
      <w:bodyDiv w:val="1"/>
      <w:marLeft w:val="0"/>
      <w:marRight w:val="0"/>
      <w:marTop w:val="0"/>
      <w:marBottom w:val="0"/>
      <w:divBdr>
        <w:top w:val="none" w:sz="0" w:space="0" w:color="auto"/>
        <w:left w:val="none" w:sz="0" w:space="0" w:color="auto"/>
        <w:bottom w:val="none" w:sz="0" w:space="0" w:color="auto"/>
        <w:right w:val="none" w:sz="0" w:space="0" w:color="auto"/>
      </w:divBdr>
    </w:div>
    <w:div w:id="789974974">
      <w:bodyDiv w:val="1"/>
      <w:marLeft w:val="0"/>
      <w:marRight w:val="0"/>
      <w:marTop w:val="0"/>
      <w:marBottom w:val="0"/>
      <w:divBdr>
        <w:top w:val="none" w:sz="0" w:space="0" w:color="auto"/>
        <w:left w:val="none" w:sz="0" w:space="0" w:color="auto"/>
        <w:bottom w:val="none" w:sz="0" w:space="0" w:color="auto"/>
        <w:right w:val="none" w:sz="0" w:space="0" w:color="auto"/>
      </w:divBdr>
    </w:div>
    <w:div w:id="853611586">
      <w:bodyDiv w:val="1"/>
      <w:marLeft w:val="0"/>
      <w:marRight w:val="0"/>
      <w:marTop w:val="0"/>
      <w:marBottom w:val="0"/>
      <w:divBdr>
        <w:top w:val="none" w:sz="0" w:space="0" w:color="auto"/>
        <w:left w:val="none" w:sz="0" w:space="0" w:color="auto"/>
        <w:bottom w:val="none" w:sz="0" w:space="0" w:color="auto"/>
        <w:right w:val="none" w:sz="0" w:space="0" w:color="auto"/>
      </w:divBdr>
    </w:div>
    <w:div w:id="858666981">
      <w:bodyDiv w:val="1"/>
      <w:marLeft w:val="0"/>
      <w:marRight w:val="0"/>
      <w:marTop w:val="0"/>
      <w:marBottom w:val="0"/>
      <w:divBdr>
        <w:top w:val="none" w:sz="0" w:space="0" w:color="auto"/>
        <w:left w:val="none" w:sz="0" w:space="0" w:color="auto"/>
        <w:bottom w:val="none" w:sz="0" w:space="0" w:color="auto"/>
        <w:right w:val="none" w:sz="0" w:space="0" w:color="auto"/>
      </w:divBdr>
    </w:div>
    <w:div w:id="892424748">
      <w:bodyDiv w:val="1"/>
      <w:marLeft w:val="0"/>
      <w:marRight w:val="0"/>
      <w:marTop w:val="0"/>
      <w:marBottom w:val="0"/>
      <w:divBdr>
        <w:top w:val="none" w:sz="0" w:space="0" w:color="auto"/>
        <w:left w:val="none" w:sz="0" w:space="0" w:color="auto"/>
        <w:bottom w:val="none" w:sz="0" w:space="0" w:color="auto"/>
        <w:right w:val="none" w:sz="0" w:space="0" w:color="auto"/>
      </w:divBdr>
    </w:div>
    <w:div w:id="912786486">
      <w:bodyDiv w:val="1"/>
      <w:marLeft w:val="0"/>
      <w:marRight w:val="0"/>
      <w:marTop w:val="0"/>
      <w:marBottom w:val="0"/>
      <w:divBdr>
        <w:top w:val="none" w:sz="0" w:space="0" w:color="auto"/>
        <w:left w:val="none" w:sz="0" w:space="0" w:color="auto"/>
        <w:bottom w:val="none" w:sz="0" w:space="0" w:color="auto"/>
        <w:right w:val="none" w:sz="0" w:space="0" w:color="auto"/>
      </w:divBdr>
    </w:div>
    <w:div w:id="934479756">
      <w:bodyDiv w:val="1"/>
      <w:marLeft w:val="0"/>
      <w:marRight w:val="0"/>
      <w:marTop w:val="0"/>
      <w:marBottom w:val="0"/>
      <w:divBdr>
        <w:top w:val="none" w:sz="0" w:space="0" w:color="auto"/>
        <w:left w:val="none" w:sz="0" w:space="0" w:color="auto"/>
        <w:bottom w:val="none" w:sz="0" w:space="0" w:color="auto"/>
        <w:right w:val="none" w:sz="0" w:space="0" w:color="auto"/>
      </w:divBdr>
      <w:divsChild>
        <w:div w:id="8416038">
          <w:marLeft w:val="0"/>
          <w:marRight w:val="0"/>
          <w:marTop w:val="0"/>
          <w:marBottom w:val="0"/>
          <w:divBdr>
            <w:top w:val="none" w:sz="0" w:space="0" w:color="auto"/>
            <w:left w:val="none" w:sz="0" w:space="0" w:color="auto"/>
            <w:bottom w:val="none" w:sz="0" w:space="0" w:color="auto"/>
            <w:right w:val="none" w:sz="0" w:space="0" w:color="auto"/>
          </w:divBdr>
        </w:div>
      </w:divsChild>
    </w:div>
    <w:div w:id="937981320">
      <w:bodyDiv w:val="1"/>
      <w:marLeft w:val="0"/>
      <w:marRight w:val="0"/>
      <w:marTop w:val="0"/>
      <w:marBottom w:val="0"/>
      <w:divBdr>
        <w:top w:val="none" w:sz="0" w:space="0" w:color="auto"/>
        <w:left w:val="none" w:sz="0" w:space="0" w:color="auto"/>
        <w:bottom w:val="none" w:sz="0" w:space="0" w:color="auto"/>
        <w:right w:val="none" w:sz="0" w:space="0" w:color="auto"/>
      </w:divBdr>
    </w:div>
    <w:div w:id="943264357">
      <w:bodyDiv w:val="1"/>
      <w:marLeft w:val="0"/>
      <w:marRight w:val="0"/>
      <w:marTop w:val="0"/>
      <w:marBottom w:val="0"/>
      <w:divBdr>
        <w:top w:val="none" w:sz="0" w:space="0" w:color="auto"/>
        <w:left w:val="none" w:sz="0" w:space="0" w:color="auto"/>
        <w:bottom w:val="none" w:sz="0" w:space="0" w:color="auto"/>
        <w:right w:val="none" w:sz="0" w:space="0" w:color="auto"/>
      </w:divBdr>
    </w:div>
    <w:div w:id="960233803">
      <w:bodyDiv w:val="1"/>
      <w:marLeft w:val="0"/>
      <w:marRight w:val="0"/>
      <w:marTop w:val="0"/>
      <w:marBottom w:val="0"/>
      <w:divBdr>
        <w:top w:val="none" w:sz="0" w:space="0" w:color="auto"/>
        <w:left w:val="none" w:sz="0" w:space="0" w:color="auto"/>
        <w:bottom w:val="none" w:sz="0" w:space="0" w:color="auto"/>
        <w:right w:val="none" w:sz="0" w:space="0" w:color="auto"/>
      </w:divBdr>
    </w:div>
    <w:div w:id="973215955">
      <w:bodyDiv w:val="1"/>
      <w:marLeft w:val="0"/>
      <w:marRight w:val="0"/>
      <w:marTop w:val="0"/>
      <w:marBottom w:val="0"/>
      <w:divBdr>
        <w:top w:val="none" w:sz="0" w:space="0" w:color="auto"/>
        <w:left w:val="none" w:sz="0" w:space="0" w:color="auto"/>
        <w:bottom w:val="none" w:sz="0" w:space="0" w:color="auto"/>
        <w:right w:val="none" w:sz="0" w:space="0" w:color="auto"/>
      </w:divBdr>
    </w:div>
    <w:div w:id="974215600">
      <w:bodyDiv w:val="1"/>
      <w:marLeft w:val="0"/>
      <w:marRight w:val="0"/>
      <w:marTop w:val="0"/>
      <w:marBottom w:val="0"/>
      <w:divBdr>
        <w:top w:val="none" w:sz="0" w:space="0" w:color="auto"/>
        <w:left w:val="none" w:sz="0" w:space="0" w:color="auto"/>
        <w:bottom w:val="none" w:sz="0" w:space="0" w:color="auto"/>
        <w:right w:val="none" w:sz="0" w:space="0" w:color="auto"/>
      </w:divBdr>
    </w:div>
    <w:div w:id="975910798">
      <w:bodyDiv w:val="1"/>
      <w:marLeft w:val="0"/>
      <w:marRight w:val="0"/>
      <w:marTop w:val="0"/>
      <w:marBottom w:val="0"/>
      <w:divBdr>
        <w:top w:val="none" w:sz="0" w:space="0" w:color="auto"/>
        <w:left w:val="none" w:sz="0" w:space="0" w:color="auto"/>
        <w:bottom w:val="none" w:sz="0" w:space="0" w:color="auto"/>
        <w:right w:val="none" w:sz="0" w:space="0" w:color="auto"/>
      </w:divBdr>
    </w:div>
    <w:div w:id="977688178">
      <w:bodyDiv w:val="1"/>
      <w:marLeft w:val="0"/>
      <w:marRight w:val="0"/>
      <w:marTop w:val="0"/>
      <w:marBottom w:val="0"/>
      <w:divBdr>
        <w:top w:val="none" w:sz="0" w:space="0" w:color="auto"/>
        <w:left w:val="none" w:sz="0" w:space="0" w:color="auto"/>
        <w:bottom w:val="none" w:sz="0" w:space="0" w:color="auto"/>
        <w:right w:val="none" w:sz="0" w:space="0" w:color="auto"/>
      </w:divBdr>
    </w:div>
    <w:div w:id="1001667160">
      <w:bodyDiv w:val="1"/>
      <w:marLeft w:val="0"/>
      <w:marRight w:val="0"/>
      <w:marTop w:val="0"/>
      <w:marBottom w:val="0"/>
      <w:divBdr>
        <w:top w:val="none" w:sz="0" w:space="0" w:color="auto"/>
        <w:left w:val="none" w:sz="0" w:space="0" w:color="auto"/>
        <w:bottom w:val="none" w:sz="0" w:space="0" w:color="auto"/>
        <w:right w:val="none" w:sz="0" w:space="0" w:color="auto"/>
      </w:divBdr>
    </w:div>
    <w:div w:id="1001736206">
      <w:bodyDiv w:val="1"/>
      <w:marLeft w:val="0"/>
      <w:marRight w:val="0"/>
      <w:marTop w:val="0"/>
      <w:marBottom w:val="0"/>
      <w:divBdr>
        <w:top w:val="none" w:sz="0" w:space="0" w:color="auto"/>
        <w:left w:val="none" w:sz="0" w:space="0" w:color="auto"/>
        <w:bottom w:val="none" w:sz="0" w:space="0" w:color="auto"/>
        <w:right w:val="none" w:sz="0" w:space="0" w:color="auto"/>
      </w:divBdr>
    </w:div>
    <w:div w:id="1013923270">
      <w:bodyDiv w:val="1"/>
      <w:marLeft w:val="0"/>
      <w:marRight w:val="0"/>
      <w:marTop w:val="0"/>
      <w:marBottom w:val="0"/>
      <w:divBdr>
        <w:top w:val="none" w:sz="0" w:space="0" w:color="auto"/>
        <w:left w:val="none" w:sz="0" w:space="0" w:color="auto"/>
        <w:bottom w:val="none" w:sz="0" w:space="0" w:color="auto"/>
        <w:right w:val="none" w:sz="0" w:space="0" w:color="auto"/>
      </w:divBdr>
    </w:div>
    <w:div w:id="1027636332">
      <w:bodyDiv w:val="1"/>
      <w:marLeft w:val="0"/>
      <w:marRight w:val="0"/>
      <w:marTop w:val="0"/>
      <w:marBottom w:val="0"/>
      <w:divBdr>
        <w:top w:val="none" w:sz="0" w:space="0" w:color="auto"/>
        <w:left w:val="none" w:sz="0" w:space="0" w:color="auto"/>
        <w:bottom w:val="none" w:sz="0" w:space="0" w:color="auto"/>
        <w:right w:val="none" w:sz="0" w:space="0" w:color="auto"/>
      </w:divBdr>
    </w:div>
    <w:div w:id="1032658285">
      <w:bodyDiv w:val="1"/>
      <w:marLeft w:val="0"/>
      <w:marRight w:val="0"/>
      <w:marTop w:val="0"/>
      <w:marBottom w:val="0"/>
      <w:divBdr>
        <w:top w:val="none" w:sz="0" w:space="0" w:color="auto"/>
        <w:left w:val="none" w:sz="0" w:space="0" w:color="auto"/>
        <w:bottom w:val="none" w:sz="0" w:space="0" w:color="auto"/>
        <w:right w:val="none" w:sz="0" w:space="0" w:color="auto"/>
      </w:divBdr>
    </w:div>
    <w:div w:id="1033920116">
      <w:bodyDiv w:val="1"/>
      <w:marLeft w:val="0"/>
      <w:marRight w:val="0"/>
      <w:marTop w:val="0"/>
      <w:marBottom w:val="0"/>
      <w:divBdr>
        <w:top w:val="none" w:sz="0" w:space="0" w:color="auto"/>
        <w:left w:val="none" w:sz="0" w:space="0" w:color="auto"/>
        <w:bottom w:val="none" w:sz="0" w:space="0" w:color="auto"/>
        <w:right w:val="none" w:sz="0" w:space="0" w:color="auto"/>
      </w:divBdr>
    </w:div>
    <w:div w:id="1054352551">
      <w:bodyDiv w:val="1"/>
      <w:marLeft w:val="0"/>
      <w:marRight w:val="0"/>
      <w:marTop w:val="0"/>
      <w:marBottom w:val="0"/>
      <w:divBdr>
        <w:top w:val="none" w:sz="0" w:space="0" w:color="auto"/>
        <w:left w:val="none" w:sz="0" w:space="0" w:color="auto"/>
        <w:bottom w:val="none" w:sz="0" w:space="0" w:color="auto"/>
        <w:right w:val="none" w:sz="0" w:space="0" w:color="auto"/>
      </w:divBdr>
    </w:div>
    <w:div w:id="1065567231">
      <w:bodyDiv w:val="1"/>
      <w:marLeft w:val="0"/>
      <w:marRight w:val="0"/>
      <w:marTop w:val="0"/>
      <w:marBottom w:val="0"/>
      <w:divBdr>
        <w:top w:val="none" w:sz="0" w:space="0" w:color="auto"/>
        <w:left w:val="none" w:sz="0" w:space="0" w:color="auto"/>
        <w:bottom w:val="none" w:sz="0" w:space="0" w:color="auto"/>
        <w:right w:val="none" w:sz="0" w:space="0" w:color="auto"/>
      </w:divBdr>
    </w:div>
    <w:div w:id="1078018715">
      <w:bodyDiv w:val="1"/>
      <w:marLeft w:val="0"/>
      <w:marRight w:val="0"/>
      <w:marTop w:val="0"/>
      <w:marBottom w:val="0"/>
      <w:divBdr>
        <w:top w:val="none" w:sz="0" w:space="0" w:color="auto"/>
        <w:left w:val="none" w:sz="0" w:space="0" w:color="auto"/>
        <w:bottom w:val="none" w:sz="0" w:space="0" w:color="auto"/>
        <w:right w:val="none" w:sz="0" w:space="0" w:color="auto"/>
      </w:divBdr>
    </w:div>
    <w:div w:id="1095637854">
      <w:bodyDiv w:val="1"/>
      <w:marLeft w:val="0"/>
      <w:marRight w:val="0"/>
      <w:marTop w:val="0"/>
      <w:marBottom w:val="0"/>
      <w:divBdr>
        <w:top w:val="none" w:sz="0" w:space="0" w:color="auto"/>
        <w:left w:val="none" w:sz="0" w:space="0" w:color="auto"/>
        <w:bottom w:val="none" w:sz="0" w:space="0" w:color="auto"/>
        <w:right w:val="none" w:sz="0" w:space="0" w:color="auto"/>
      </w:divBdr>
    </w:div>
    <w:div w:id="1096100640">
      <w:bodyDiv w:val="1"/>
      <w:marLeft w:val="0"/>
      <w:marRight w:val="0"/>
      <w:marTop w:val="0"/>
      <w:marBottom w:val="0"/>
      <w:divBdr>
        <w:top w:val="none" w:sz="0" w:space="0" w:color="auto"/>
        <w:left w:val="none" w:sz="0" w:space="0" w:color="auto"/>
        <w:bottom w:val="none" w:sz="0" w:space="0" w:color="auto"/>
        <w:right w:val="none" w:sz="0" w:space="0" w:color="auto"/>
      </w:divBdr>
    </w:div>
    <w:div w:id="1114254664">
      <w:bodyDiv w:val="1"/>
      <w:marLeft w:val="0"/>
      <w:marRight w:val="0"/>
      <w:marTop w:val="0"/>
      <w:marBottom w:val="0"/>
      <w:divBdr>
        <w:top w:val="none" w:sz="0" w:space="0" w:color="auto"/>
        <w:left w:val="none" w:sz="0" w:space="0" w:color="auto"/>
        <w:bottom w:val="none" w:sz="0" w:space="0" w:color="auto"/>
        <w:right w:val="none" w:sz="0" w:space="0" w:color="auto"/>
      </w:divBdr>
    </w:div>
    <w:div w:id="1116370155">
      <w:bodyDiv w:val="1"/>
      <w:marLeft w:val="0"/>
      <w:marRight w:val="0"/>
      <w:marTop w:val="0"/>
      <w:marBottom w:val="0"/>
      <w:divBdr>
        <w:top w:val="none" w:sz="0" w:space="0" w:color="auto"/>
        <w:left w:val="none" w:sz="0" w:space="0" w:color="auto"/>
        <w:bottom w:val="none" w:sz="0" w:space="0" w:color="auto"/>
        <w:right w:val="none" w:sz="0" w:space="0" w:color="auto"/>
      </w:divBdr>
    </w:div>
    <w:div w:id="1117866922">
      <w:bodyDiv w:val="1"/>
      <w:marLeft w:val="0"/>
      <w:marRight w:val="0"/>
      <w:marTop w:val="0"/>
      <w:marBottom w:val="0"/>
      <w:divBdr>
        <w:top w:val="none" w:sz="0" w:space="0" w:color="auto"/>
        <w:left w:val="none" w:sz="0" w:space="0" w:color="auto"/>
        <w:bottom w:val="none" w:sz="0" w:space="0" w:color="auto"/>
        <w:right w:val="none" w:sz="0" w:space="0" w:color="auto"/>
      </w:divBdr>
    </w:div>
    <w:div w:id="1120689720">
      <w:bodyDiv w:val="1"/>
      <w:marLeft w:val="0"/>
      <w:marRight w:val="0"/>
      <w:marTop w:val="0"/>
      <w:marBottom w:val="0"/>
      <w:divBdr>
        <w:top w:val="none" w:sz="0" w:space="0" w:color="auto"/>
        <w:left w:val="none" w:sz="0" w:space="0" w:color="auto"/>
        <w:bottom w:val="none" w:sz="0" w:space="0" w:color="auto"/>
        <w:right w:val="none" w:sz="0" w:space="0" w:color="auto"/>
      </w:divBdr>
    </w:div>
    <w:div w:id="1126703802">
      <w:bodyDiv w:val="1"/>
      <w:marLeft w:val="0"/>
      <w:marRight w:val="0"/>
      <w:marTop w:val="0"/>
      <w:marBottom w:val="0"/>
      <w:divBdr>
        <w:top w:val="none" w:sz="0" w:space="0" w:color="auto"/>
        <w:left w:val="none" w:sz="0" w:space="0" w:color="auto"/>
        <w:bottom w:val="none" w:sz="0" w:space="0" w:color="auto"/>
        <w:right w:val="none" w:sz="0" w:space="0" w:color="auto"/>
      </w:divBdr>
    </w:div>
    <w:div w:id="1141188234">
      <w:bodyDiv w:val="1"/>
      <w:marLeft w:val="0"/>
      <w:marRight w:val="0"/>
      <w:marTop w:val="0"/>
      <w:marBottom w:val="0"/>
      <w:divBdr>
        <w:top w:val="none" w:sz="0" w:space="0" w:color="auto"/>
        <w:left w:val="none" w:sz="0" w:space="0" w:color="auto"/>
        <w:bottom w:val="none" w:sz="0" w:space="0" w:color="auto"/>
        <w:right w:val="none" w:sz="0" w:space="0" w:color="auto"/>
      </w:divBdr>
    </w:div>
    <w:div w:id="1155221549">
      <w:bodyDiv w:val="1"/>
      <w:marLeft w:val="0"/>
      <w:marRight w:val="0"/>
      <w:marTop w:val="0"/>
      <w:marBottom w:val="0"/>
      <w:divBdr>
        <w:top w:val="none" w:sz="0" w:space="0" w:color="auto"/>
        <w:left w:val="none" w:sz="0" w:space="0" w:color="auto"/>
        <w:bottom w:val="none" w:sz="0" w:space="0" w:color="auto"/>
        <w:right w:val="none" w:sz="0" w:space="0" w:color="auto"/>
      </w:divBdr>
      <w:divsChild>
        <w:div w:id="163977124">
          <w:marLeft w:val="0"/>
          <w:marRight w:val="0"/>
          <w:marTop w:val="0"/>
          <w:marBottom w:val="0"/>
          <w:divBdr>
            <w:top w:val="none" w:sz="0" w:space="0" w:color="auto"/>
            <w:left w:val="none" w:sz="0" w:space="0" w:color="auto"/>
            <w:bottom w:val="none" w:sz="0" w:space="0" w:color="auto"/>
            <w:right w:val="none" w:sz="0" w:space="0" w:color="auto"/>
          </w:divBdr>
        </w:div>
        <w:div w:id="213657658">
          <w:marLeft w:val="0"/>
          <w:marRight w:val="0"/>
          <w:marTop w:val="0"/>
          <w:marBottom w:val="0"/>
          <w:divBdr>
            <w:top w:val="none" w:sz="0" w:space="0" w:color="auto"/>
            <w:left w:val="none" w:sz="0" w:space="0" w:color="auto"/>
            <w:bottom w:val="none" w:sz="0" w:space="0" w:color="auto"/>
            <w:right w:val="none" w:sz="0" w:space="0" w:color="auto"/>
          </w:divBdr>
        </w:div>
        <w:div w:id="591822327">
          <w:marLeft w:val="0"/>
          <w:marRight w:val="0"/>
          <w:marTop w:val="0"/>
          <w:marBottom w:val="0"/>
          <w:divBdr>
            <w:top w:val="none" w:sz="0" w:space="0" w:color="auto"/>
            <w:left w:val="none" w:sz="0" w:space="0" w:color="auto"/>
            <w:bottom w:val="none" w:sz="0" w:space="0" w:color="auto"/>
            <w:right w:val="none" w:sz="0" w:space="0" w:color="auto"/>
          </w:divBdr>
        </w:div>
        <w:div w:id="1797870036">
          <w:marLeft w:val="0"/>
          <w:marRight w:val="0"/>
          <w:marTop w:val="0"/>
          <w:marBottom w:val="0"/>
          <w:divBdr>
            <w:top w:val="none" w:sz="0" w:space="0" w:color="auto"/>
            <w:left w:val="none" w:sz="0" w:space="0" w:color="auto"/>
            <w:bottom w:val="none" w:sz="0" w:space="0" w:color="auto"/>
            <w:right w:val="none" w:sz="0" w:space="0" w:color="auto"/>
          </w:divBdr>
        </w:div>
      </w:divsChild>
    </w:div>
    <w:div w:id="1160538536">
      <w:bodyDiv w:val="1"/>
      <w:marLeft w:val="0"/>
      <w:marRight w:val="0"/>
      <w:marTop w:val="0"/>
      <w:marBottom w:val="0"/>
      <w:divBdr>
        <w:top w:val="none" w:sz="0" w:space="0" w:color="auto"/>
        <w:left w:val="none" w:sz="0" w:space="0" w:color="auto"/>
        <w:bottom w:val="none" w:sz="0" w:space="0" w:color="auto"/>
        <w:right w:val="none" w:sz="0" w:space="0" w:color="auto"/>
      </w:divBdr>
    </w:div>
    <w:div w:id="1177310252">
      <w:bodyDiv w:val="1"/>
      <w:marLeft w:val="0"/>
      <w:marRight w:val="0"/>
      <w:marTop w:val="0"/>
      <w:marBottom w:val="0"/>
      <w:divBdr>
        <w:top w:val="none" w:sz="0" w:space="0" w:color="auto"/>
        <w:left w:val="none" w:sz="0" w:space="0" w:color="auto"/>
        <w:bottom w:val="none" w:sz="0" w:space="0" w:color="auto"/>
        <w:right w:val="none" w:sz="0" w:space="0" w:color="auto"/>
      </w:divBdr>
      <w:divsChild>
        <w:div w:id="640691012">
          <w:marLeft w:val="0"/>
          <w:marRight w:val="0"/>
          <w:marTop w:val="0"/>
          <w:marBottom w:val="0"/>
          <w:divBdr>
            <w:top w:val="none" w:sz="0" w:space="0" w:color="auto"/>
            <w:left w:val="none" w:sz="0" w:space="0" w:color="auto"/>
            <w:bottom w:val="none" w:sz="0" w:space="0" w:color="auto"/>
            <w:right w:val="none" w:sz="0" w:space="0" w:color="auto"/>
          </w:divBdr>
        </w:div>
        <w:div w:id="1934195702">
          <w:marLeft w:val="810"/>
          <w:marRight w:val="810"/>
          <w:marTop w:val="360"/>
          <w:marBottom w:val="0"/>
          <w:divBdr>
            <w:top w:val="none" w:sz="0" w:space="0" w:color="auto"/>
            <w:left w:val="none" w:sz="0" w:space="0" w:color="auto"/>
            <w:bottom w:val="none" w:sz="0" w:space="0" w:color="auto"/>
            <w:right w:val="none" w:sz="0" w:space="0" w:color="auto"/>
          </w:divBdr>
        </w:div>
      </w:divsChild>
    </w:div>
    <w:div w:id="1216039842">
      <w:bodyDiv w:val="1"/>
      <w:marLeft w:val="0"/>
      <w:marRight w:val="0"/>
      <w:marTop w:val="0"/>
      <w:marBottom w:val="0"/>
      <w:divBdr>
        <w:top w:val="none" w:sz="0" w:space="0" w:color="auto"/>
        <w:left w:val="none" w:sz="0" w:space="0" w:color="auto"/>
        <w:bottom w:val="none" w:sz="0" w:space="0" w:color="auto"/>
        <w:right w:val="none" w:sz="0" w:space="0" w:color="auto"/>
      </w:divBdr>
    </w:div>
    <w:div w:id="1240946239">
      <w:bodyDiv w:val="1"/>
      <w:marLeft w:val="0"/>
      <w:marRight w:val="0"/>
      <w:marTop w:val="0"/>
      <w:marBottom w:val="0"/>
      <w:divBdr>
        <w:top w:val="none" w:sz="0" w:space="0" w:color="auto"/>
        <w:left w:val="none" w:sz="0" w:space="0" w:color="auto"/>
        <w:bottom w:val="none" w:sz="0" w:space="0" w:color="auto"/>
        <w:right w:val="none" w:sz="0" w:space="0" w:color="auto"/>
      </w:divBdr>
    </w:div>
    <w:div w:id="1244678610">
      <w:bodyDiv w:val="1"/>
      <w:marLeft w:val="0"/>
      <w:marRight w:val="0"/>
      <w:marTop w:val="0"/>
      <w:marBottom w:val="0"/>
      <w:divBdr>
        <w:top w:val="none" w:sz="0" w:space="0" w:color="auto"/>
        <w:left w:val="none" w:sz="0" w:space="0" w:color="auto"/>
        <w:bottom w:val="none" w:sz="0" w:space="0" w:color="auto"/>
        <w:right w:val="none" w:sz="0" w:space="0" w:color="auto"/>
      </w:divBdr>
    </w:div>
    <w:div w:id="1258827104">
      <w:bodyDiv w:val="1"/>
      <w:marLeft w:val="0"/>
      <w:marRight w:val="0"/>
      <w:marTop w:val="0"/>
      <w:marBottom w:val="0"/>
      <w:divBdr>
        <w:top w:val="none" w:sz="0" w:space="0" w:color="auto"/>
        <w:left w:val="none" w:sz="0" w:space="0" w:color="auto"/>
        <w:bottom w:val="none" w:sz="0" w:space="0" w:color="auto"/>
        <w:right w:val="none" w:sz="0" w:space="0" w:color="auto"/>
      </w:divBdr>
    </w:div>
    <w:div w:id="1266427390">
      <w:bodyDiv w:val="1"/>
      <w:marLeft w:val="0"/>
      <w:marRight w:val="0"/>
      <w:marTop w:val="0"/>
      <w:marBottom w:val="0"/>
      <w:divBdr>
        <w:top w:val="none" w:sz="0" w:space="0" w:color="auto"/>
        <w:left w:val="none" w:sz="0" w:space="0" w:color="auto"/>
        <w:bottom w:val="none" w:sz="0" w:space="0" w:color="auto"/>
        <w:right w:val="none" w:sz="0" w:space="0" w:color="auto"/>
      </w:divBdr>
    </w:div>
    <w:div w:id="1271667245">
      <w:bodyDiv w:val="1"/>
      <w:marLeft w:val="0"/>
      <w:marRight w:val="0"/>
      <w:marTop w:val="0"/>
      <w:marBottom w:val="0"/>
      <w:divBdr>
        <w:top w:val="none" w:sz="0" w:space="0" w:color="auto"/>
        <w:left w:val="none" w:sz="0" w:space="0" w:color="auto"/>
        <w:bottom w:val="none" w:sz="0" w:space="0" w:color="auto"/>
        <w:right w:val="none" w:sz="0" w:space="0" w:color="auto"/>
      </w:divBdr>
    </w:div>
    <w:div w:id="1272977955">
      <w:bodyDiv w:val="1"/>
      <w:marLeft w:val="0"/>
      <w:marRight w:val="0"/>
      <w:marTop w:val="0"/>
      <w:marBottom w:val="0"/>
      <w:divBdr>
        <w:top w:val="none" w:sz="0" w:space="0" w:color="auto"/>
        <w:left w:val="none" w:sz="0" w:space="0" w:color="auto"/>
        <w:bottom w:val="none" w:sz="0" w:space="0" w:color="auto"/>
        <w:right w:val="none" w:sz="0" w:space="0" w:color="auto"/>
      </w:divBdr>
    </w:div>
    <w:div w:id="1294629529">
      <w:bodyDiv w:val="1"/>
      <w:marLeft w:val="0"/>
      <w:marRight w:val="0"/>
      <w:marTop w:val="0"/>
      <w:marBottom w:val="0"/>
      <w:divBdr>
        <w:top w:val="none" w:sz="0" w:space="0" w:color="auto"/>
        <w:left w:val="none" w:sz="0" w:space="0" w:color="auto"/>
        <w:bottom w:val="none" w:sz="0" w:space="0" w:color="auto"/>
        <w:right w:val="none" w:sz="0" w:space="0" w:color="auto"/>
      </w:divBdr>
    </w:div>
    <w:div w:id="1300843386">
      <w:bodyDiv w:val="1"/>
      <w:marLeft w:val="0"/>
      <w:marRight w:val="0"/>
      <w:marTop w:val="0"/>
      <w:marBottom w:val="0"/>
      <w:divBdr>
        <w:top w:val="none" w:sz="0" w:space="0" w:color="auto"/>
        <w:left w:val="none" w:sz="0" w:space="0" w:color="auto"/>
        <w:bottom w:val="none" w:sz="0" w:space="0" w:color="auto"/>
        <w:right w:val="none" w:sz="0" w:space="0" w:color="auto"/>
      </w:divBdr>
    </w:div>
    <w:div w:id="1303343035">
      <w:bodyDiv w:val="1"/>
      <w:marLeft w:val="0"/>
      <w:marRight w:val="0"/>
      <w:marTop w:val="0"/>
      <w:marBottom w:val="0"/>
      <w:divBdr>
        <w:top w:val="none" w:sz="0" w:space="0" w:color="auto"/>
        <w:left w:val="none" w:sz="0" w:space="0" w:color="auto"/>
        <w:bottom w:val="none" w:sz="0" w:space="0" w:color="auto"/>
        <w:right w:val="none" w:sz="0" w:space="0" w:color="auto"/>
      </w:divBdr>
    </w:div>
    <w:div w:id="1318455363">
      <w:bodyDiv w:val="1"/>
      <w:marLeft w:val="0"/>
      <w:marRight w:val="0"/>
      <w:marTop w:val="0"/>
      <w:marBottom w:val="0"/>
      <w:divBdr>
        <w:top w:val="none" w:sz="0" w:space="0" w:color="auto"/>
        <w:left w:val="none" w:sz="0" w:space="0" w:color="auto"/>
        <w:bottom w:val="none" w:sz="0" w:space="0" w:color="auto"/>
        <w:right w:val="none" w:sz="0" w:space="0" w:color="auto"/>
      </w:divBdr>
    </w:div>
    <w:div w:id="1395540978">
      <w:bodyDiv w:val="1"/>
      <w:marLeft w:val="0"/>
      <w:marRight w:val="0"/>
      <w:marTop w:val="0"/>
      <w:marBottom w:val="0"/>
      <w:divBdr>
        <w:top w:val="none" w:sz="0" w:space="0" w:color="auto"/>
        <w:left w:val="none" w:sz="0" w:space="0" w:color="auto"/>
        <w:bottom w:val="none" w:sz="0" w:space="0" w:color="auto"/>
        <w:right w:val="none" w:sz="0" w:space="0" w:color="auto"/>
      </w:divBdr>
    </w:div>
    <w:div w:id="1404571975">
      <w:bodyDiv w:val="1"/>
      <w:marLeft w:val="0"/>
      <w:marRight w:val="0"/>
      <w:marTop w:val="0"/>
      <w:marBottom w:val="0"/>
      <w:divBdr>
        <w:top w:val="none" w:sz="0" w:space="0" w:color="auto"/>
        <w:left w:val="none" w:sz="0" w:space="0" w:color="auto"/>
        <w:bottom w:val="none" w:sz="0" w:space="0" w:color="auto"/>
        <w:right w:val="none" w:sz="0" w:space="0" w:color="auto"/>
      </w:divBdr>
    </w:div>
    <w:div w:id="1464886436">
      <w:bodyDiv w:val="1"/>
      <w:marLeft w:val="0"/>
      <w:marRight w:val="0"/>
      <w:marTop w:val="0"/>
      <w:marBottom w:val="0"/>
      <w:divBdr>
        <w:top w:val="none" w:sz="0" w:space="0" w:color="auto"/>
        <w:left w:val="none" w:sz="0" w:space="0" w:color="auto"/>
        <w:bottom w:val="none" w:sz="0" w:space="0" w:color="auto"/>
        <w:right w:val="none" w:sz="0" w:space="0" w:color="auto"/>
      </w:divBdr>
    </w:div>
    <w:div w:id="1481772337">
      <w:bodyDiv w:val="1"/>
      <w:marLeft w:val="0"/>
      <w:marRight w:val="0"/>
      <w:marTop w:val="0"/>
      <w:marBottom w:val="0"/>
      <w:divBdr>
        <w:top w:val="none" w:sz="0" w:space="0" w:color="auto"/>
        <w:left w:val="none" w:sz="0" w:space="0" w:color="auto"/>
        <w:bottom w:val="none" w:sz="0" w:space="0" w:color="auto"/>
        <w:right w:val="none" w:sz="0" w:space="0" w:color="auto"/>
      </w:divBdr>
    </w:div>
    <w:div w:id="1510636932">
      <w:bodyDiv w:val="1"/>
      <w:marLeft w:val="0"/>
      <w:marRight w:val="0"/>
      <w:marTop w:val="0"/>
      <w:marBottom w:val="0"/>
      <w:divBdr>
        <w:top w:val="none" w:sz="0" w:space="0" w:color="auto"/>
        <w:left w:val="none" w:sz="0" w:space="0" w:color="auto"/>
        <w:bottom w:val="none" w:sz="0" w:space="0" w:color="auto"/>
        <w:right w:val="none" w:sz="0" w:space="0" w:color="auto"/>
      </w:divBdr>
    </w:div>
    <w:div w:id="1526360092">
      <w:bodyDiv w:val="1"/>
      <w:marLeft w:val="0"/>
      <w:marRight w:val="0"/>
      <w:marTop w:val="0"/>
      <w:marBottom w:val="0"/>
      <w:divBdr>
        <w:top w:val="none" w:sz="0" w:space="0" w:color="auto"/>
        <w:left w:val="none" w:sz="0" w:space="0" w:color="auto"/>
        <w:bottom w:val="none" w:sz="0" w:space="0" w:color="auto"/>
        <w:right w:val="none" w:sz="0" w:space="0" w:color="auto"/>
      </w:divBdr>
    </w:div>
    <w:div w:id="1549151038">
      <w:bodyDiv w:val="1"/>
      <w:marLeft w:val="0"/>
      <w:marRight w:val="0"/>
      <w:marTop w:val="0"/>
      <w:marBottom w:val="0"/>
      <w:divBdr>
        <w:top w:val="none" w:sz="0" w:space="0" w:color="auto"/>
        <w:left w:val="none" w:sz="0" w:space="0" w:color="auto"/>
        <w:bottom w:val="none" w:sz="0" w:space="0" w:color="auto"/>
        <w:right w:val="none" w:sz="0" w:space="0" w:color="auto"/>
      </w:divBdr>
    </w:div>
    <w:div w:id="1597247446">
      <w:bodyDiv w:val="1"/>
      <w:marLeft w:val="0"/>
      <w:marRight w:val="0"/>
      <w:marTop w:val="0"/>
      <w:marBottom w:val="0"/>
      <w:divBdr>
        <w:top w:val="none" w:sz="0" w:space="0" w:color="auto"/>
        <w:left w:val="none" w:sz="0" w:space="0" w:color="auto"/>
        <w:bottom w:val="none" w:sz="0" w:space="0" w:color="auto"/>
        <w:right w:val="none" w:sz="0" w:space="0" w:color="auto"/>
      </w:divBdr>
    </w:div>
    <w:div w:id="1599286900">
      <w:bodyDiv w:val="1"/>
      <w:marLeft w:val="0"/>
      <w:marRight w:val="0"/>
      <w:marTop w:val="0"/>
      <w:marBottom w:val="0"/>
      <w:divBdr>
        <w:top w:val="none" w:sz="0" w:space="0" w:color="auto"/>
        <w:left w:val="none" w:sz="0" w:space="0" w:color="auto"/>
        <w:bottom w:val="none" w:sz="0" w:space="0" w:color="auto"/>
        <w:right w:val="none" w:sz="0" w:space="0" w:color="auto"/>
      </w:divBdr>
    </w:div>
    <w:div w:id="1644315923">
      <w:bodyDiv w:val="1"/>
      <w:marLeft w:val="0"/>
      <w:marRight w:val="0"/>
      <w:marTop w:val="0"/>
      <w:marBottom w:val="0"/>
      <w:divBdr>
        <w:top w:val="none" w:sz="0" w:space="0" w:color="auto"/>
        <w:left w:val="none" w:sz="0" w:space="0" w:color="auto"/>
        <w:bottom w:val="none" w:sz="0" w:space="0" w:color="auto"/>
        <w:right w:val="none" w:sz="0" w:space="0" w:color="auto"/>
      </w:divBdr>
    </w:div>
    <w:div w:id="1648170526">
      <w:bodyDiv w:val="1"/>
      <w:marLeft w:val="0"/>
      <w:marRight w:val="0"/>
      <w:marTop w:val="0"/>
      <w:marBottom w:val="0"/>
      <w:divBdr>
        <w:top w:val="none" w:sz="0" w:space="0" w:color="auto"/>
        <w:left w:val="none" w:sz="0" w:space="0" w:color="auto"/>
        <w:bottom w:val="none" w:sz="0" w:space="0" w:color="auto"/>
        <w:right w:val="none" w:sz="0" w:space="0" w:color="auto"/>
      </w:divBdr>
    </w:div>
    <w:div w:id="1658606409">
      <w:bodyDiv w:val="1"/>
      <w:marLeft w:val="0"/>
      <w:marRight w:val="0"/>
      <w:marTop w:val="0"/>
      <w:marBottom w:val="0"/>
      <w:divBdr>
        <w:top w:val="none" w:sz="0" w:space="0" w:color="auto"/>
        <w:left w:val="none" w:sz="0" w:space="0" w:color="auto"/>
        <w:bottom w:val="none" w:sz="0" w:space="0" w:color="auto"/>
        <w:right w:val="none" w:sz="0" w:space="0" w:color="auto"/>
      </w:divBdr>
    </w:div>
    <w:div w:id="1680814845">
      <w:bodyDiv w:val="1"/>
      <w:marLeft w:val="0"/>
      <w:marRight w:val="0"/>
      <w:marTop w:val="0"/>
      <w:marBottom w:val="0"/>
      <w:divBdr>
        <w:top w:val="none" w:sz="0" w:space="0" w:color="auto"/>
        <w:left w:val="none" w:sz="0" w:space="0" w:color="auto"/>
        <w:bottom w:val="none" w:sz="0" w:space="0" w:color="auto"/>
        <w:right w:val="none" w:sz="0" w:space="0" w:color="auto"/>
      </w:divBdr>
    </w:div>
    <w:div w:id="1715812612">
      <w:bodyDiv w:val="1"/>
      <w:marLeft w:val="0"/>
      <w:marRight w:val="0"/>
      <w:marTop w:val="0"/>
      <w:marBottom w:val="0"/>
      <w:divBdr>
        <w:top w:val="none" w:sz="0" w:space="0" w:color="auto"/>
        <w:left w:val="none" w:sz="0" w:space="0" w:color="auto"/>
        <w:bottom w:val="none" w:sz="0" w:space="0" w:color="auto"/>
        <w:right w:val="none" w:sz="0" w:space="0" w:color="auto"/>
      </w:divBdr>
    </w:div>
    <w:div w:id="1718242847">
      <w:bodyDiv w:val="1"/>
      <w:marLeft w:val="0"/>
      <w:marRight w:val="0"/>
      <w:marTop w:val="0"/>
      <w:marBottom w:val="0"/>
      <w:divBdr>
        <w:top w:val="none" w:sz="0" w:space="0" w:color="auto"/>
        <w:left w:val="none" w:sz="0" w:space="0" w:color="auto"/>
        <w:bottom w:val="none" w:sz="0" w:space="0" w:color="auto"/>
        <w:right w:val="none" w:sz="0" w:space="0" w:color="auto"/>
      </w:divBdr>
    </w:div>
    <w:div w:id="1720126631">
      <w:bodyDiv w:val="1"/>
      <w:marLeft w:val="0"/>
      <w:marRight w:val="0"/>
      <w:marTop w:val="0"/>
      <w:marBottom w:val="0"/>
      <w:divBdr>
        <w:top w:val="none" w:sz="0" w:space="0" w:color="auto"/>
        <w:left w:val="none" w:sz="0" w:space="0" w:color="auto"/>
        <w:bottom w:val="none" w:sz="0" w:space="0" w:color="auto"/>
        <w:right w:val="none" w:sz="0" w:space="0" w:color="auto"/>
      </w:divBdr>
    </w:div>
    <w:div w:id="1724136290">
      <w:bodyDiv w:val="1"/>
      <w:marLeft w:val="0"/>
      <w:marRight w:val="0"/>
      <w:marTop w:val="0"/>
      <w:marBottom w:val="0"/>
      <w:divBdr>
        <w:top w:val="none" w:sz="0" w:space="0" w:color="auto"/>
        <w:left w:val="none" w:sz="0" w:space="0" w:color="auto"/>
        <w:bottom w:val="none" w:sz="0" w:space="0" w:color="auto"/>
        <w:right w:val="none" w:sz="0" w:space="0" w:color="auto"/>
      </w:divBdr>
    </w:div>
    <w:div w:id="1747846501">
      <w:bodyDiv w:val="1"/>
      <w:marLeft w:val="0"/>
      <w:marRight w:val="0"/>
      <w:marTop w:val="0"/>
      <w:marBottom w:val="0"/>
      <w:divBdr>
        <w:top w:val="none" w:sz="0" w:space="0" w:color="auto"/>
        <w:left w:val="none" w:sz="0" w:space="0" w:color="auto"/>
        <w:bottom w:val="none" w:sz="0" w:space="0" w:color="auto"/>
        <w:right w:val="none" w:sz="0" w:space="0" w:color="auto"/>
      </w:divBdr>
    </w:div>
    <w:div w:id="1765613608">
      <w:bodyDiv w:val="1"/>
      <w:marLeft w:val="0"/>
      <w:marRight w:val="0"/>
      <w:marTop w:val="0"/>
      <w:marBottom w:val="0"/>
      <w:divBdr>
        <w:top w:val="none" w:sz="0" w:space="0" w:color="auto"/>
        <w:left w:val="none" w:sz="0" w:space="0" w:color="auto"/>
        <w:bottom w:val="none" w:sz="0" w:space="0" w:color="auto"/>
        <w:right w:val="none" w:sz="0" w:space="0" w:color="auto"/>
      </w:divBdr>
    </w:div>
    <w:div w:id="1774016139">
      <w:bodyDiv w:val="1"/>
      <w:marLeft w:val="0"/>
      <w:marRight w:val="0"/>
      <w:marTop w:val="0"/>
      <w:marBottom w:val="0"/>
      <w:divBdr>
        <w:top w:val="none" w:sz="0" w:space="0" w:color="auto"/>
        <w:left w:val="none" w:sz="0" w:space="0" w:color="auto"/>
        <w:bottom w:val="none" w:sz="0" w:space="0" w:color="auto"/>
        <w:right w:val="none" w:sz="0" w:space="0" w:color="auto"/>
      </w:divBdr>
    </w:div>
    <w:div w:id="1777822062">
      <w:bodyDiv w:val="1"/>
      <w:marLeft w:val="0"/>
      <w:marRight w:val="0"/>
      <w:marTop w:val="0"/>
      <w:marBottom w:val="0"/>
      <w:divBdr>
        <w:top w:val="none" w:sz="0" w:space="0" w:color="auto"/>
        <w:left w:val="none" w:sz="0" w:space="0" w:color="auto"/>
        <w:bottom w:val="none" w:sz="0" w:space="0" w:color="auto"/>
        <w:right w:val="none" w:sz="0" w:space="0" w:color="auto"/>
      </w:divBdr>
    </w:div>
    <w:div w:id="1780023542">
      <w:bodyDiv w:val="1"/>
      <w:marLeft w:val="0"/>
      <w:marRight w:val="0"/>
      <w:marTop w:val="0"/>
      <w:marBottom w:val="0"/>
      <w:divBdr>
        <w:top w:val="none" w:sz="0" w:space="0" w:color="auto"/>
        <w:left w:val="none" w:sz="0" w:space="0" w:color="auto"/>
        <w:bottom w:val="none" w:sz="0" w:space="0" w:color="auto"/>
        <w:right w:val="none" w:sz="0" w:space="0" w:color="auto"/>
      </w:divBdr>
    </w:div>
    <w:div w:id="1787388741">
      <w:bodyDiv w:val="1"/>
      <w:marLeft w:val="0"/>
      <w:marRight w:val="0"/>
      <w:marTop w:val="0"/>
      <w:marBottom w:val="0"/>
      <w:divBdr>
        <w:top w:val="none" w:sz="0" w:space="0" w:color="auto"/>
        <w:left w:val="none" w:sz="0" w:space="0" w:color="auto"/>
        <w:bottom w:val="none" w:sz="0" w:space="0" w:color="auto"/>
        <w:right w:val="none" w:sz="0" w:space="0" w:color="auto"/>
      </w:divBdr>
    </w:div>
    <w:div w:id="1797019135">
      <w:bodyDiv w:val="1"/>
      <w:marLeft w:val="0"/>
      <w:marRight w:val="0"/>
      <w:marTop w:val="0"/>
      <w:marBottom w:val="0"/>
      <w:divBdr>
        <w:top w:val="none" w:sz="0" w:space="0" w:color="auto"/>
        <w:left w:val="none" w:sz="0" w:space="0" w:color="auto"/>
        <w:bottom w:val="none" w:sz="0" w:space="0" w:color="auto"/>
        <w:right w:val="none" w:sz="0" w:space="0" w:color="auto"/>
      </w:divBdr>
    </w:div>
    <w:div w:id="1807887953">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sChild>
        <w:div w:id="648707818">
          <w:marLeft w:val="0"/>
          <w:marRight w:val="0"/>
          <w:marTop w:val="0"/>
          <w:marBottom w:val="0"/>
          <w:divBdr>
            <w:top w:val="none" w:sz="0" w:space="0" w:color="auto"/>
            <w:left w:val="none" w:sz="0" w:space="0" w:color="auto"/>
            <w:bottom w:val="none" w:sz="0" w:space="0" w:color="auto"/>
            <w:right w:val="none" w:sz="0" w:space="0" w:color="auto"/>
          </w:divBdr>
          <w:divsChild>
            <w:div w:id="15625169">
              <w:marLeft w:val="0"/>
              <w:marRight w:val="0"/>
              <w:marTop w:val="0"/>
              <w:marBottom w:val="0"/>
              <w:divBdr>
                <w:top w:val="none" w:sz="0" w:space="0" w:color="auto"/>
                <w:left w:val="none" w:sz="0" w:space="0" w:color="auto"/>
                <w:bottom w:val="none" w:sz="0" w:space="0" w:color="auto"/>
                <w:right w:val="none" w:sz="0" w:space="0" w:color="auto"/>
              </w:divBdr>
            </w:div>
            <w:div w:id="92481426">
              <w:marLeft w:val="0"/>
              <w:marRight w:val="0"/>
              <w:marTop w:val="0"/>
              <w:marBottom w:val="0"/>
              <w:divBdr>
                <w:top w:val="none" w:sz="0" w:space="0" w:color="auto"/>
                <w:left w:val="none" w:sz="0" w:space="0" w:color="auto"/>
                <w:bottom w:val="none" w:sz="0" w:space="0" w:color="auto"/>
                <w:right w:val="none" w:sz="0" w:space="0" w:color="auto"/>
              </w:divBdr>
            </w:div>
            <w:div w:id="343015529">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
            <w:div w:id="607469660">
              <w:marLeft w:val="0"/>
              <w:marRight w:val="0"/>
              <w:marTop w:val="0"/>
              <w:marBottom w:val="0"/>
              <w:divBdr>
                <w:top w:val="none" w:sz="0" w:space="0" w:color="auto"/>
                <w:left w:val="none" w:sz="0" w:space="0" w:color="auto"/>
                <w:bottom w:val="none" w:sz="0" w:space="0" w:color="auto"/>
                <w:right w:val="none" w:sz="0" w:space="0" w:color="auto"/>
              </w:divBdr>
            </w:div>
            <w:div w:id="1240678065">
              <w:marLeft w:val="0"/>
              <w:marRight w:val="0"/>
              <w:marTop w:val="0"/>
              <w:marBottom w:val="0"/>
              <w:divBdr>
                <w:top w:val="none" w:sz="0" w:space="0" w:color="auto"/>
                <w:left w:val="none" w:sz="0" w:space="0" w:color="auto"/>
                <w:bottom w:val="none" w:sz="0" w:space="0" w:color="auto"/>
                <w:right w:val="none" w:sz="0" w:space="0" w:color="auto"/>
              </w:divBdr>
            </w:div>
            <w:div w:id="1600798468">
              <w:marLeft w:val="0"/>
              <w:marRight w:val="0"/>
              <w:marTop w:val="0"/>
              <w:marBottom w:val="0"/>
              <w:divBdr>
                <w:top w:val="none" w:sz="0" w:space="0" w:color="auto"/>
                <w:left w:val="none" w:sz="0" w:space="0" w:color="auto"/>
                <w:bottom w:val="none" w:sz="0" w:space="0" w:color="auto"/>
                <w:right w:val="none" w:sz="0" w:space="0" w:color="auto"/>
              </w:divBdr>
            </w:div>
            <w:div w:id="16192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018">
      <w:bodyDiv w:val="1"/>
      <w:marLeft w:val="0"/>
      <w:marRight w:val="0"/>
      <w:marTop w:val="0"/>
      <w:marBottom w:val="0"/>
      <w:divBdr>
        <w:top w:val="none" w:sz="0" w:space="0" w:color="auto"/>
        <w:left w:val="none" w:sz="0" w:space="0" w:color="auto"/>
        <w:bottom w:val="none" w:sz="0" w:space="0" w:color="auto"/>
        <w:right w:val="none" w:sz="0" w:space="0" w:color="auto"/>
      </w:divBdr>
      <w:divsChild>
        <w:div w:id="212932072">
          <w:marLeft w:val="0"/>
          <w:marRight w:val="0"/>
          <w:marTop w:val="0"/>
          <w:marBottom w:val="0"/>
          <w:divBdr>
            <w:top w:val="none" w:sz="0" w:space="0" w:color="auto"/>
            <w:left w:val="none" w:sz="0" w:space="0" w:color="auto"/>
            <w:bottom w:val="none" w:sz="0" w:space="0" w:color="auto"/>
            <w:right w:val="none" w:sz="0" w:space="0" w:color="auto"/>
          </w:divBdr>
        </w:div>
      </w:divsChild>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0716820">
      <w:bodyDiv w:val="1"/>
      <w:marLeft w:val="0"/>
      <w:marRight w:val="0"/>
      <w:marTop w:val="0"/>
      <w:marBottom w:val="0"/>
      <w:divBdr>
        <w:top w:val="none" w:sz="0" w:space="0" w:color="auto"/>
        <w:left w:val="none" w:sz="0" w:space="0" w:color="auto"/>
        <w:bottom w:val="none" w:sz="0" w:space="0" w:color="auto"/>
        <w:right w:val="none" w:sz="0" w:space="0" w:color="auto"/>
      </w:divBdr>
    </w:div>
    <w:div w:id="1974629439">
      <w:bodyDiv w:val="1"/>
      <w:marLeft w:val="0"/>
      <w:marRight w:val="0"/>
      <w:marTop w:val="0"/>
      <w:marBottom w:val="0"/>
      <w:divBdr>
        <w:top w:val="none" w:sz="0" w:space="0" w:color="auto"/>
        <w:left w:val="none" w:sz="0" w:space="0" w:color="auto"/>
        <w:bottom w:val="none" w:sz="0" w:space="0" w:color="auto"/>
        <w:right w:val="none" w:sz="0" w:space="0" w:color="auto"/>
      </w:divBdr>
    </w:div>
    <w:div w:id="1974826017">
      <w:bodyDiv w:val="1"/>
      <w:marLeft w:val="0"/>
      <w:marRight w:val="0"/>
      <w:marTop w:val="0"/>
      <w:marBottom w:val="0"/>
      <w:divBdr>
        <w:top w:val="none" w:sz="0" w:space="0" w:color="auto"/>
        <w:left w:val="none" w:sz="0" w:space="0" w:color="auto"/>
        <w:bottom w:val="none" w:sz="0" w:space="0" w:color="auto"/>
        <w:right w:val="none" w:sz="0" w:space="0" w:color="auto"/>
      </w:divBdr>
    </w:div>
    <w:div w:id="1979459714">
      <w:bodyDiv w:val="1"/>
      <w:marLeft w:val="0"/>
      <w:marRight w:val="0"/>
      <w:marTop w:val="0"/>
      <w:marBottom w:val="0"/>
      <w:divBdr>
        <w:top w:val="none" w:sz="0" w:space="0" w:color="auto"/>
        <w:left w:val="none" w:sz="0" w:space="0" w:color="auto"/>
        <w:bottom w:val="none" w:sz="0" w:space="0" w:color="auto"/>
        <w:right w:val="none" w:sz="0" w:space="0" w:color="auto"/>
      </w:divBdr>
    </w:div>
    <w:div w:id="2026591782">
      <w:bodyDiv w:val="1"/>
      <w:marLeft w:val="0"/>
      <w:marRight w:val="0"/>
      <w:marTop w:val="0"/>
      <w:marBottom w:val="0"/>
      <w:divBdr>
        <w:top w:val="none" w:sz="0" w:space="0" w:color="auto"/>
        <w:left w:val="none" w:sz="0" w:space="0" w:color="auto"/>
        <w:bottom w:val="none" w:sz="0" w:space="0" w:color="auto"/>
        <w:right w:val="none" w:sz="0" w:space="0" w:color="auto"/>
      </w:divBdr>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78894246">
      <w:bodyDiv w:val="1"/>
      <w:marLeft w:val="0"/>
      <w:marRight w:val="0"/>
      <w:marTop w:val="0"/>
      <w:marBottom w:val="0"/>
      <w:divBdr>
        <w:top w:val="none" w:sz="0" w:space="0" w:color="auto"/>
        <w:left w:val="none" w:sz="0" w:space="0" w:color="auto"/>
        <w:bottom w:val="none" w:sz="0" w:space="0" w:color="auto"/>
        <w:right w:val="none" w:sz="0" w:space="0" w:color="auto"/>
      </w:divBdr>
    </w:div>
    <w:div w:id="2088988645">
      <w:bodyDiv w:val="1"/>
      <w:marLeft w:val="0"/>
      <w:marRight w:val="0"/>
      <w:marTop w:val="0"/>
      <w:marBottom w:val="0"/>
      <w:divBdr>
        <w:top w:val="none" w:sz="0" w:space="0" w:color="auto"/>
        <w:left w:val="none" w:sz="0" w:space="0" w:color="auto"/>
        <w:bottom w:val="none" w:sz="0" w:space="0" w:color="auto"/>
        <w:right w:val="none" w:sz="0" w:space="0" w:color="auto"/>
      </w:divBdr>
      <w:divsChild>
        <w:div w:id="1893150556">
          <w:marLeft w:val="0"/>
          <w:marRight w:val="0"/>
          <w:marTop w:val="0"/>
          <w:marBottom w:val="0"/>
          <w:divBdr>
            <w:top w:val="none" w:sz="0" w:space="0" w:color="auto"/>
            <w:left w:val="none" w:sz="0" w:space="0" w:color="auto"/>
            <w:bottom w:val="none" w:sz="0" w:space="0" w:color="auto"/>
            <w:right w:val="none" w:sz="0" w:space="0" w:color="auto"/>
          </w:divBdr>
        </w:div>
      </w:divsChild>
    </w:div>
    <w:div w:id="2109806579">
      <w:bodyDiv w:val="1"/>
      <w:marLeft w:val="0"/>
      <w:marRight w:val="0"/>
      <w:marTop w:val="0"/>
      <w:marBottom w:val="0"/>
      <w:divBdr>
        <w:top w:val="none" w:sz="0" w:space="0" w:color="auto"/>
        <w:left w:val="none" w:sz="0" w:space="0" w:color="auto"/>
        <w:bottom w:val="none" w:sz="0" w:space="0" w:color="auto"/>
        <w:right w:val="none" w:sz="0" w:space="0" w:color="auto"/>
      </w:divBdr>
    </w:div>
    <w:div w:id="21442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Layout" Target="diagrams/layout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riigiteataja.ee/akt/dyn=107082015010&amp;id=121122010021!pr53lg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fi.ee/et/investeerimine-0/investeerimine/vaartpaberituru-kutselised-osalised/vaartpaberiarveldussusteemi-korraldaja/nasdaq-csd-se-eesti-filiaa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QuickStyle" Target="diagrams/quickStyle1.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fiu.ee/aastaraamatud-ja-uuringud/uuringud" TargetMode="External"/><Relationship Id="rId3" Type="http://schemas.openxmlformats.org/officeDocument/2006/relationships/hyperlink" Target="https://www.esma.europa.eu/sites/default/files/library/2015/11/2013-611_guidelines_on_key_concepts_of_the_aifmd_-_en.pdf" TargetMode="External"/><Relationship Id="rId7" Type="http://schemas.openxmlformats.org/officeDocument/2006/relationships/hyperlink" Target="https://www.fi.ee/sites/default/files/Fondivalitsejate%20ning%20investeerimis-%20ja%20pensionifondide%20sektori%20%C3%BClevaade%20IV%20kvartal%202022_uus_2-2_1.pdf" TargetMode="External"/><Relationship Id="rId2" Type="http://schemas.openxmlformats.org/officeDocument/2006/relationships/hyperlink" Target="https://eelnoud.valitsus.ee/main/mount/docList/3d928350-1277-4000-8f17-11d554be39d4" TargetMode="External"/><Relationship Id="rId1" Type="http://schemas.openxmlformats.org/officeDocument/2006/relationships/hyperlink" Target="http://www.untitled-inc.com/the-token-classification-framework-a-multi-dimensional-tool-for-understanding-and-classifying-crypto-tokens/" TargetMode="External"/><Relationship Id="rId6" Type="http://schemas.openxmlformats.org/officeDocument/2006/relationships/hyperlink" Target="https://statistika.eestipank.ee/" TargetMode="External"/><Relationship Id="rId5" Type="http://schemas.openxmlformats.org/officeDocument/2006/relationships/hyperlink" Target="https://www.fi.ee/et/investeerimine-0/investeerimine/fondivalitsejad/fondivalitsejad" TargetMode="External"/><Relationship Id="rId4" Type="http://schemas.openxmlformats.org/officeDocument/2006/relationships/hyperlink" Target="https://www.politsei.ee/files/Rahapesu/virtuaalvaeaeringu-teenuse-pakkujate-uuring.pdf?9fd7e5611b"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5B10A8-2BAA-4EA6-9A34-A647C24245EE}"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4E7AFF55-F224-467F-A825-C8B512DC3701}">
      <dgm:prSet phldrT="[Text]" custT="1"/>
      <dgm:spPr/>
      <dgm:t>
        <a:bodyPr/>
        <a:lstStyle/>
        <a:p>
          <a:pPr algn="ctr"/>
          <a:r>
            <a:rPr lang="et-EE" sz="1000" noProof="0" dirty="0">
              <a:latin typeface="Roboto" panose="02000000000000000000" pitchFamily="2" charset="0"/>
              <a:ea typeface="Roboto" panose="02000000000000000000" pitchFamily="2" charset="0"/>
            </a:rPr>
            <a:t>Nn tavapärased </a:t>
          </a:r>
          <a:r>
            <a:rPr lang="et-EE" sz="1000" noProof="0" dirty="0" err="1">
              <a:latin typeface="Roboto" panose="02000000000000000000" pitchFamily="2" charset="0"/>
              <a:ea typeface="Roboto" panose="02000000000000000000" pitchFamily="2" charset="0"/>
            </a:rPr>
            <a:t>krüptovara</a:t>
          </a:r>
          <a:r>
            <a:rPr lang="et-EE" sz="1000" noProof="0" dirty="0">
              <a:latin typeface="Roboto" panose="02000000000000000000" pitchFamily="2" charset="0"/>
              <a:ea typeface="Roboto" panose="02000000000000000000" pitchFamily="2" charset="0"/>
            </a:rPr>
            <a:t> emitendid</a:t>
          </a:r>
          <a:endParaRPr lang="en-US" sz="1000" noProof="0" dirty="0">
            <a:latin typeface="Roboto" panose="02000000000000000000" pitchFamily="2" charset="0"/>
            <a:ea typeface="Roboto" panose="02000000000000000000" pitchFamily="2" charset="0"/>
          </a:endParaRPr>
        </a:p>
      </dgm:t>
    </dgm:pt>
    <dgm:pt modelId="{A9DC994C-0ACD-418D-8861-9F5B8D4CEB1B}" type="parTrans" cxnId="{FCD77292-4656-4C93-A9E3-CC358849725E}">
      <dgm:prSet/>
      <dgm:spPr/>
      <dgm:t>
        <a:bodyPr/>
        <a:lstStyle/>
        <a:p>
          <a:pPr algn="ctr"/>
          <a:endParaRPr lang="en-US" sz="1400" noProof="0" dirty="0">
            <a:latin typeface="Roboto" panose="02000000000000000000" pitchFamily="2" charset="0"/>
            <a:ea typeface="Roboto" panose="02000000000000000000" pitchFamily="2" charset="0"/>
          </a:endParaRPr>
        </a:p>
      </dgm:t>
    </dgm:pt>
    <dgm:pt modelId="{7C61C720-FCB2-45C0-AD0D-606385D6598C}" type="sibTrans" cxnId="{FCD77292-4656-4C93-A9E3-CC358849725E}">
      <dgm:prSet/>
      <dgm:spPr/>
      <dgm:t>
        <a:bodyPr/>
        <a:lstStyle/>
        <a:p>
          <a:pPr algn="ctr"/>
          <a:endParaRPr lang="en-US" sz="1400" noProof="0" dirty="0">
            <a:latin typeface="Roboto" panose="02000000000000000000" pitchFamily="2" charset="0"/>
            <a:ea typeface="Roboto" panose="02000000000000000000" pitchFamily="2" charset="0"/>
          </a:endParaRPr>
        </a:p>
      </dgm:t>
    </dgm:pt>
    <dgm:pt modelId="{AD26FC59-1055-4364-AEA0-D6FC1ECCE513}">
      <dgm:prSet phldrT="[Text]" custT="1"/>
      <dgm:spPr/>
      <dgm:t>
        <a:bodyPr/>
        <a:lstStyle/>
        <a:p>
          <a:pPr algn="ctr"/>
          <a:r>
            <a:rPr lang="en-US" sz="1000" noProof="0" dirty="0">
              <a:latin typeface="Roboto" panose="02000000000000000000" pitchFamily="2" charset="0"/>
              <a:ea typeface="Roboto" panose="02000000000000000000" pitchFamily="2" charset="0"/>
            </a:rPr>
            <a:t>Stablecoin</a:t>
          </a:r>
          <a:r>
            <a:rPr lang="et-EE" sz="1000" noProof="0" dirty="0">
              <a:latin typeface="Roboto" panose="02000000000000000000" pitchFamily="2" charset="0"/>
              <a:ea typeface="Roboto" panose="02000000000000000000" pitchFamily="2" charset="0"/>
            </a:rPr>
            <a:t>’de</a:t>
          </a:r>
          <a:r>
            <a:rPr lang="en-US" sz="1000" noProof="0" dirty="0">
              <a:latin typeface="Roboto" panose="02000000000000000000" pitchFamily="2" charset="0"/>
              <a:ea typeface="Roboto" panose="02000000000000000000" pitchFamily="2" charset="0"/>
            </a:rPr>
            <a:t> </a:t>
          </a:r>
          <a:r>
            <a:rPr lang="et-EE" sz="1000" noProof="0" dirty="0">
              <a:latin typeface="Roboto" panose="02000000000000000000" pitchFamily="2" charset="0"/>
              <a:ea typeface="Roboto" panose="02000000000000000000" pitchFamily="2" charset="0"/>
            </a:rPr>
            <a:t>emitendid</a:t>
          </a:r>
          <a:endParaRPr lang="en-US" sz="1000" noProof="0" dirty="0">
            <a:latin typeface="Roboto" panose="02000000000000000000" pitchFamily="2" charset="0"/>
            <a:ea typeface="Roboto" panose="02000000000000000000" pitchFamily="2" charset="0"/>
          </a:endParaRPr>
        </a:p>
      </dgm:t>
    </dgm:pt>
    <dgm:pt modelId="{ACF2D06F-D28B-443E-B06C-51970F49AFA7}" type="parTrans" cxnId="{DF48E5F1-0869-4A8F-8EC4-7FE6B2040F81}">
      <dgm:prSet/>
      <dgm:spPr/>
      <dgm:t>
        <a:bodyPr/>
        <a:lstStyle/>
        <a:p>
          <a:pPr algn="ctr"/>
          <a:endParaRPr lang="en-US" sz="1400" noProof="0" dirty="0">
            <a:latin typeface="Roboto" panose="02000000000000000000" pitchFamily="2" charset="0"/>
            <a:ea typeface="Roboto" panose="02000000000000000000" pitchFamily="2" charset="0"/>
          </a:endParaRPr>
        </a:p>
      </dgm:t>
    </dgm:pt>
    <dgm:pt modelId="{DA0D5F49-87BF-471D-85D1-954451569B7C}" type="sibTrans" cxnId="{DF48E5F1-0869-4A8F-8EC4-7FE6B2040F81}">
      <dgm:prSet/>
      <dgm:spPr/>
      <dgm:t>
        <a:bodyPr/>
        <a:lstStyle/>
        <a:p>
          <a:pPr algn="ctr"/>
          <a:endParaRPr lang="en-US" sz="1400" noProof="0" dirty="0">
            <a:latin typeface="Roboto" panose="02000000000000000000" pitchFamily="2" charset="0"/>
            <a:ea typeface="Roboto" panose="02000000000000000000" pitchFamily="2" charset="0"/>
          </a:endParaRPr>
        </a:p>
      </dgm:t>
    </dgm:pt>
    <dgm:pt modelId="{58FA0F1C-DB2A-49E2-BE52-8AC64F517250}">
      <dgm:prSet phldrT="[Text]" custT="1"/>
      <dgm:spPr/>
      <dgm:t>
        <a:bodyPr/>
        <a:lstStyle/>
        <a:p>
          <a:pPr algn="ctr"/>
          <a:r>
            <a:rPr lang="et-EE" sz="900" noProof="0" dirty="0">
              <a:latin typeface="Roboto" panose="02000000000000000000" pitchFamily="2" charset="0"/>
              <a:ea typeface="Roboto" panose="02000000000000000000" pitchFamily="2" charset="0"/>
            </a:rPr>
            <a:t>Varaga tagatud </a:t>
          </a:r>
          <a:r>
            <a:rPr lang="et-EE" sz="900" noProof="0" dirty="0" err="1">
              <a:latin typeface="Roboto" panose="02000000000000000000" pitchFamily="2" charset="0"/>
              <a:ea typeface="Roboto" panose="02000000000000000000" pitchFamily="2" charset="0"/>
            </a:rPr>
            <a:t>token’te</a:t>
          </a:r>
          <a:r>
            <a:rPr lang="et-EE" sz="900" noProof="0" dirty="0">
              <a:latin typeface="Roboto" panose="02000000000000000000" pitchFamily="2" charset="0"/>
              <a:ea typeface="Roboto" panose="02000000000000000000" pitchFamily="2" charset="0"/>
            </a:rPr>
            <a:t> (a</a:t>
          </a:r>
          <a:r>
            <a:rPr lang="en-US" sz="900" noProof="0" dirty="0" err="1">
              <a:latin typeface="Roboto" panose="02000000000000000000" pitchFamily="2" charset="0"/>
              <a:ea typeface="Roboto" panose="02000000000000000000" pitchFamily="2" charset="0"/>
            </a:rPr>
            <a:t>sset</a:t>
          </a:r>
          <a:r>
            <a:rPr lang="en-US" sz="900" noProof="0" dirty="0">
              <a:latin typeface="Roboto" panose="02000000000000000000" pitchFamily="2" charset="0"/>
              <a:ea typeface="Roboto" panose="02000000000000000000" pitchFamily="2" charset="0"/>
            </a:rPr>
            <a:t> reference tokens</a:t>
          </a:r>
          <a:r>
            <a:rPr lang="et-EE" sz="900" noProof="0" dirty="0">
              <a:latin typeface="Roboto" panose="02000000000000000000" pitchFamily="2" charset="0"/>
              <a:ea typeface="Roboto" panose="02000000000000000000" pitchFamily="2" charset="0"/>
            </a:rPr>
            <a:t> – </a:t>
          </a:r>
          <a:r>
            <a:rPr lang="et-EE" sz="900" noProof="0" dirty="0" err="1">
              <a:latin typeface="Roboto" panose="02000000000000000000" pitchFamily="2" charset="0"/>
              <a:ea typeface="Roboto" panose="02000000000000000000" pitchFamily="2" charset="0"/>
            </a:rPr>
            <a:t>ART’s</a:t>
          </a:r>
          <a:r>
            <a:rPr lang="en-US" sz="900" noProof="0" dirty="0">
              <a:latin typeface="Roboto" panose="02000000000000000000" pitchFamily="2" charset="0"/>
              <a:ea typeface="Roboto" panose="02000000000000000000" pitchFamily="2" charset="0"/>
            </a:rPr>
            <a:t>)</a:t>
          </a:r>
          <a:r>
            <a:rPr lang="et-EE" sz="900" noProof="0" dirty="0">
              <a:latin typeface="Roboto" panose="02000000000000000000" pitchFamily="2" charset="0"/>
              <a:ea typeface="Roboto" panose="02000000000000000000" pitchFamily="2" charset="0"/>
            </a:rPr>
            <a:t> emitendid</a:t>
          </a:r>
          <a:endParaRPr lang="en-US" sz="900" noProof="0" dirty="0">
            <a:latin typeface="Roboto" panose="02000000000000000000" pitchFamily="2" charset="0"/>
            <a:ea typeface="Roboto" panose="02000000000000000000" pitchFamily="2" charset="0"/>
          </a:endParaRPr>
        </a:p>
      </dgm:t>
    </dgm:pt>
    <dgm:pt modelId="{9A9AFE8D-AC6A-42D8-8334-DC7E17764153}" type="parTrans" cxnId="{9A089541-C5E3-43D5-8CD9-1FDFF131D3E0}">
      <dgm:prSet/>
      <dgm:spPr/>
      <dgm:t>
        <a:bodyPr/>
        <a:lstStyle/>
        <a:p>
          <a:pPr algn="ctr"/>
          <a:endParaRPr lang="en-US" sz="1400" noProof="0" dirty="0">
            <a:latin typeface="Roboto" panose="02000000000000000000" pitchFamily="2" charset="0"/>
            <a:ea typeface="Roboto" panose="02000000000000000000" pitchFamily="2" charset="0"/>
          </a:endParaRPr>
        </a:p>
      </dgm:t>
    </dgm:pt>
    <dgm:pt modelId="{531975BB-3013-4C79-AA5C-FDAA76EA4B24}" type="sibTrans" cxnId="{9A089541-C5E3-43D5-8CD9-1FDFF131D3E0}">
      <dgm:prSet/>
      <dgm:spPr/>
      <dgm:t>
        <a:bodyPr/>
        <a:lstStyle/>
        <a:p>
          <a:pPr algn="ctr"/>
          <a:endParaRPr lang="en-US" sz="1400" noProof="0" dirty="0">
            <a:latin typeface="Roboto" panose="02000000000000000000" pitchFamily="2" charset="0"/>
            <a:ea typeface="Roboto" panose="02000000000000000000" pitchFamily="2" charset="0"/>
          </a:endParaRPr>
        </a:p>
      </dgm:t>
    </dgm:pt>
    <dgm:pt modelId="{1FF26B9D-7C32-4FF8-A844-30FEC81D8D91}">
      <dgm:prSet phldrT="[Text]" custT="1"/>
      <dgm:spPr/>
      <dgm:t>
        <a:bodyPr/>
        <a:lstStyle/>
        <a:p>
          <a:pPr algn="ctr"/>
          <a:r>
            <a:rPr lang="et-EE" sz="900" noProof="0" dirty="0">
              <a:latin typeface="Roboto" panose="02000000000000000000" pitchFamily="2" charset="0"/>
              <a:ea typeface="Roboto" panose="02000000000000000000" pitchFamily="2" charset="0"/>
            </a:rPr>
            <a:t>E-raha </a:t>
          </a:r>
          <a:r>
            <a:rPr lang="et-EE" sz="900" noProof="0" dirty="0" err="1">
              <a:latin typeface="Roboto" panose="02000000000000000000" pitchFamily="2" charset="0"/>
              <a:ea typeface="Roboto" panose="02000000000000000000" pitchFamily="2" charset="0"/>
            </a:rPr>
            <a:t>token’te</a:t>
          </a:r>
          <a:r>
            <a:rPr lang="et-EE" sz="900" noProof="0" dirty="0">
              <a:latin typeface="Roboto" panose="02000000000000000000" pitchFamily="2" charset="0"/>
              <a:ea typeface="Roboto" panose="02000000000000000000" pitchFamily="2" charset="0"/>
            </a:rPr>
            <a:t> (</a:t>
          </a:r>
          <a:r>
            <a:rPr lang="en-US" sz="900" noProof="0" dirty="0">
              <a:latin typeface="Roboto" panose="02000000000000000000" pitchFamily="2" charset="0"/>
              <a:ea typeface="Roboto" panose="02000000000000000000" pitchFamily="2" charset="0"/>
            </a:rPr>
            <a:t>E-money tokens</a:t>
          </a:r>
          <a:r>
            <a:rPr lang="et-EE" sz="900" noProof="0" dirty="0">
              <a:latin typeface="Roboto" panose="02000000000000000000" pitchFamily="2" charset="0"/>
              <a:ea typeface="Roboto" panose="02000000000000000000" pitchFamily="2" charset="0"/>
            </a:rPr>
            <a:t>) emitendid</a:t>
          </a:r>
          <a:endParaRPr lang="en-US" sz="900" noProof="0" dirty="0">
            <a:latin typeface="Roboto" panose="02000000000000000000" pitchFamily="2" charset="0"/>
            <a:ea typeface="Roboto" panose="02000000000000000000" pitchFamily="2" charset="0"/>
          </a:endParaRPr>
        </a:p>
      </dgm:t>
    </dgm:pt>
    <dgm:pt modelId="{A6A757EE-F95A-49A7-9836-FE3B192650DE}" type="parTrans" cxnId="{7736010C-D0E4-43DE-96FD-E72A637CA91D}">
      <dgm:prSet/>
      <dgm:spPr/>
      <dgm:t>
        <a:bodyPr/>
        <a:lstStyle/>
        <a:p>
          <a:pPr algn="ctr"/>
          <a:endParaRPr lang="en-US" sz="1400" noProof="0" dirty="0">
            <a:latin typeface="Roboto" panose="02000000000000000000" pitchFamily="2" charset="0"/>
            <a:ea typeface="Roboto" panose="02000000000000000000" pitchFamily="2" charset="0"/>
          </a:endParaRPr>
        </a:p>
      </dgm:t>
    </dgm:pt>
    <dgm:pt modelId="{780DA863-3666-46FB-AF18-6819FA8DB008}" type="sibTrans" cxnId="{7736010C-D0E4-43DE-96FD-E72A637CA91D}">
      <dgm:prSet/>
      <dgm:spPr/>
      <dgm:t>
        <a:bodyPr/>
        <a:lstStyle/>
        <a:p>
          <a:pPr algn="ctr"/>
          <a:endParaRPr lang="en-US" sz="1400" noProof="0" dirty="0">
            <a:latin typeface="Roboto" panose="02000000000000000000" pitchFamily="2" charset="0"/>
            <a:ea typeface="Roboto" panose="02000000000000000000" pitchFamily="2" charset="0"/>
          </a:endParaRPr>
        </a:p>
      </dgm:t>
    </dgm:pt>
    <dgm:pt modelId="{046136D5-9E65-41BF-BE2B-98380BF7A741}">
      <dgm:prSet custT="1"/>
      <dgm:spPr/>
      <dgm:t>
        <a:bodyPr/>
        <a:lstStyle/>
        <a:p>
          <a:pPr algn="ctr"/>
          <a:r>
            <a:rPr lang="et-EE" sz="1000" noProof="0" dirty="0" err="1">
              <a:latin typeface="Roboto" panose="02000000000000000000" pitchFamily="2" charset="0"/>
              <a:ea typeface="Roboto" panose="02000000000000000000" pitchFamily="2" charset="0"/>
            </a:rPr>
            <a:t>Krüptovara-teenuste</a:t>
          </a:r>
          <a:r>
            <a:rPr lang="et-EE" sz="1000" noProof="0" dirty="0">
              <a:latin typeface="Roboto" panose="02000000000000000000" pitchFamily="2" charset="0"/>
              <a:ea typeface="Roboto" panose="02000000000000000000" pitchFamily="2" charset="0"/>
            </a:rPr>
            <a:t> osutajad</a:t>
          </a:r>
          <a:endParaRPr lang="en-US" sz="1000" noProof="0" dirty="0">
            <a:latin typeface="Roboto" panose="02000000000000000000" pitchFamily="2" charset="0"/>
            <a:ea typeface="Roboto" panose="02000000000000000000" pitchFamily="2" charset="0"/>
          </a:endParaRPr>
        </a:p>
      </dgm:t>
    </dgm:pt>
    <dgm:pt modelId="{623F8E8B-0CC9-443D-BB59-2BAFCBA51D02}" type="parTrans" cxnId="{587088F4-E37D-415C-8FCD-81EBFE4A5CC0}">
      <dgm:prSet/>
      <dgm:spPr/>
      <dgm:t>
        <a:bodyPr/>
        <a:lstStyle/>
        <a:p>
          <a:pPr algn="ctr"/>
          <a:endParaRPr lang="en-US" sz="1400" noProof="0" dirty="0">
            <a:latin typeface="Roboto" panose="02000000000000000000" pitchFamily="2" charset="0"/>
            <a:ea typeface="Roboto" panose="02000000000000000000" pitchFamily="2" charset="0"/>
          </a:endParaRPr>
        </a:p>
      </dgm:t>
    </dgm:pt>
    <dgm:pt modelId="{53E2186B-F7B5-46A5-9A2F-6FD0BD8F4D45}" type="sibTrans" cxnId="{587088F4-E37D-415C-8FCD-81EBFE4A5CC0}">
      <dgm:prSet/>
      <dgm:spPr/>
      <dgm:t>
        <a:bodyPr/>
        <a:lstStyle/>
        <a:p>
          <a:pPr algn="ctr"/>
          <a:endParaRPr lang="en-US" sz="1400" noProof="0" dirty="0">
            <a:latin typeface="Roboto" panose="02000000000000000000" pitchFamily="2" charset="0"/>
            <a:ea typeface="Roboto" panose="02000000000000000000" pitchFamily="2" charset="0"/>
          </a:endParaRPr>
        </a:p>
      </dgm:t>
    </dgm:pt>
    <dgm:pt modelId="{1346BBB4-5DF9-4467-917D-716386046D4A}">
      <dgm:prSet custT="1"/>
      <dgm:spPr/>
      <dgm:t>
        <a:bodyPr/>
        <a:lstStyle/>
        <a:p>
          <a:pPr algn="ctr"/>
          <a:r>
            <a:rPr lang="et-EE" sz="900" noProof="0" dirty="0">
              <a:latin typeface="Roboto" panose="02000000000000000000" pitchFamily="2" charset="0"/>
              <a:ea typeface="Roboto" panose="02000000000000000000" pitchFamily="2" charset="0"/>
            </a:rPr>
            <a:t>Suuremahuliste</a:t>
          </a:r>
          <a:r>
            <a:rPr lang="en-US" sz="900" noProof="0" dirty="0">
              <a:latin typeface="Roboto" panose="02000000000000000000" pitchFamily="2" charset="0"/>
              <a:ea typeface="Roboto" panose="02000000000000000000" pitchFamily="2" charset="0"/>
            </a:rPr>
            <a:t> ART-</a:t>
          </a:r>
          <a:r>
            <a:rPr lang="et-EE" sz="900" noProof="0" dirty="0">
              <a:latin typeface="Roboto" panose="02000000000000000000" pitchFamily="2" charset="0"/>
              <a:ea typeface="Roboto" panose="02000000000000000000" pitchFamily="2" charset="0"/>
            </a:rPr>
            <a:t>de</a:t>
          </a:r>
          <a:r>
            <a:rPr lang="en-US" sz="900" noProof="0" dirty="0">
              <a:latin typeface="Roboto" panose="02000000000000000000" pitchFamily="2" charset="0"/>
              <a:ea typeface="Roboto" panose="02000000000000000000" pitchFamily="2" charset="0"/>
            </a:rPr>
            <a:t> </a:t>
          </a:r>
          <a:r>
            <a:rPr lang="et-EE" sz="900" noProof="0" dirty="0">
              <a:latin typeface="Roboto" panose="02000000000000000000" pitchFamily="2" charset="0"/>
              <a:ea typeface="Roboto" panose="02000000000000000000" pitchFamily="2" charset="0"/>
            </a:rPr>
            <a:t>ja</a:t>
          </a:r>
          <a:r>
            <a:rPr lang="en-US" sz="900" noProof="0" dirty="0">
              <a:latin typeface="Roboto" panose="02000000000000000000" pitchFamily="2" charset="0"/>
              <a:ea typeface="Roboto" panose="02000000000000000000" pitchFamily="2" charset="0"/>
            </a:rPr>
            <a:t> </a:t>
          </a:r>
          <a:r>
            <a:rPr lang="et-EE" sz="900" noProof="0" dirty="0">
              <a:latin typeface="Roboto" panose="02000000000000000000" pitchFamily="2" charset="0"/>
              <a:ea typeface="Roboto" panose="02000000000000000000" pitchFamily="2" charset="0"/>
            </a:rPr>
            <a:t>e-raha</a:t>
          </a:r>
          <a:r>
            <a:rPr lang="en-US" sz="900" noProof="0" dirty="0">
              <a:latin typeface="Roboto" panose="02000000000000000000" pitchFamily="2" charset="0"/>
              <a:ea typeface="Roboto" panose="02000000000000000000" pitchFamily="2" charset="0"/>
            </a:rPr>
            <a:t> token</a:t>
          </a:r>
          <a:r>
            <a:rPr lang="et-EE" sz="900" noProof="0" dirty="0">
              <a:latin typeface="Roboto" panose="02000000000000000000" pitchFamily="2" charset="0"/>
              <a:ea typeface="Roboto" panose="02000000000000000000" pitchFamily="2" charset="0"/>
            </a:rPr>
            <a:t>’te</a:t>
          </a:r>
          <a:r>
            <a:rPr lang="en-US" sz="900" noProof="0" dirty="0">
              <a:latin typeface="Roboto" panose="02000000000000000000" pitchFamily="2" charset="0"/>
              <a:ea typeface="Roboto" panose="02000000000000000000" pitchFamily="2" charset="0"/>
            </a:rPr>
            <a:t> </a:t>
          </a:r>
          <a:r>
            <a:rPr lang="et-EE" sz="900" noProof="0" dirty="0">
              <a:latin typeface="Roboto" panose="02000000000000000000" pitchFamily="2" charset="0"/>
              <a:ea typeface="Roboto" panose="02000000000000000000" pitchFamily="2" charset="0"/>
            </a:rPr>
            <a:t>emitendid</a:t>
          </a:r>
          <a:endParaRPr lang="en-US" sz="900" noProof="0" dirty="0">
            <a:latin typeface="Roboto" panose="02000000000000000000" pitchFamily="2" charset="0"/>
            <a:ea typeface="Roboto" panose="02000000000000000000" pitchFamily="2" charset="0"/>
          </a:endParaRPr>
        </a:p>
      </dgm:t>
    </dgm:pt>
    <dgm:pt modelId="{B30B83AA-7E54-4C09-8940-F8BE5F9CC063}" type="parTrans" cxnId="{53FA8174-E255-4727-9462-7D91EDB2954D}">
      <dgm:prSet/>
      <dgm:spPr/>
      <dgm:t>
        <a:bodyPr/>
        <a:lstStyle/>
        <a:p>
          <a:pPr algn="ctr"/>
          <a:endParaRPr lang="en-US" noProof="0" dirty="0"/>
        </a:p>
      </dgm:t>
    </dgm:pt>
    <dgm:pt modelId="{AFF12108-BA90-470A-A47D-3D63FF9A3826}" type="sibTrans" cxnId="{53FA8174-E255-4727-9462-7D91EDB2954D}">
      <dgm:prSet/>
      <dgm:spPr/>
      <dgm:t>
        <a:bodyPr/>
        <a:lstStyle/>
        <a:p>
          <a:pPr algn="ctr"/>
          <a:endParaRPr lang="en-US" noProof="0" dirty="0"/>
        </a:p>
      </dgm:t>
    </dgm:pt>
    <dgm:pt modelId="{B10B4ACB-516F-4F82-A654-3890ECED0350}">
      <dgm:prSet custT="1"/>
      <dgm:spPr/>
      <dgm:t>
        <a:bodyPr/>
        <a:lstStyle/>
        <a:p>
          <a:pPr algn="ctr">
            <a:buFont typeface="Wingdings" panose="05000000000000000000" pitchFamily="2" charset="2"/>
            <a:buNone/>
          </a:pPr>
          <a:r>
            <a:rPr lang="et-EE" sz="900" dirty="0">
              <a:latin typeface="Roboto" panose="02000000000000000000" pitchFamily="2" charset="0"/>
              <a:ea typeface="Roboto" panose="02000000000000000000" pitchFamily="2" charset="0"/>
            </a:rPr>
            <a:t>TEENUSTE LIIGITUS:</a:t>
          </a:r>
        </a:p>
        <a:p>
          <a:pPr algn="ctr">
            <a:buFont typeface="Wingdings" panose="05000000000000000000" pitchFamily="2" charset="2"/>
            <a:buChar char="§"/>
          </a:pPr>
          <a:r>
            <a:rPr lang="et-EE" sz="900" dirty="0">
              <a:solidFill>
                <a:sysClr val="windowText" lastClr="000000"/>
              </a:solidFill>
              <a:latin typeface="Roboto" panose="02000000000000000000" pitchFamily="2" charset="0"/>
              <a:ea typeface="Roboto" panose="02000000000000000000" pitchFamily="2" charset="0"/>
            </a:rPr>
            <a:t>1. tehingukorralduste vastuvõtmine</a:t>
          </a:r>
          <a:endParaRPr lang="en-US" sz="900" dirty="0">
            <a:solidFill>
              <a:sysClr val="windowText" lastClr="000000"/>
            </a:solidFill>
            <a:latin typeface="Roboto" panose="02000000000000000000" pitchFamily="2" charset="0"/>
            <a:ea typeface="Roboto" panose="02000000000000000000" pitchFamily="2" charset="0"/>
          </a:endParaRPr>
        </a:p>
        <a:p>
          <a:pPr algn="ctr">
            <a:buFont typeface="Wingdings" panose="05000000000000000000" pitchFamily="2" charset="2"/>
            <a:buChar char="§"/>
          </a:pPr>
          <a:r>
            <a:rPr lang="et-EE" sz="900" dirty="0">
              <a:solidFill>
                <a:sysClr val="windowText" lastClr="000000"/>
              </a:solidFill>
              <a:latin typeface="Roboto" panose="02000000000000000000" pitchFamily="2" charset="0"/>
              <a:ea typeface="Roboto" panose="02000000000000000000" pitchFamily="2" charset="0"/>
            </a:rPr>
            <a:t>2. nõustamine</a:t>
          </a:r>
          <a:endParaRPr lang="en-US" sz="900" dirty="0">
            <a:solidFill>
              <a:sysClr val="windowText" lastClr="000000"/>
            </a:solidFill>
            <a:latin typeface="Roboto" panose="02000000000000000000" pitchFamily="2" charset="0"/>
            <a:ea typeface="Roboto" panose="02000000000000000000" pitchFamily="2" charset="0"/>
          </a:endParaRPr>
        </a:p>
        <a:p>
          <a:pPr algn="ctr">
            <a:buFont typeface="Wingdings" panose="05000000000000000000" pitchFamily="2" charset="2"/>
            <a:buChar char="§"/>
          </a:pPr>
          <a:r>
            <a:rPr lang="et-EE" sz="900" dirty="0">
              <a:solidFill>
                <a:sysClr val="windowText" lastClr="000000"/>
              </a:solidFill>
              <a:latin typeface="Roboto" panose="02000000000000000000" pitchFamily="2" charset="0"/>
              <a:ea typeface="Roboto" panose="02000000000000000000" pitchFamily="2" charset="0"/>
            </a:rPr>
            <a:t>3. tehingute täideviimine</a:t>
          </a:r>
          <a:endParaRPr lang="en-US" sz="900" dirty="0">
            <a:solidFill>
              <a:sysClr val="windowText" lastClr="000000"/>
            </a:solidFill>
            <a:latin typeface="Roboto" panose="02000000000000000000" pitchFamily="2" charset="0"/>
            <a:ea typeface="Roboto" panose="02000000000000000000" pitchFamily="2" charset="0"/>
          </a:endParaRPr>
        </a:p>
        <a:p>
          <a:pPr algn="ctr">
            <a:buFont typeface="Wingdings" panose="05000000000000000000" pitchFamily="2" charset="2"/>
            <a:buChar char="§"/>
          </a:pPr>
          <a:r>
            <a:rPr lang="et-EE" sz="900" dirty="0">
              <a:solidFill>
                <a:sysClr val="windowText" lastClr="000000"/>
              </a:solidFill>
              <a:latin typeface="Roboto" panose="02000000000000000000" pitchFamily="2" charset="0"/>
              <a:ea typeface="Roboto" panose="02000000000000000000" pitchFamily="2" charset="0"/>
            </a:rPr>
            <a:t>4. emiteerimise korraldamine</a:t>
          </a:r>
          <a:endParaRPr lang="en-US" sz="900" dirty="0">
            <a:solidFill>
              <a:sysClr val="windowText" lastClr="000000"/>
            </a:solidFill>
            <a:latin typeface="Roboto" panose="02000000000000000000" pitchFamily="2" charset="0"/>
            <a:ea typeface="Roboto" panose="02000000000000000000" pitchFamily="2" charset="0"/>
          </a:endParaRPr>
        </a:p>
        <a:p>
          <a:pPr algn="ctr">
            <a:buFont typeface="Wingdings" panose="05000000000000000000" pitchFamily="2" charset="2"/>
            <a:buChar char="§"/>
          </a:pPr>
          <a:r>
            <a:rPr lang="et-EE" sz="900" dirty="0">
              <a:solidFill>
                <a:sysClr val="windowText" lastClr="000000"/>
              </a:solidFill>
              <a:latin typeface="Roboto" panose="02000000000000000000" pitchFamily="2" charset="0"/>
              <a:ea typeface="Roboto" panose="02000000000000000000" pitchFamily="2" charset="0"/>
            </a:rPr>
            <a:t>5. </a:t>
          </a:r>
          <a:r>
            <a:rPr lang="et-EE" sz="900" dirty="0" err="1">
              <a:solidFill>
                <a:sysClr val="windowText" lastClr="000000"/>
              </a:solidFill>
              <a:latin typeface="Roboto" panose="02000000000000000000" pitchFamily="2" charset="0"/>
              <a:ea typeface="Roboto" panose="02000000000000000000" pitchFamily="2" charset="0"/>
            </a:rPr>
            <a:t>krüptovara</a:t>
          </a:r>
          <a:r>
            <a:rPr lang="et-EE" sz="900" dirty="0">
              <a:solidFill>
                <a:sysClr val="windowText" lastClr="000000"/>
              </a:solidFill>
              <a:latin typeface="Roboto" panose="02000000000000000000" pitchFamily="2" charset="0"/>
              <a:ea typeface="Roboto" panose="02000000000000000000" pitchFamily="2" charset="0"/>
            </a:rPr>
            <a:t> portfellihaldus</a:t>
          </a:r>
          <a:endParaRPr lang="en-US" sz="900" dirty="0">
            <a:solidFill>
              <a:sysClr val="windowText" lastClr="000000"/>
            </a:solidFill>
            <a:latin typeface="Roboto" panose="02000000000000000000" pitchFamily="2" charset="0"/>
            <a:ea typeface="Roboto" panose="02000000000000000000" pitchFamily="2" charset="0"/>
          </a:endParaRPr>
        </a:p>
        <a:p>
          <a:pPr algn="ctr">
            <a:buFont typeface="Wingdings" panose="05000000000000000000" pitchFamily="2" charset="2"/>
            <a:buChar char="§"/>
          </a:pPr>
          <a:r>
            <a:rPr lang="et-EE" sz="900" dirty="0">
              <a:solidFill>
                <a:sysClr val="windowText" lastClr="000000"/>
              </a:solidFill>
              <a:latin typeface="Roboto" panose="02000000000000000000" pitchFamily="2" charset="0"/>
              <a:ea typeface="Roboto" panose="02000000000000000000" pitchFamily="2" charset="0"/>
            </a:rPr>
            <a:t>6. </a:t>
          </a:r>
          <a:r>
            <a:rPr lang="et-EE" sz="900" dirty="0" err="1">
              <a:solidFill>
                <a:sysClr val="windowText" lastClr="000000"/>
              </a:solidFill>
              <a:latin typeface="Roboto" panose="02000000000000000000" pitchFamily="2" charset="0"/>
              <a:ea typeface="Roboto" panose="02000000000000000000" pitchFamily="2" charset="0"/>
            </a:rPr>
            <a:t>krüptovarade</a:t>
          </a:r>
          <a:r>
            <a:rPr lang="et-EE" sz="900" dirty="0">
              <a:solidFill>
                <a:sysClr val="windowText" lastClr="000000"/>
              </a:solidFill>
              <a:latin typeface="Roboto" panose="02000000000000000000" pitchFamily="2" charset="0"/>
              <a:ea typeface="Roboto" panose="02000000000000000000" pitchFamily="2" charset="0"/>
            </a:rPr>
            <a:t> ülekandmine</a:t>
          </a:r>
        </a:p>
        <a:p>
          <a:pPr algn="ctr">
            <a:buFont typeface="Wingdings" panose="05000000000000000000" pitchFamily="2" charset="2"/>
            <a:buChar char="§"/>
          </a:pPr>
          <a:r>
            <a:rPr lang="et-EE" sz="900" dirty="0">
              <a:solidFill>
                <a:sysClr val="windowText" lastClr="000000"/>
              </a:solidFill>
              <a:latin typeface="Roboto" panose="02000000000000000000" pitchFamily="2" charset="0"/>
              <a:ea typeface="Roboto" panose="02000000000000000000" pitchFamily="2" charset="0"/>
            </a:rPr>
            <a:t>7. hoidmine/administreerimine</a:t>
          </a:r>
          <a:endParaRPr lang="en-US" sz="900" dirty="0">
            <a:solidFill>
              <a:sysClr val="windowText" lastClr="000000"/>
            </a:solidFill>
            <a:latin typeface="Roboto" panose="02000000000000000000" pitchFamily="2" charset="0"/>
            <a:ea typeface="Roboto" panose="02000000000000000000" pitchFamily="2" charset="0"/>
          </a:endParaRPr>
        </a:p>
        <a:p>
          <a:pPr algn="ctr">
            <a:buFont typeface="Wingdings" panose="05000000000000000000" pitchFamily="2" charset="2"/>
            <a:buChar char="§"/>
          </a:pPr>
          <a:r>
            <a:rPr lang="et-EE" sz="900" dirty="0">
              <a:solidFill>
                <a:sysClr val="windowText" lastClr="000000"/>
              </a:solidFill>
              <a:latin typeface="Roboto" panose="02000000000000000000" pitchFamily="2" charset="0"/>
              <a:ea typeface="Roboto" panose="02000000000000000000" pitchFamily="2" charset="0"/>
            </a:rPr>
            <a:t>8. </a:t>
          </a:r>
          <a:r>
            <a:rPr lang="et-EE" sz="900" dirty="0" err="1">
              <a:solidFill>
                <a:sysClr val="windowText" lastClr="000000"/>
              </a:solidFill>
              <a:latin typeface="Roboto" panose="02000000000000000000" pitchFamily="2" charset="0"/>
              <a:ea typeface="Roboto" panose="02000000000000000000" pitchFamily="2" charset="0"/>
            </a:rPr>
            <a:t>krüptovara</a:t>
          </a:r>
          <a:r>
            <a:rPr lang="et-EE" sz="900" dirty="0">
              <a:solidFill>
                <a:sysClr val="windowText" lastClr="000000"/>
              </a:solidFill>
              <a:latin typeface="Roboto" panose="02000000000000000000" pitchFamily="2" charset="0"/>
              <a:ea typeface="Roboto" panose="02000000000000000000" pitchFamily="2" charset="0"/>
            </a:rPr>
            <a:t> vahetamine </a:t>
          </a:r>
          <a:r>
            <a:rPr lang="et-EE" sz="900" dirty="0" err="1">
              <a:solidFill>
                <a:sysClr val="windowText" lastClr="000000"/>
              </a:solidFill>
              <a:latin typeface="Roboto" panose="02000000000000000000" pitchFamily="2" charset="0"/>
              <a:ea typeface="Roboto" panose="02000000000000000000" pitchFamily="2" charset="0"/>
            </a:rPr>
            <a:t>krüptovara</a:t>
          </a:r>
          <a:r>
            <a:rPr lang="et-EE" sz="900" dirty="0">
              <a:solidFill>
                <a:sysClr val="windowText" lastClr="000000"/>
              </a:solidFill>
              <a:latin typeface="Roboto" panose="02000000000000000000" pitchFamily="2" charset="0"/>
              <a:ea typeface="Roboto" panose="02000000000000000000" pitchFamily="2" charset="0"/>
            </a:rPr>
            <a:t> või raha vastu</a:t>
          </a:r>
          <a:endParaRPr lang="en-US" sz="900" dirty="0">
            <a:solidFill>
              <a:sysClr val="windowText" lastClr="000000"/>
            </a:solidFill>
            <a:latin typeface="Roboto" panose="02000000000000000000" pitchFamily="2" charset="0"/>
            <a:ea typeface="Roboto" panose="02000000000000000000" pitchFamily="2" charset="0"/>
          </a:endParaRPr>
        </a:p>
        <a:p>
          <a:pPr algn="ctr">
            <a:buFont typeface="Wingdings" panose="05000000000000000000" pitchFamily="2" charset="2"/>
            <a:buChar char="§"/>
          </a:pPr>
          <a:r>
            <a:rPr lang="et-EE" sz="900" dirty="0">
              <a:solidFill>
                <a:sysClr val="windowText" lastClr="000000"/>
              </a:solidFill>
              <a:latin typeface="Roboto" panose="02000000000000000000" pitchFamily="2" charset="0"/>
              <a:ea typeface="Roboto" panose="02000000000000000000" pitchFamily="2" charset="0"/>
            </a:rPr>
            <a:t>9. </a:t>
          </a:r>
          <a:r>
            <a:rPr lang="et-EE" sz="900" dirty="0" err="1">
              <a:solidFill>
                <a:sysClr val="windowText" lastClr="000000"/>
              </a:solidFill>
              <a:latin typeface="Roboto" panose="02000000000000000000" pitchFamily="2" charset="0"/>
              <a:ea typeface="Roboto" panose="02000000000000000000" pitchFamily="2" charset="0"/>
            </a:rPr>
            <a:t>krüptovara</a:t>
          </a:r>
          <a:r>
            <a:rPr lang="et-EE" sz="900" dirty="0">
              <a:solidFill>
                <a:sysClr val="windowText" lastClr="000000"/>
              </a:solidFill>
              <a:latin typeface="Roboto" panose="02000000000000000000" pitchFamily="2" charset="0"/>
              <a:ea typeface="Roboto" panose="02000000000000000000" pitchFamily="2" charset="0"/>
            </a:rPr>
            <a:t> vahetamine teise </a:t>
          </a:r>
          <a:r>
            <a:rPr lang="et-EE" sz="900" dirty="0" err="1">
              <a:solidFill>
                <a:sysClr val="windowText" lastClr="000000"/>
              </a:solidFill>
              <a:latin typeface="Roboto" panose="02000000000000000000" pitchFamily="2" charset="0"/>
              <a:ea typeface="Roboto" panose="02000000000000000000" pitchFamily="2" charset="0"/>
            </a:rPr>
            <a:t>krüptovara</a:t>
          </a:r>
          <a:r>
            <a:rPr lang="et-EE" sz="900" dirty="0">
              <a:solidFill>
                <a:sysClr val="windowText" lastClr="000000"/>
              </a:solidFill>
              <a:latin typeface="Roboto" panose="02000000000000000000" pitchFamily="2" charset="0"/>
              <a:ea typeface="Roboto" panose="02000000000000000000" pitchFamily="2" charset="0"/>
            </a:rPr>
            <a:t> vastu</a:t>
          </a:r>
        </a:p>
        <a:p>
          <a:pPr algn="ctr">
            <a:buFont typeface="Wingdings" panose="05000000000000000000" pitchFamily="2" charset="2"/>
            <a:buChar char="§"/>
          </a:pPr>
          <a:r>
            <a:rPr lang="et-EE" sz="900" dirty="0">
              <a:solidFill>
                <a:sysClr val="windowText" lastClr="000000"/>
              </a:solidFill>
              <a:latin typeface="Roboto" panose="02000000000000000000" pitchFamily="2" charset="0"/>
              <a:ea typeface="Roboto" panose="02000000000000000000" pitchFamily="2" charset="0"/>
            </a:rPr>
            <a:t>10. </a:t>
          </a:r>
          <a:r>
            <a:rPr lang="et-EE" sz="900" dirty="0" err="1">
              <a:solidFill>
                <a:sysClr val="windowText" lastClr="000000"/>
              </a:solidFill>
              <a:latin typeface="Roboto" panose="02000000000000000000" pitchFamily="2" charset="0"/>
              <a:ea typeface="Roboto" panose="02000000000000000000" pitchFamily="2" charset="0"/>
            </a:rPr>
            <a:t>krüptovara</a:t>
          </a:r>
          <a:r>
            <a:rPr lang="et-EE" sz="900" dirty="0">
              <a:solidFill>
                <a:sysClr val="windowText" lastClr="000000"/>
              </a:solidFill>
              <a:latin typeface="Roboto" panose="02000000000000000000" pitchFamily="2" charset="0"/>
              <a:ea typeface="Roboto" panose="02000000000000000000" pitchFamily="2" charset="0"/>
            </a:rPr>
            <a:t> kauplemisplatvormi </a:t>
          </a:r>
          <a:r>
            <a:rPr lang="et-EE" sz="900" dirty="0">
              <a:solidFill>
                <a:schemeClr val="tx1">
                  <a:lumMod val="85000"/>
                  <a:lumOff val="15000"/>
                </a:schemeClr>
              </a:solidFill>
              <a:latin typeface="Roboto" panose="02000000000000000000" pitchFamily="2" charset="0"/>
              <a:ea typeface="Roboto" panose="02000000000000000000" pitchFamily="2" charset="0"/>
            </a:rPr>
            <a:t>korraldamine</a:t>
          </a:r>
          <a:endParaRPr lang="en-US" sz="900" dirty="0">
            <a:solidFill>
              <a:schemeClr val="tx1">
                <a:lumMod val="85000"/>
                <a:lumOff val="15000"/>
              </a:schemeClr>
            </a:solidFill>
            <a:latin typeface="Roboto" panose="02000000000000000000" pitchFamily="2" charset="0"/>
            <a:ea typeface="Roboto" panose="02000000000000000000" pitchFamily="2" charset="0"/>
          </a:endParaRPr>
        </a:p>
      </dgm:t>
    </dgm:pt>
    <dgm:pt modelId="{576E4B21-6C2A-479D-A783-0304C10BAEAF}" type="parTrans" cxnId="{BE1AA1CE-AE36-4CAF-A7E3-95B3C75CCB0C}">
      <dgm:prSet/>
      <dgm:spPr/>
      <dgm:t>
        <a:bodyPr/>
        <a:lstStyle/>
        <a:p>
          <a:pPr algn="ctr"/>
          <a:endParaRPr lang="en-US"/>
        </a:p>
      </dgm:t>
    </dgm:pt>
    <dgm:pt modelId="{782F1A77-9D91-4891-BD28-8C49BF0DFCF3}" type="sibTrans" cxnId="{BE1AA1CE-AE36-4CAF-A7E3-95B3C75CCB0C}">
      <dgm:prSet/>
      <dgm:spPr/>
      <dgm:t>
        <a:bodyPr/>
        <a:lstStyle/>
        <a:p>
          <a:pPr algn="ctr"/>
          <a:endParaRPr lang="en-US"/>
        </a:p>
      </dgm:t>
    </dgm:pt>
    <dgm:pt modelId="{5365A94A-327D-4CF5-81A1-D4AA2F29E519}" type="pres">
      <dgm:prSet presAssocID="{D55B10A8-2BAA-4EA6-9A34-A647C24245EE}" presName="diagram" presStyleCnt="0">
        <dgm:presLayoutVars>
          <dgm:chPref val="1"/>
          <dgm:dir/>
          <dgm:animOne val="branch"/>
          <dgm:animLvl val="lvl"/>
          <dgm:resizeHandles/>
        </dgm:presLayoutVars>
      </dgm:prSet>
      <dgm:spPr/>
    </dgm:pt>
    <dgm:pt modelId="{CACADC6C-C450-4CA8-99CB-4233110C31CA}" type="pres">
      <dgm:prSet presAssocID="{4E7AFF55-F224-467F-A825-C8B512DC3701}" presName="root" presStyleCnt="0"/>
      <dgm:spPr/>
    </dgm:pt>
    <dgm:pt modelId="{E1030239-FE0A-4AC1-B582-945C62B077AA}" type="pres">
      <dgm:prSet presAssocID="{4E7AFF55-F224-467F-A825-C8B512DC3701}" presName="rootComposite" presStyleCnt="0"/>
      <dgm:spPr/>
    </dgm:pt>
    <dgm:pt modelId="{E6E6366F-7D13-40AE-9758-38E2D8233E4F}" type="pres">
      <dgm:prSet presAssocID="{4E7AFF55-F224-467F-A825-C8B512DC3701}" presName="rootText" presStyleLbl="node1" presStyleIdx="0" presStyleCnt="3"/>
      <dgm:spPr/>
    </dgm:pt>
    <dgm:pt modelId="{D9FB0B0B-8856-493C-A6A4-C8D8910AA13B}" type="pres">
      <dgm:prSet presAssocID="{4E7AFF55-F224-467F-A825-C8B512DC3701}" presName="rootConnector" presStyleLbl="node1" presStyleIdx="0" presStyleCnt="3"/>
      <dgm:spPr/>
    </dgm:pt>
    <dgm:pt modelId="{9BD94FE0-1D61-45A6-84D7-CBA4ABC97993}" type="pres">
      <dgm:prSet presAssocID="{4E7AFF55-F224-467F-A825-C8B512DC3701}" presName="childShape" presStyleCnt="0"/>
      <dgm:spPr/>
    </dgm:pt>
    <dgm:pt modelId="{747FB84A-CFD6-4697-A3C4-20D886FF751F}" type="pres">
      <dgm:prSet presAssocID="{AD26FC59-1055-4364-AEA0-D6FC1ECCE513}" presName="root" presStyleCnt="0"/>
      <dgm:spPr/>
    </dgm:pt>
    <dgm:pt modelId="{F9D453E4-E1B2-462C-B1FF-8B39BD637AA0}" type="pres">
      <dgm:prSet presAssocID="{AD26FC59-1055-4364-AEA0-D6FC1ECCE513}" presName="rootComposite" presStyleCnt="0"/>
      <dgm:spPr/>
    </dgm:pt>
    <dgm:pt modelId="{94317B88-A1ED-4F59-AF1E-BF8A00E7AD79}" type="pres">
      <dgm:prSet presAssocID="{AD26FC59-1055-4364-AEA0-D6FC1ECCE513}" presName="rootText" presStyleLbl="node1" presStyleIdx="1" presStyleCnt="3"/>
      <dgm:spPr/>
    </dgm:pt>
    <dgm:pt modelId="{050C355A-4342-4490-89D0-1E3EC5A22326}" type="pres">
      <dgm:prSet presAssocID="{AD26FC59-1055-4364-AEA0-D6FC1ECCE513}" presName="rootConnector" presStyleLbl="node1" presStyleIdx="1" presStyleCnt="3"/>
      <dgm:spPr/>
    </dgm:pt>
    <dgm:pt modelId="{9BEE08B1-37EF-40D5-8AFC-C3182297CE30}" type="pres">
      <dgm:prSet presAssocID="{AD26FC59-1055-4364-AEA0-D6FC1ECCE513}" presName="childShape" presStyleCnt="0"/>
      <dgm:spPr/>
    </dgm:pt>
    <dgm:pt modelId="{E5535CE8-8F48-492C-8037-CF91236EE60C}" type="pres">
      <dgm:prSet presAssocID="{9A9AFE8D-AC6A-42D8-8334-DC7E17764153}" presName="Name13" presStyleLbl="parChTrans1D2" presStyleIdx="0" presStyleCnt="4"/>
      <dgm:spPr/>
    </dgm:pt>
    <dgm:pt modelId="{D4351BCC-E5A3-41EB-B931-FB5C1BC08AF1}" type="pres">
      <dgm:prSet presAssocID="{58FA0F1C-DB2A-49E2-BE52-8AC64F517250}" presName="childText" presStyleLbl="bgAcc1" presStyleIdx="0" presStyleCnt="4">
        <dgm:presLayoutVars>
          <dgm:bulletEnabled val="1"/>
        </dgm:presLayoutVars>
      </dgm:prSet>
      <dgm:spPr/>
    </dgm:pt>
    <dgm:pt modelId="{6A4DDE66-8096-4A06-B195-95C7AD984DE5}" type="pres">
      <dgm:prSet presAssocID="{A6A757EE-F95A-49A7-9836-FE3B192650DE}" presName="Name13" presStyleLbl="parChTrans1D2" presStyleIdx="1" presStyleCnt="4"/>
      <dgm:spPr/>
    </dgm:pt>
    <dgm:pt modelId="{A8F38775-72BF-44DE-B757-24D804ACDBD5}" type="pres">
      <dgm:prSet presAssocID="{1FF26B9D-7C32-4FF8-A844-30FEC81D8D91}" presName="childText" presStyleLbl="bgAcc1" presStyleIdx="1" presStyleCnt="4">
        <dgm:presLayoutVars>
          <dgm:bulletEnabled val="1"/>
        </dgm:presLayoutVars>
      </dgm:prSet>
      <dgm:spPr/>
    </dgm:pt>
    <dgm:pt modelId="{20A8028E-67E4-4208-AC9F-7B1BC8A8A629}" type="pres">
      <dgm:prSet presAssocID="{B30B83AA-7E54-4C09-8940-F8BE5F9CC063}" presName="Name13" presStyleLbl="parChTrans1D2" presStyleIdx="2" presStyleCnt="4"/>
      <dgm:spPr/>
    </dgm:pt>
    <dgm:pt modelId="{3823ED8D-6231-4A3B-9C99-BA6C5082A73B}" type="pres">
      <dgm:prSet presAssocID="{1346BBB4-5DF9-4467-917D-716386046D4A}" presName="childText" presStyleLbl="bgAcc1" presStyleIdx="2" presStyleCnt="4">
        <dgm:presLayoutVars>
          <dgm:bulletEnabled val="1"/>
        </dgm:presLayoutVars>
      </dgm:prSet>
      <dgm:spPr/>
    </dgm:pt>
    <dgm:pt modelId="{F33DFEBA-9715-4531-9FD3-AE89A7D39E95}" type="pres">
      <dgm:prSet presAssocID="{046136D5-9E65-41BF-BE2B-98380BF7A741}" presName="root" presStyleCnt="0"/>
      <dgm:spPr/>
    </dgm:pt>
    <dgm:pt modelId="{CF5F9714-2980-4BD9-947A-00E6FB4F7D32}" type="pres">
      <dgm:prSet presAssocID="{046136D5-9E65-41BF-BE2B-98380BF7A741}" presName="rootComposite" presStyleCnt="0"/>
      <dgm:spPr/>
    </dgm:pt>
    <dgm:pt modelId="{619A3BE2-92BA-4C9E-8222-8CF509034819}" type="pres">
      <dgm:prSet presAssocID="{046136D5-9E65-41BF-BE2B-98380BF7A741}" presName="rootText" presStyleLbl="node1" presStyleIdx="2" presStyleCnt="3"/>
      <dgm:spPr/>
    </dgm:pt>
    <dgm:pt modelId="{B758E696-9519-4CA9-AAD9-F7BE62089EDE}" type="pres">
      <dgm:prSet presAssocID="{046136D5-9E65-41BF-BE2B-98380BF7A741}" presName="rootConnector" presStyleLbl="node1" presStyleIdx="2" presStyleCnt="3"/>
      <dgm:spPr/>
    </dgm:pt>
    <dgm:pt modelId="{BD06ABDF-5FBB-4C54-938E-6B3607409D82}" type="pres">
      <dgm:prSet presAssocID="{046136D5-9E65-41BF-BE2B-98380BF7A741}" presName="childShape" presStyleCnt="0"/>
      <dgm:spPr/>
    </dgm:pt>
    <dgm:pt modelId="{2C8A8BA2-FDC2-48D9-B756-961ADDA1C167}" type="pres">
      <dgm:prSet presAssocID="{576E4B21-6C2A-479D-A783-0304C10BAEAF}" presName="Name13" presStyleLbl="parChTrans1D2" presStyleIdx="3" presStyleCnt="4"/>
      <dgm:spPr/>
    </dgm:pt>
    <dgm:pt modelId="{CAF1BCC2-B388-44DD-A7D0-CBFAEF2812CF}" type="pres">
      <dgm:prSet presAssocID="{B10B4ACB-516F-4F82-A654-3890ECED0350}" presName="childText" presStyleLbl="bgAcc1" presStyleIdx="3" presStyleCnt="4" custScaleX="234953" custScaleY="408089">
        <dgm:presLayoutVars>
          <dgm:bulletEnabled val="1"/>
        </dgm:presLayoutVars>
      </dgm:prSet>
      <dgm:spPr/>
    </dgm:pt>
  </dgm:ptLst>
  <dgm:cxnLst>
    <dgm:cxn modelId="{3BCB0B09-2485-41AC-8CE3-0C1C478E3F45}" type="presOf" srcId="{1FF26B9D-7C32-4FF8-A844-30FEC81D8D91}" destId="{A8F38775-72BF-44DE-B757-24D804ACDBD5}" srcOrd="0" destOrd="0" presId="urn:microsoft.com/office/officeart/2005/8/layout/hierarchy3"/>
    <dgm:cxn modelId="{08481F09-38EE-4632-833A-F0AF22533C1D}" type="presOf" srcId="{046136D5-9E65-41BF-BE2B-98380BF7A741}" destId="{B758E696-9519-4CA9-AAD9-F7BE62089EDE}" srcOrd="1" destOrd="0" presId="urn:microsoft.com/office/officeart/2005/8/layout/hierarchy3"/>
    <dgm:cxn modelId="{3D9DE70A-3B96-4000-8F8B-E40EC8235A39}" type="presOf" srcId="{D55B10A8-2BAA-4EA6-9A34-A647C24245EE}" destId="{5365A94A-327D-4CF5-81A1-D4AA2F29E519}" srcOrd="0" destOrd="0" presId="urn:microsoft.com/office/officeart/2005/8/layout/hierarchy3"/>
    <dgm:cxn modelId="{7736010C-D0E4-43DE-96FD-E72A637CA91D}" srcId="{AD26FC59-1055-4364-AEA0-D6FC1ECCE513}" destId="{1FF26B9D-7C32-4FF8-A844-30FEC81D8D91}" srcOrd="1" destOrd="0" parTransId="{A6A757EE-F95A-49A7-9836-FE3B192650DE}" sibTransId="{780DA863-3666-46FB-AF18-6819FA8DB008}"/>
    <dgm:cxn modelId="{001B7230-7B12-4730-88CC-2913CB870ADE}" type="presOf" srcId="{AD26FC59-1055-4364-AEA0-D6FC1ECCE513}" destId="{94317B88-A1ED-4F59-AF1E-BF8A00E7AD79}" srcOrd="0" destOrd="0" presId="urn:microsoft.com/office/officeart/2005/8/layout/hierarchy3"/>
    <dgm:cxn modelId="{306AE437-63E9-4766-BF9C-57E551B6407F}" type="presOf" srcId="{B30B83AA-7E54-4C09-8940-F8BE5F9CC063}" destId="{20A8028E-67E4-4208-AC9F-7B1BC8A8A629}" srcOrd="0" destOrd="0" presId="urn:microsoft.com/office/officeart/2005/8/layout/hierarchy3"/>
    <dgm:cxn modelId="{90E1255E-91DB-46C2-8A49-2C5AFD8324C6}" type="presOf" srcId="{4E7AFF55-F224-467F-A825-C8B512DC3701}" destId="{E6E6366F-7D13-40AE-9758-38E2D8233E4F}" srcOrd="0" destOrd="0" presId="urn:microsoft.com/office/officeart/2005/8/layout/hierarchy3"/>
    <dgm:cxn modelId="{9A089541-C5E3-43D5-8CD9-1FDFF131D3E0}" srcId="{AD26FC59-1055-4364-AEA0-D6FC1ECCE513}" destId="{58FA0F1C-DB2A-49E2-BE52-8AC64F517250}" srcOrd="0" destOrd="0" parTransId="{9A9AFE8D-AC6A-42D8-8334-DC7E17764153}" sibTransId="{531975BB-3013-4C79-AA5C-FDAA76EA4B24}"/>
    <dgm:cxn modelId="{4891376E-C5E9-48A7-8822-4F62B6F432CD}" type="presOf" srcId="{046136D5-9E65-41BF-BE2B-98380BF7A741}" destId="{619A3BE2-92BA-4C9E-8222-8CF509034819}" srcOrd="0" destOrd="0" presId="urn:microsoft.com/office/officeart/2005/8/layout/hierarchy3"/>
    <dgm:cxn modelId="{53FA8174-E255-4727-9462-7D91EDB2954D}" srcId="{AD26FC59-1055-4364-AEA0-D6FC1ECCE513}" destId="{1346BBB4-5DF9-4467-917D-716386046D4A}" srcOrd="2" destOrd="0" parTransId="{B30B83AA-7E54-4C09-8940-F8BE5F9CC063}" sibTransId="{AFF12108-BA90-470A-A47D-3D63FF9A3826}"/>
    <dgm:cxn modelId="{465FBA74-B7BF-4171-BFEA-1CF5C4C8563D}" type="presOf" srcId="{A6A757EE-F95A-49A7-9836-FE3B192650DE}" destId="{6A4DDE66-8096-4A06-B195-95C7AD984DE5}" srcOrd="0" destOrd="0" presId="urn:microsoft.com/office/officeart/2005/8/layout/hierarchy3"/>
    <dgm:cxn modelId="{B176AC8B-5696-4244-AC29-D497D6E66408}" type="presOf" srcId="{B10B4ACB-516F-4F82-A654-3890ECED0350}" destId="{CAF1BCC2-B388-44DD-A7D0-CBFAEF2812CF}" srcOrd="0" destOrd="0" presId="urn:microsoft.com/office/officeart/2005/8/layout/hierarchy3"/>
    <dgm:cxn modelId="{125D758E-BFBC-4C2C-9009-77773F7552D3}" type="presOf" srcId="{AD26FC59-1055-4364-AEA0-D6FC1ECCE513}" destId="{050C355A-4342-4490-89D0-1E3EC5A22326}" srcOrd="1" destOrd="0" presId="urn:microsoft.com/office/officeart/2005/8/layout/hierarchy3"/>
    <dgm:cxn modelId="{FCD77292-4656-4C93-A9E3-CC358849725E}" srcId="{D55B10A8-2BAA-4EA6-9A34-A647C24245EE}" destId="{4E7AFF55-F224-467F-A825-C8B512DC3701}" srcOrd="0" destOrd="0" parTransId="{A9DC994C-0ACD-418D-8861-9F5B8D4CEB1B}" sibTransId="{7C61C720-FCB2-45C0-AD0D-606385D6598C}"/>
    <dgm:cxn modelId="{476C099B-05BB-4A0F-A965-18BBFE036FD7}" type="presOf" srcId="{576E4B21-6C2A-479D-A783-0304C10BAEAF}" destId="{2C8A8BA2-FDC2-48D9-B756-961ADDA1C167}" srcOrd="0" destOrd="0" presId="urn:microsoft.com/office/officeart/2005/8/layout/hierarchy3"/>
    <dgm:cxn modelId="{BE1AA1CE-AE36-4CAF-A7E3-95B3C75CCB0C}" srcId="{046136D5-9E65-41BF-BE2B-98380BF7A741}" destId="{B10B4ACB-516F-4F82-A654-3890ECED0350}" srcOrd="0" destOrd="0" parTransId="{576E4B21-6C2A-479D-A783-0304C10BAEAF}" sibTransId="{782F1A77-9D91-4891-BD28-8C49BF0DFCF3}"/>
    <dgm:cxn modelId="{30D9D1D0-CDC1-4A8D-96D8-B5927DD614A8}" type="presOf" srcId="{9A9AFE8D-AC6A-42D8-8334-DC7E17764153}" destId="{E5535CE8-8F48-492C-8037-CF91236EE60C}" srcOrd="0" destOrd="0" presId="urn:microsoft.com/office/officeart/2005/8/layout/hierarchy3"/>
    <dgm:cxn modelId="{53A485DC-49DB-40F6-910F-30F7705B91A3}" type="presOf" srcId="{4E7AFF55-F224-467F-A825-C8B512DC3701}" destId="{D9FB0B0B-8856-493C-A6A4-C8D8910AA13B}" srcOrd="1" destOrd="0" presId="urn:microsoft.com/office/officeart/2005/8/layout/hierarchy3"/>
    <dgm:cxn modelId="{30CDE3F0-1BDB-451A-9061-EEC9D6A617F1}" type="presOf" srcId="{58FA0F1C-DB2A-49E2-BE52-8AC64F517250}" destId="{D4351BCC-E5A3-41EB-B931-FB5C1BC08AF1}" srcOrd="0" destOrd="0" presId="urn:microsoft.com/office/officeart/2005/8/layout/hierarchy3"/>
    <dgm:cxn modelId="{DF48E5F1-0869-4A8F-8EC4-7FE6B2040F81}" srcId="{D55B10A8-2BAA-4EA6-9A34-A647C24245EE}" destId="{AD26FC59-1055-4364-AEA0-D6FC1ECCE513}" srcOrd="1" destOrd="0" parTransId="{ACF2D06F-D28B-443E-B06C-51970F49AFA7}" sibTransId="{DA0D5F49-87BF-471D-85D1-954451569B7C}"/>
    <dgm:cxn modelId="{587088F4-E37D-415C-8FCD-81EBFE4A5CC0}" srcId="{D55B10A8-2BAA-4EA6-9A34-A647C24245EE}" destId="{046136D5-9E65-41BF-BE2B-98380BF7A741}" srcOrd="2" destOrd="0" parTransId="{623F8E8B-0CC9-443D-BB59-2BAFCBA51D02}" sibTransId="{53E2186B-F7B5-46A5-9A2F-6FD0BD8F4D45}"/>
    <dgm:cxn modelId="{E4C25DFF-AABA-46F7-848E-EAA040D16DE4}" type="presOf" srcId="{1346BBB4-5DF9-4467-917D-716386046D4A}" destId="{3823ED8D-6231-4A3B-9C99-BA6C5082A73B}" srcOrd="0" destOrd="0" presId="urn:microsoft.com/office/officeart/2005/8/layout/hierarchy3"/>
    <dgm:cxn modelId="{998ACD9A-90CB-475A-B43D-AF9D92E9853C}" type="presParOf" srcId="{5365A94A-327D-4CF5-81A1-D4AA2F29E519}" destId="{CACADC6C-C450-4CA8-99CB-4233110C31CA}" srcOrd="0" destOrd="0" presId="urn:microsoft.com/office/officeart/2005/8/layout/hierarchy3"/>
    <dgm:cxn modelId="{4AAF09B7-0998-469D-BF85-D324434C205D}" type="presParOf" srcId="{CACADC6C-C450-4CA8-99CB-4233110C31CA}" destId="{E1030239-FE0A-4AC1-B582-945C62B077AA}" srcOrd="0" destOrd="0" presId="urn:microsoft.com/office/officeart/2005/8/layout/hierarchy3"/>
    <dgm:cxn modelId="{1B6A6B71-EB12-453B-986D-BA3D83B7E83F}" type="presParOf" srcId="{E1030239-FE0A-4AC1-B582-945C62B077AA}" destId="{E6E6366F-7D13-40AE-9758-38E2D8233E4F}" srcOrd="0" destOrd="0" presId="urn:microsoft.com/office/officeart/2005/8/layout/hierarchy3"/>
    <dgm:cxn modelId="{2A8BE700-CB1E-4DF2-878F-5575D8BA2EE1}" type="presParOf" srcId="{E1030239-FE0A-4AC1-B582-945C62B077AA}" destId="{D9FB0B0B-8856-493C-A6A4-C8D8910AA13B}" srcOrd="1" destOrd="0" presId="urn:microsoft.com/office/officeart/2005/8/layout/hierarchy3"/>
    <dgm:cxn modelId="{187C0403-066F-4D95-9657-C7EC0CD5225E}" type="presParOf" srcId="{CACADC6C-C450-4CA8-99CB-4233110C31CA}" destId="{9BD94FE0-1D61-45A6-84D7-CBA4ABC97993}" srcOrd="1" destOrd="0" presId="urn:microsoft.com/office/officeart/2005/8/layout/hierarchy3"/>
    <dgm:cxn modelId="{EF3E51D3-678A-4B90-AA64-845623642656}" type="presParOf" srcId="{5365A94A-327D-4CF5-81A1-D4AA2F29E519}" destId="{747FB84A-CFD6-4697-A3C4-20D886FF751F}" srcOrd="1" destOrd="0" presId="urn:microsoft.com/office/officeart/2005/8/layout/hierarchy3"/>
    <dgm:cxn modelId="{F220AFB4-E84F-41C8-B22E-4D141967E77B}" type="presParOf" srcId="{747FB84A-CFD6-4697-A3C4-20D886FF751F}" destId="{F9D453E4-E1B2-462C-B1FF-8B39BD637AA0}" srcOrd="0" destOrd="0" presId="urn:microsoft.com/office/officeart/2005/8/layout/hierarchy3"/>
    <dgm:cxn modelId="{1CFB952E-BE60-4BA1-AE2D-8570A591529A}" type="presParOf" srcId="{F9D453E4-E1B2-462C-B1FF-8B39BD637AA0}" destId="{94317B88-A1ED-4F59-AF1E-BF8A00E7AD79}" srcOrd="0" destOrd="0" presId="urn:microsoft.com/office/officeart/2005/8/layout/hierarchy3"/>
    <dgm:cxn modelId="{20446C70-360C-4D37-BA92-AFC165CC4D8F}" type="presParOf" srcId="{F9D453E4-E1B2-462C-B1FF-8B39BD637AA0}" destId="{050C355A-4342-4490-89D0-1E3EC5A22326}" srcOrd="1" destOrd="0" presId="urn:microsoft.com/office/officeart/2005/8/layout/hierarchy3"/>
    <dgm:cxn modelId="{43E2D2F8-1EE0-4685-81E2-660377044764}" type="presParOf" srcId="{747FB84A-CFD6-4697-A3C4-20D886FF751F}" destId="{9BEE08B1-37EF-40D5-8AFC-C3182297CE30}" srcOrd="1" destOrd="0" presId="urn:microsoft.com/office/officeart/2005/8/layout/hierarchy3"/>
    <dgm:cxn modelId="{EC7D47F4-AD42-4F9F-BE04-85E3A373E25F}" type="presParOf" srcId="{9BEE08B1-37EF-40D5-8AFC-C3182297CE30}" destId="{E5535CE8-8F48-492C-8037-CF91236EE60C}" srcOrd="0" destOrd="0" presId="urn:microsoft.com/office/officeart/2005/8/layout/hierarchy3"/>
    <dgm:cxn modelId="{8D67B95A-04D6-4885-A637-C18AC1D7CAAD}" type="presParOf" srcId="{9BEE08B1-37EF-40D5-8AFC-C3182297CE30}" destId="{D4351BCC-E5A3-41EB-B931-FB5C1BC08AF1}" srcOrd="1" destOrd="0" presId="urn:microsoft.com/office/officeart/2005/8/layout/hierarchy3"/>
    <dgm:cxn modelId="{E716D459-530F-4014-966A-E383316E38B7}" type="presParOf" srcId="{9BEE08B1-37EF-40D5-8AFC-C3182297CE30}" destId="{6A4DDE66-8096-4A06-B195-95C7AD984DE5}" srcOrd="2" destOrd="0" presId="urn:microsoft.com/office/officeart/2005/8/layout/hierarchy3"/>
    <dgm:cxn modelId="{4AC6404D-FD1C-425A-8D68-632CDA3B6A5D}" type="presParOf" srcId="{9BEE08B1-37EF-40D5-8AFC-C3182297CE30}" destId="{A8F38775-72BF-44DE-B757-24D804ACDBD5}" srcOrd="3" destOrd="0" presId="urn:microsoft.com/office/officeart/2005/8/layout/hierarchy3"/>
    <dgm:cxn modelId="{1D48EA83-3402-449D-B472-2A636C333CBF}" type="presParOf" srcId="{9BEE08B1-37EF-40D5-8AFC-C3182297CE30}" destId="{20A8028E-67E4-4208-AC9F-7B1BC8A8A629}" srcOrd="4" destOrd="0" presId="urn:microsoft.com/office/officeart/2005/8/layout/hierarchy3"/>
    <dgm:cxn modelId="{0D1FD17B-21A3-4837-8AB1-33BDD6290397}" type="presParOf" srcId="{9BEE08B1-37EF-40D5-8AFC-C3182297CE30}" destId="{3823ED8D-6231-4A3B-9C99-BA6C5082A73B}" srcOrd="5" destOrd="0" presId="urn:microsoft.com/office/officeart/2005/8/layout/hierarchy3"/>
    <dgm:cxn modelId="{B514EF14-3DD5-4F20-B4EC-FAD56FD58B33}" type="presParOf" srcId="{5365A94A-327D-4CF5-81A1-D4AA2F29E519}" destId="{F33DFEBA-9715-4531-9FD3-AE89A7D39E95}" srcOrd="2" destOrd="0" presId="urn:microsoft.com/office/officeart/2005/8/layout/hierarchy3"/>
    <dgm:cxn modelId="{C13156D8-905A-45F2-ABAD-B7CF605299D8}" type="presParOf" srcId="{F33DFEBA-9715-4531-9FD3-AE89A7D39E95}" destId="{CF5F9714-2980-4BD9-947A-00E6FB4F7D32}" srcOrd="0" destOrd="0" presId="urn:microsoft.com/office/officeart/2005/8/layout/hierarchy3"/>
    <dgm:cxn modelId="{22065066-0AC5-433A-BF5D-1BDC5C6D83BB}" type="presParOf" srcId="{CF5F9714-2980-4BD9-947A-00E6FB4F7D32}" destId="{619A3BE2-92BA-4C9E-8222-8CF509034819}" srcOrd="0" destOrd="0" presId="urn:microsoft.com/office/officeart/2005/8/layout/hierarchy3"/>
    <dgm:cxn modelId="{F7B94948-C07B-48C9-8EC4-D63667C95504}" type="presParOf" srcId="{CF5F9714-2980-4BD9-947A-00E6FB4F7D32}" destId="{B758E696-9519-4CA9-AAD9-F7BE62089EDE}" srcOrd="1" destOrd="0" presId="urn:microsoft.com/office/officeart/2005/8/layout/hierarchy3"/>
    <dgm:cxn modelId="{9DCCC007-C557-4F34-B691-81684191866E}" type="presParOf" srcId="{F33DFEBA-9715-4531-9FD3-AE89A7D39E95}" destId="{BD06ABDF-5FBB-4C54-938E-6B3607409D82}" srcOrd="1" destOrd="0" presId="urn:microsoft.com/office/officeart/2005/8/layout/hierarchy3"/>
    <dgm:cxn modelId="{DA1E04CC-EB00-4BFD-BF32-043E1B9AD9E0}" type="presParOf" srcId="{BD06ABDF-5FBB-4C54-938E-6B3607409D82}" destId="{2C8A8BA2-FDC2-48D9-B756-961ADDA1C167}" srcOrd="0" destOrd="0" presId="urn:microsoft.com/office/officeart/2005/8/layout/hierarchy3"/>
    <dgm:cxn modelId="{C829EBF8-061A-4416-85FD-1D52553D3E7E}" type="presParOf" srcId="{BD06ABDF-5FBB-4C54-938E-6B3607409D82}" destId="{CAF1BCC2-B388-44DD-A7D0-CBFAEF2812CF}" srcOrd="1" destOrd="0" presId="urn:microsoft.com/office/officeart/2005/8/layout/hierarchy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E6366F-7D13-40AE-9758-38E2D8233E4F}">
      <dsp:nvSpPr>
        <dsp:cNvPr id="0" name=""/>
        <dsp:cNvSpPr/>
      </dsp:nvSpPr>
      <dsp:spPr>
        <a:xfrm>
          <a:off x="233463" y="917"/>
          <a:ext cx="1123776" cy="5618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t-EE" sz="1000" kern="1200" noProof="0" dirty="0">
              <a:latin typeface="Roboto" panose="02000000000000000000" pitchFamily="2" charset="0"/>
              <a:ea typeface="Roboto" panose="02000000000000000000" pitchFamily="2" charset="0"/>
            </a:rPr>
            <a:t>Nn tavapärased </a:t>
          </a:r>
          <a:r>
            <a:rPr lang="et-EE" sz="1000" kern="1200" noProof="0" dirty="0" err="1">
              <a:latin typeface="Roboto" panose="02000000000000000000" pitchFamily="2" charset="0"/>
              <a:ea typeface="Roboto" panose="02000000000000000000" pitchFamily="2" charset="0"/>
            </a:rPr>
            <a:t>krüptovara</a:t>
          </a:r>
          <a:r>
            <a:rPr lang="et-EE" sz="1000" kern="1200" noProof="0" dirty="0">
              <a:latin typeface="Roboto" panose="02000000000000000000" pitchFamily="2" charset="0"/>
              <a:ea typeface="Roboto" panose="02000000000000000000" pitchFamily="2" charset="0"/>
            </a:rPr>
            <a:t> emitendid</a:t>
          </a:r>
          <a:endParaRPr lang="en-US" sz="1000" kern="1200" noProof="0" dirty="0">
            <a:latin typeface="Roboto" panose="02000000000000000000" pitchFamily="2" charset="0"/>
            <a:ea typeface="Roboto" panose="02000000000000000000" pitchFamily="2" charset="0"/>
          </a:endParaRPr>
        </a:p>
      </dsp:txBody>
      <dsp:txXfrm>
        <a:off x="249920" y="17374"/>
        <a:ext cx="1090862" cy="528974"/>
      </dsp:txXfrm>
    </dsp:sp>
    <dsp:sp modelId="{94317B88-A1ED-4F59-AF1E-BF8A00E7AD79}">
      <dsp:nvSpPr>
        <dsp:cNvPr id="0" name=""/>
        <dsp:cNvSpPr/>
      </dsp:nvSpPr>
      <dsp:spPr>
        <a:xfrm>
          <a:off x="1638183" y="917"/>
          <a:ext cx="1123776" cy="5618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noProof="0" dirty="0">
              <a:latin typeface="Roboto" panose="02000000000000000000" pitchFamily="2" charset="0"/>
              <a:ea typeface="Roboto" panose="02000000000000000000" pitchFamily="2" charset="0"/>
            </a:rPr>
            <a:t>Stablecoin</a:t>
          </a:r>
          <a:r>
            <a:rPr lang="et-EE" sz="1000" kern="1200" noProof="0" dirty="0">
              <a:latin typeface="Roboto" panose="02000000000000000000" pitchFamily="2" charset="0"/>
              <a:ea typeface="Roboto" panose="02000000000000000000" pitchFamily="2" charset="0"/>
            </a:rPr>
            <a:t>’de</a:t>
          </a:r>
          <a:r>
            <a:rPr lang="en-US" sz="1000" kern="1200" noProof="0" dirty="0">
              <a:latin typeface="Roboto" panose="02000000000000000000" pitchFamily="2" charset="0"/>
              <a:ea typeface="Roboto" panose="02000000000000000000" pitchFamily="2" charset="0"/>
            </a:rPr>
            <a:t> </a:t>
          </a:r>
          <a:r>
            <a:rPr lang="et-EE" sz="1000" kern="1200" noProof="0" dirty="0">
              <a:latin typeface="Roboto" panose="02000000000000000000" pitchFamily="2" charset="0"/>
              <a:ea typeface="Roboto" panose="02000000000000000000" pitchFamily="2" charset="0"/>
            </a:rPr>
            <a:t>emitendid</a:t>
          </a:r>
          <a:endParaRPr lang="en-US" sz="1000" kern="1200" noProof="0" dirty="0">
            <a:latin typeface="Roboto" panose="02000000000000000000" pitchFamily="2" charset="0"/>
            <a:ea typeface="Roboto" panose="02000000000000000000" pitchFamily="2" charset="0"/>
          </a:endParaRPr>
        </a:p>
      </dsp:txBody>
      <dsp:txXfrm>
        <a:off x="1654640" y="17374"/>
        <a:ext cx="1090862" cy="528974"/>
      </dsp:txXfrm>
    </dsp:sp>
    <dsp:sp modelId="{E5535CE8-8F48-492C-8037-CF91236EE60C}">
      <dsp:nvSpPr>
        <dsp:cNvPr id="0" name=""/>
        <dsp:cNvSpPr/>
      </dsp:nvSpPr>
      <dsp:spPr>
        <a:xfrm>
          <a:off x="1750561" y="562806"/>
          <a:ext cx="112377" cy="421416"/>
        </a:xfrm>
        <a:custGeom>
          <a:avLst/>
          <a:gdLst/>
          <a:ahLst/>
          <a:cxnLst/>
          <a:rect l="0" t="0" r="0" b="0"/>
          <a:pathLst>
            <a:path>
              <a:moveTo>
                <a:pt x="0" y="0"/>
              </a:moveTo>
              <a:lnTo>
                <a:pt x="0" y="421416"/>
              </a:lnTo>
              <a:lnTo>
                <a:pt x="112377" y="4214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351BCC-E5A3-41EB-B931-FB5C1BC08AF1}">
      <dsp:nvSpPr>
        <dsp:cNvPr id="0" name=""/>
        <dsp:cNvSpPr/>
      </dsp:nvSpPr>
      <dsp:spPr>
        <a:xfrm>
          <a:off x="1862939" y="703278"/>
          <a:ext cx="899021" cy="5618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t-EE" sz="900" kern="1200" noProof="0" dirty="0">
              <a:latin typeface="Roboto" panose="02000000000000000000" pitchFamily="2" charset="0"/>
              <a:ea typeface="Roboto" panose="02000000000000000000" pitchFamily="2" charset="0"/>
            </a:rPr>
            <a:t>Varaga tagatud </a:t>
          </a:r>
          <a:r>
            <a:rPr lang="et-EE" sz="900" kern="1200" noProof="0" dirty="0" err="1">
              <a:latin typeface="Roboto" panose="02000000000000000000" pitchFamily="2" charset="0"/>
              <a:ea typeface="Roboto" panose="02000000000000000000" pitchFamily="2" charset="0"/>
            </a:rPr>
            <a:t>token’te</a:t>
          </a:r>
          <a:r>
            <a:rPr lang="et-EE" sz="900" kern="1200" noProof="0" dirty="0">
              <a:latin typeface="Roboto" panose="02000000000000000000" pitchFamily="2" charset="0"/>
              <a:ea typeface="Roboto" panose="02000000000000000000" pitchFamily="2" charset="0"/>
            </a:rPr>
            <a:t> (a</a:t>
          </a:r>
          <a:r>
            <a:rPr lang="en-US" sz="900" kern="1200" noProof="0" dirty="0" err="1">
              <a:latin typeface="Roboto" panose="02000000000000000000" pitchFamily="2" charset="0"/>
              <a:ea typeface="Roboto" panose="02000000000000000000" pitchFamily="2" charset="0"/>
            </a:rPr>
            <a:t>sset</a:t>
          </a:r>
          <a:r>
            <a:rPr lang="en-US" sz="900" kern="1200" noProof="0" dirty="0">
              <a:latin typeface="Roboto" panose="02000000000000000000" pitchFamily="2" charset="0"/>
              <a:ea typeface="Roboto" panose="02000000000000000000" pitchFamily="2" charset="0"/>
            </a:rPr>
            <a:t> reference tokens</a:t>
          </a:r>
          <a:r>
            <a:rPr lang="et-EE" sz="900" kern="1200" noProof="0" dirty="0">
              <a:latin typeface="Roboto" panose="02000000000000000000" pitchFamily="2" charset="0"/>
              <a:ea typeface="Roboto" panose="02000000000000000000" pitchFamily="2" charset="0"/>
            </a:rPr>
            <a:t> – </a:t>
          </a:r>
          <a:r>
            <a:rPr lang="et-EE" sz="900" kern="1200" noProof="0" dirty="0" err="1">
              <a:latin typeface="Roboto" panose="02000000000000000000" pitchFamily="2" charset="0"/>
              <a:ea typeface="Roboto" panose="02000000000000000000" pitchFamily="2" charset="0"/>
            </a:rPr>
            <a:t>ART’s</a:t>
          </a:r>
          <a:r>
            <a:rPr lang="en-US" sz="900" kern="1200" noProof="0" dirty="0">
              <a:latin typeface="Roboto" panose="02000000000000000000" pitchFamily="2" charset="0"/>
              <a:ea typeface="Roboto" panose="02000000000000000000" pitchFamily="2" charset="0"/>
            </a:rPr>
            <a:t>)</a:t>
          </a:r>
          <a:r>
            <a:rPr lang="et-EE" sz="900" kern="1200" noProof="0" dirty="0">
              <a:latin typeface="Roboto" panose="02000000000000000000" pitchFamily="2" charset="0"/>
              <a:ea typeface="Roboto" panose="02000000000000000000" pitchFamily="2" charset="0"/>
            </a:rPr>
            <a:t> emitendid</a:t>
          </a:r>
          <a:endParaRPr lang="en-US" sz="900" kern="1200" noProof="0" dirty="0">
            <a:latin typeface="Roboto" panose="02000000000000000000" pitchFamily="2" charset="0"/>
            <a:ea typeface="Roboto" panose="02000000000000000000" pitchFamily="2" charset="0"/>
          </a:endParaRPr>
        </a:p>
      </dsp:txBody>
      <dsp:txXfrm>
        <a:off x="1879396" y="719735"/>
        <a:ext cx="866107" cy="528974"/>
      </dsp:txXfrm>
    </dsp:sp>
    <dsp:sp modelId="{6A4DDE66-8096-4A06-B195-95C7AD984DE5}">
      <dsp:nvSpPr>
        <dsp:cNvPr id="0" name=""/>
        <dsp:cNvSpPr/>
      </dsp:nvSpPr>
      <dsp:spPr>
        <a:xfrm>
          <a:off x="1750561" y="562806"/>
          <a:ext cx="112377" cy="1123776"/>
        </a:xfrm>
        <a:custGeom>
          <a:avLst/>
          <a:gdLst/>
          <a:ahLst/>
          <a:cxnLst/>
          <a:rect l="0" t="0" r="0" b="0"/>
          <a:pathLst>
            <a:path>
              <a:moveTo>
                <a:pt x="0" y="0"/>
              </a:moveTo>
              <a:lnTo>
                <a:pt x="0" y="1123776"/>
              </a:lnTo>
              <a:lnTo>
                <a:pt x="112377" y="11237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F38775-72BF-44DE-B757-24D804ACDBD5}">
      <dsp:nvSpPr>
        <dsp:cNvPr id="0" name=""/>
        <dsp:cNvSpPr/>
      </dsp:nvSpPr>
      <dsp:spPr>
        <a:xfrm>
          <a:off x="1862939" y="1405638"/>
          <a:ext cx="899021" cy="5618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t-EE" sz="900" kern="1200" noProof="0" dirty="0">
              <a:latin typeface="Roboto" panose="02000000000000000000" pitchFamily="2" charset="0"/>
              <a:ea typeface="Roboto" panose="02000000000000000000" pitchFamily="2" charset="0"/>
            </a:rPr>
            <a:t>E-raha </a:t>
          </a:r>
          <a:r>
            <a:rPr lang="et-EE" sz="900" kern="1200" noProof="0" dirty="0" err="1">
              <a:latin typeface="Roboto" panose="02000000000000000000" pitchFamily="2" charset="0"/>
              <a:ea typeface="Roboto" panose="02000000000000000000" pitchFamily="2" charset="0"/>
            </a:rPr>
            <a:t>token’te</a:t>
          </a:r>
          <a:r>
            <a:rPr lang="et-EE" sz="900" kern="1200" noProof="0" dirty="0">
              <a:latin typeface="Roboto" panose="02000000000000000000" pitchFamily="2" charset="0"/>
              <a:ea typeface="Roboto" panose="02000000000000000000" pitchFamily="2" charset="0"/>
            </a:rPr>
            <a:t> (</a:t>
          </a:r>
          <a:r>
            <a:rPr lang="en-US" sz="900" kern="1200" noProof="0" dirty="0">
              <a:latin typeface="Roboto" panose="02000000000000000000" pitchFamily="2" charset="0"/>
              <a:ea typeface="Roboto" panose="02000000000000000000" pitchFamily="2" charset="0"/>
            </a:rPr>
            <a:t>E-money tokens</a:t>
          </a:r>
          <a:r>
            <a:rPr lang="et-EE" sz="900" kern="1200" noProof="0" dirty="0">
              <a:latin typeface="Roboto" panose="02000000000000000000" pitchFamily="2" charset="0"/>
              <a:ea typeface="Roboto" panose="02000000000000000000" pitchFamily="2" charset="0"/>
            </a:rPr>
            <a:t>) emitendid</a:t>
          </a:r>
          <a:endParaRPr lang="en-US" sz="900" kern="1200" noProof="0" dirty="0">
            <a:latin typeface="Roboto" panose="02000000000000000000" pitchFamily="2" charset="0"/>
            <a:ea typeface="Roboto" panose="02000000000000000000" pitchFamily="2" charset="0"/>
          </a:endParaRPr>
        </a:p>
      </dsp:txBody>
      <dsp:txXfrm>
        <a:off x="1879396" y="1422095"/>
        <a:ext cx="866107" cy="528974"/>
      </dsp:txXfrm>
    </dsp:sp>
    <dsp:sp modelId="{20A8028E-67E4-4208-AC9F-7B1BC8A8A629}">
      <dsp:nvSpPr>
        <dsp:cNvPr id="0" name=""/>
        <dsp:cNvSpPr/>
      </dsp:nvSpPr>
      <dsp:spPr>
        <a:xfrm>
          <a:off x="1750561" y="562806"/>
          <a:ext cx="112377" cy="1826136"/>
        </a:xfrm>
        <a:custGeom>
          <a:avLst/>
          <a:gdLst/>
          <a:ahLst/>
          <a:cxnLst/>
          <a:rect l="0" t="0" r="0" b="0"/>
          <a:pathLst>
            <a:path>
              <a:moveTo>
                <a:pt x="0" y="0"/>
              </a:moveTo>
              <a:lnTo>
                <a:pt x="0" y="1826136"/>
              </a:lnTo>
              <a:lnTo>
                <a:pt x="112377" y="18261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23ED8D-6231-4A3B-9C99-BA6C5082A73B}">
      <dsp:nvSpPr>
        <dsp:cNvPr id="0" name=""/>
        <dsp:cNvSpPr/>
      </dsp:nvSpPr>
      <dsp:spPr>
        <a:xfrm>
          <a:off x="1862939" y="2107998"/>
          <a:ext cx="899021" cy="5618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t-EE" sz="900" kern="1200" noProof="0" dirty="0">
              <a:latin typeface="Roboto" panose="02000000000000000000" pitchFamily="2" charset="0"/>
              <a:ea typeface="Roboto" panose="02000000000000000000" pitchFamily="2" charset="0"/>
            </a:rPr>
            <a:t>Suuremahuliste</a:t>
          </a:r>
          <a:r>
            <a:rPr lang="en-US" sz="900" kern="1200" noProof="0" dirty="0">
              <a:latin typeface="Roboto" panose="02000000000000000000" pitchFamily="2" charset="0"/>
              <a:ea typeface="Roboto" panose="02000000000000000000" pitchFamily="2" charset="0"/>
            </a:rPr>
            <a:t> ART-</a:t>
          </a:r>
          <a:r>
            <a:rPr lang="et-EE" sz="900" kern="1200" noProof="0" dirty="0">
              <a:latin typeface="Roboto" panose="02000000000000000000" pitchFamily="2" charset="0"/>
              <a:ea typeface="Roboto" panose="02000000000000000000" pitchFamily="2" charset="0"/>
            </a:rPr>
            <a:t>de</a:t>
          </a:r>
          <a:r>
            <a:rPr lang="en-US" sz="900" kern="1200" noProof="0" dirty="0">
              <a:latin typeface="Roboto" panose="02000000000000000000" pitchFamily="2" charset="0"/>
              <a:ea typeface="Roboto" panose="02000000000000000000" pitchFamily="2" charset="0"/>
            </a:rPr>
            <a:t> </a:t>
          </a:r>
          <a:r>
            <a:rPr lang="et-EE" sz="900" kern="1200" noProof="0" dirty="0">
              <a:latin typeface="Roboto" panose="02000000000000000000" pitchFamily="2" charset="0"/>
              <a:ea typeface="Roboto" panose="02000000000000000000" pitchFamily="2" charset="0"/>
            </a:rPr>
            <a:t>ja</a:t>
          </a:r>
          <a:r>
            <a:rPr lang="en-US" sz="900" kern="1200" noProof="0" dirty="0">
              <a:latin typeface="Roboto" panose="02000000000000000000" pitchFamily="2" charset="0"/>
              <a:ea typeface="Roboto" panose="02000000000000000000" pitchFamily="2" charset="0"/>
            </a:rPr>
            <a:t> </a:t>
          </a:r>
          <a:r>
            <a:rPr lang="et-EE" sz="900" kern="1200" noProof="0" dirty="0">
              <a:latin typeface="Roboto" panose="02000000000000000000" pitchFamily="2" charset="0"/>
              <a:ea typeface="Roboto" panose="02000000000000000000" pitchFamily="2" charset="0"/>
            </a:rPr>
            <a:t>e-raha</a:t>
          </a:r>
          <a:r>
            <a:rPr lang="en-US" sz="900" kern="1200" noProof="0" dirty="0">
              <a:latin typeface="Roboto" panose="02000000000000000000" pitchFamily="2" charset="0"/>
              <a:ea typeface="Roboto" panose="02000000000000000000" pitchFamily="2" charset="0"/>
            </a:rPr>
            <a:t> token</a:t>
          </a:r>
          <a:r>
            <a:rPr lang="et-EE" sz="900" kern="1200" noProof="0" dirty="0">
              <a:latin typeface="Roboto" panose="02000000000000000000" pitchFamily="2" charset="0"/>
              <a:ea typeface="Roboto" panose="02000000000000000000" pitchFamily="2" charset="0"/>
            </a:rPr>
            <a:t>’te</a:t>
          </a:r>
          <a:r>
            <a:rPr lang="en-US" sz="900" kern="1200" noProof="0" dirty="0">
              <a:latin typeface="Roboto" panose="02000000000000000000" pitchFamily="2" charset="0"/>
              <a:ea typeface="Roboto" panose="02000000000000000000" pitchFamily="2" charset="0"/>
            </a:rPr>
            <a:t> </a:t>
          </a:r>
          <a:r>
            <a:rPr lang="et-EE" sz="900" kern="1200" noProof="0" dirty="0">
              <a:latin typeface="Roboto" panose="02000000000000000000" pitchFamily="2" charset="0"/>
              <a:ea typeface="Roboto" panose="02000000000000000000" pitchFamily="2" charset="0"/>
            </a:rPr>
            <a:t>emitendid</a:t>
          </a:r>
          <a:endParaRPr lang="en-US" sz="900" kern="1200" noProof="0" dirty="0">
            <a:latin typeface="Roboto" panose="02000000000000000000" pitchFamily="2" charset="0"/>
            <a:ea typeface="Roboto" panose="02000000000000000000" pitchFamily="2" charset="0"/>
          </a:endParaRPr>
        </a:p>
      </dsp:txBody>
      <dsp:txXfrm>
        <a:off x="1879396" y="2124455"/>
        <a:ext cx="866107" cy="528974"/>
      </dsp:txXfrm>
    </dsp:sp>
    <dsp:sp modelId="{619A3BE2-92BA-4C9E-8222-8CF509034819}">
      <dsp:nvSpPr>
        <dsp:cNvPr id="0" name=""/>
        <dsp:cNvSpPr/>
      </dsp:nvSpPr>
      <dsp:spPr>
        <a:xfrm>
          <a:off x="3042904" y="917"/>
          <a:ext cx="1123776" cy="5618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t-EE" sz="1000" kern="1200" noProof="0" dirty="0" err="1">
              <a:latin typeface="Roboto" panose="02000000000000000000" pitchFamily="2" charset="0"/>
              <a:ea typeface="Roboto" panose="02000000000000000000" pitchFamily="2" charset="0"/>
            </a:rPr>
            <a:t>Krüptovara-teenuste</a:t>
          </a:r>
          <a:r>
            <a:rPr lang="et-EE" sz="1000" kern="1200" noProof="0" dirty="0">
              <a:latin typeface="Roboto" panose="02000000000000000000" pitchFamily="2" charset="0"/>
              <a:ea typeface="Roboto" panose="02000000000000000000" pitchFamily="2" charset="0"/>
            </a:rPr>
            <a:t> osutajad</a:t>
          </a:r>
          <a:endParaRPr lang="en-US" sz="1000" kern="1200" noProof="0" dirty="0">
            <a:latin typeface="Roboto" panose="02000000000000000000" pitchFamily="2" charset="0"/>
            <a:ea typeface="Roboto" panose="02000000000000000000" pitchFamily="2" charset="0"/>
          </a:endParaRPr>
        </a:p>
      </dsp:txBody>
      <dsp:txXfrm>
        <a:off x="3059361" y="17374"/>
        <a:ext cx="1090862" cy="528974"/>
      </dsp:txXfrm>
    </dsp:sp>
    <dsp:sp modelId="{2C8A8BA2-FDC2-48D9-B756-961ADDA1C167}">
      <dsp:nvSpPr>
        <dsp:cNvPr id="0" name=""/>
        <dsp:cNvSpPr/>
      </dsp:nvSpPr>
      <dsp:spPr>
        <a:xfrm>
          <a:off x="3155281" y="562806"/>
          <a:ext cx="112377" cy="1286973"/>
        </a:xfrm>
        <a:custGeom>
          <a:avLst/>
          <a:gdLst/>
          <a:ahLst/>
          <a:cxnLst/>
          <a:rect l="0" t="0" r="0" b="0"/>
          <a:pathLst>
            <a:path>
              <a:moveTo>
                <a:pt x="0" y="0"/>
              </a:moveTo>
              <a:lnTo>
                <a:pt x="0" y="1286973"/>
              </a:lnTo>
              <a:lnTo>
                <a:pt x="112377" y="12869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F1BCC2-B388-44DD-A7D0-CBFAEF2812CF}">
      <dsp:nvSpPr>
        <dsp:cNvPr id="0" name=""/>
        <dsp:cNvSpPr/>
      </dsp:nvSpPr>
      <dsp:spPr>
        <a:xfrm>
          <a:off x="3267659" y="703278"/>
          <a:ext cx="2112277" cy="229300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Wingdings" panose="05000000000000000000" pitchFamily="2" charset="2"/>
            <a:buNone/>
          </a:pPr>
          <a:r>
            <a:rPr lang="et-EE" sz="900" kern="1200" dirty="0">
              <a:latin typeface="Roboto" panose="02000000000000000000" pitchFamily="2" charset="0"/>
              <a:ea typeface="Roboto" panose="02000000000000000000" pitchFamily="2" charset="0"/>
            </a:rPr>
            <a:t>TEENUSTE LIIGITUS:</a:t>
          </a:r>
        </a:p>
        <a:p>
          <a:pPr marL="0" lvl="0" indent="0" algn="ctr" defTabSz="400050">
            <a:lnSpc>
              <a:spcPct val="90000"/>
            </a:lnSpc>
            <a:spcBef>
              <a:spcPct val="0"/>
            </a:spcBef>
            <a:spcAft>
              <a:spcPct val="35000"/>
            </a:spcAft>
            <a:buFont typeface="Wingdings" panose="05000000000000000000" pitchFamily="2" charset="2"/>
            <a:buNone/>
          </a:pPr>
          <a:r>
            <a:rPr lang="et-EE" sz="900" kern="1200" dirty="0">
              <a:solidFill>
                <a:sysClr val="windowText" lastClr="000000"/>
              </a:solidFill>
              <a:latin typeface="Roboto" panose="02000000000000000000" pitchFamily="2" charset="0"/>
              <a:ea typeface="Roboto" panose="02000000000000000000" pitchFamily="2" charset="0"/>
            </a:rPr>
            <a:t>1. tehingukorralduste vastuvõtmine</a:t>
          </a:r>
          <a:endParaRPr lang="en-US" sz="900" kern="1200" dirty="0">
            <a:solidFill>
              <a:sysClr val="windowText" lastClr="000000"/>
            </a:solidFill>
            <a:latin typeface="Roboto" panose="02000000000000000000" pitchFamily="2" charset="0"/>
            <a:ea typeface="Roboto" panose="02000000000000000000" pitchFamily="2" charset="0"/>
          </a:endParaRPr>
        </a:p>
        <a:p>
          <a:pPr marL="0" lvl="0" indent="0" algn="ctr" defTabSz="400050">
            <a:lnSpc>
              <a:spcPct val="90000"/>
            </a:lnSpc>
            <a:spcBef>
              <a:spcPct val="0"/>
            </a:spcBef>
            <a:spcAft>
              <a:spcPct val="35000"/>
            </a:spcAft>
            <a:buFont typeface="Wingdings" panose="05000000000000000000" pitchFamily="2" charset="2"/>
            <a:buNone/>
          </a:pPr>
          <a:r>
            <a:rPr lang="et-EE" sz="900" kern="1200" dirty="0">
              <a:solidFill>
                <a:sysClr val="windowText" lastClr="000000"/>
              </a:solidFill>
              <a:latin typeface="Roboto" panose="02000000000000000000" pitchFamily="2" charset="0"/>
              <a:ea typeface="Roboto" panose="02000000000000000000" pitchFamily="2" charset="0"/>
            </a:rPr>
            <a:t>2. nõustamine</a:t>
          </a:r>
          <a:endParaRPr lang="en-US" sz="900" kern="1200" dirty="0">
            <a:solidFill>
              <a:sysClr val="windowText" lastClr="000000"/>
            </a:solidFill>
            <a:latin typeface="Roboto" panose="02000000000000000000" pitchFamily="2" charset="0"/>
            <a:ea typeface="Roboto" panose="02000000000000000000" pitchFamily="2" charset="0"/>
          </a:endParaRPr>
        </a:p>
        <a:p>
          <a:pPr marL="0" lvl="0" indent="0" algn="ctr" defTabSz="400050">
            <a:lnSpc>
              <a:spcPct val="90000"/>
            </a:lnSpc>
            <a:spcBef>
              <a:spcPct val="0"/>
            </a:spcBef>
            <a:spcAft>
              <a:spcPct val="35000"/>
            </a:spcAft>
            <a:buFont typeface="Wingdings" panose="05000000000000000000" pitchFamily="2" charset="2"/>
            <a:buNone/>
          </a:pPr>
          <a:r>
            <a:rPr lang="et-EE" sz="900" kern="1200" dirty="0">
              <a:solidFill>
                <a:sysClr val="windowText" lastClr="000000"/>
              </a:solidFill>
              <a:latin typeface="Roboto" panose="02000000000000000000" pitchFamily="2" charset="0"/>
              <a:ea typeface="Roboto" panose="02000000000000000000" pitchFamily="2" charset="0"/>
            </a:rPr>
            <a:t>3. tehingute täideviimine</a:t>
          </a:r>
          <a:endParaRPr lang="en-US" sz="900" kern="1200" dirty="0">
            <a:solidFill>
              <a:sysClr val="windowText" lastClr="000000"/>
            </a:solidFill>
            <a:latin typeface="Roboto" panose="02000000000000000000" pitchFamily="2" charset="0"/>
            <a:ea typeface="Roboto" panose="02000000000000000000" pitchFamily="2" charset="0"/>
          </a:endParaRPr>
        </a:p>
        <a:p>
          <a:pPr marL="0" lvl="0" indent="0" algn="ctr" defTabSz="400050">
            <a:lnSpc>
              <a:spcPct val="90000"/>
            </a:lnSpc>
            <a:spcBef>
              <a:spcPct val="0"/>
            </a:spcBef>
            <a:spcAft>
              <a:spcPct val="35000"/>
            </a:spcAft>
            <a:buFont typeface="Wingdings" panose="05000000000000000000" pitchFamily="2" charset="2"/>
            <a:buNone/>
          </a:pPr>
          <a:r>
            <a:rPr lang="et-EE" sz="900" kern="1200" dirty="0">
              <a:solidFill>
                <a:sysClr val="windowText" lastClr="000000"/>
              </a:solidFill>
              <a:latin typeface="Roboto" panose="02000000000000000000" pitchFamily="2" charset="0"/>
              <a:ea typeface="Roboto" panose="02000000000000000000" pitchFamily="2" charset="0"/>
            </a:rPr>
            <a:t>4. emiteerimise korraldamine</a:t>
          </a:r>
          <a:endParaRPr lang="en-US" sz="900" kern="1200" dirty="0">
            <a:solidFill>
              <a:sysClr val="windowText" lastClr="000000"/>
            </a:solidFill>
            <a:latin typeface="Roboto" panose="02000000000000000000" pitchFamily="2" charset="0"/>
            <a:ea typeface="Roboto" panose="02000000000000000000" pitchFamily="2" charset="0"/>
          </a:endParaRPr>
        </a:p>
        <a:p>
          <a:pPr marL="0" lvl="0" indent="0" algn="ctr" defTabSz="400050">
            <a:lnSpc>
              <a:spcPct val="90000"/>
            </a:lnSpc>
            <a:spcBef>
              <a:spcPct val="0"/>
            </a:spcBef>
            <a:spcAft>
              <a:spcPct val="35000"/>
            </a:spcAft>
            <a:buFont typeface="Wingdings" panose="05000000000000000000" pitchFamily="2" charset="2"/>
            <a:buNone/>
          </a:pPr>
          <a:r>
            <a:rPr lang="et-EE" sz="900" kern="1200" dirty="0">
              <a:solidFill>
                <a:sysClr val="windowText" lastClr="000000"/>
              </a:solidFill>
              <a:latin typeface="Roboto" panose="02000000000000000000" pitchFamily="2" charset="0"/>
              <a:ea typeface="Roboto" panose="02000000000000000000" pitchFamily="2" charset="0"/>
            </a:rPr>
            <a:t>5. </a:t>
          </a:r>
          <a:r>
            <a:rPr lang="et-EE" sz="900" kern="1200" dirty="0" err="1">
              <a:solidFill>
                <a:sysClr val="windowText" lastClr="000000"/>
              </a:solidFill>
              <a:latin typeface="Roboto" panose="02000000000000000000" pitchFamily="2" charset="0"/>
              <a:ea typeface="Roboto" panose="02000000000000000000" pitchFamily="2" charset="0"/>
            </a:rPr>
            <a:t>krüptovara</a:t>
          </a:r>
          <a:r>
            <a:rPr lang="et-EE" sz="900" kern="1200" dirty="0">
              <a:solidFill>
                <a:sysClr val="windowText" lastClr="000000"/>
              </a:solidFill>
              <a:latin typeface="Roboto" panose="02000000000000000000" pitchFamily="2" charset="0"/>
              <a:ea typeface="Roboto" panose="02000000000000000000" pitchFamily="2" charset="0"/>
            </a:rPr>
            <a:t> portfellihaldus</a:t>
          </a:r>
          <a:endParaRPr lang="en-US" sz="900" kern="1200" dirty="0">
            <a:solidFill>
              <a:sysClr val="windowText" lastClr="000000"/>
            </a:solidFill>
            <a:latin typeface="Roboto" panose="02000000000000000000" pitchFamily="2" charset="0"/>
            <a:ea typeface="Roboto" panose="02000000000000000000" pitchFamily="2" charset="0"/>
          </a:endParaRPr>
        </a:p>
        <a:p>
          <a:pPr marL="0" lvl="0" indent="0" algn="ctr" defTabSz="400050">
            <a:lnSpc>
              <a:spcPct val="90000"/>
            </a:lnSpc>
            <a:spcBef>
              <a:spcPct val="0"/>
            </a:spcBef>
            <a:spcAft>
              <a:spcPct val="35000"/>
            </a:spcAft>
            <a:buFont typeface="Wingdings" panose="05000000000000000000" pitchFamily="2" charset="2"/>
            <a:buNone/>
          </a:pPr>
          <a:r>
            <a:rPr lang="et-EE" sz="900" kern="1200" dirty="0">
              <a:solidFill>
                <a:sysClr val="windowText" lastClr="000000"/>
              </a:solidFill>
              <a:latin typeface="Roboto" panose="02000000000000000000" pitchFamily="2" charset="0"/>
              <a:ea typeface="Roboto" panose="02000000000000000000" pitchFamily="2" charset="0"/>
            </a:rPr>
            <a:t>6. </a:t>
          </a:r>
          <a:r>
            <a:rPr lang="et-EE" sz="900" kern="1200" dirty="0" err="1">
              <a:solidFill>
                <a:sysClr val="windowText" lastClr="000000"/>
              </a:solidFill>
              <a:latin typeface="Roboto" panose="02000000000000000000" pitchFamily="2" charset="0"/>
              <a:ea typeface="Roboto" panose="02000000000000000000" pitchFamily="2" charset="0"/>
            </a:rPr>
            <a:t>krüptovarade</a:t>
          </a:r>
          <a:r>
            <a:rPr lang="et-EE" sz="900" kern="1200" dirty="0">
              <a:solidFill>
                <a:sysClr val="windowText" lastClr="000000"/>
              </a:solidFill>
              <a:latin typeface="Roboto" panose="02000000000000000000" pitchFamily="2" charset="0"/>
              <a:ea typeface="Roboto" panose="02000000000000000000" pitchFamily="2" charset="0"/>
            </a:rPr>
            <a:t> ülekandmine</a:t>
          </a:r>
        </a:p>
        <a:p>
          <a:pPr marL="0" lvl="0" indent="0" algn="ctr" defTabSz="400050">
            <a:lnSpc>
              <a:spcPct val="90000"/>
            </a:lnSpc>
            <a:spcBef>
              <a:spcPct val="0"/>
            </a:spcBef>
            <a:spcAft>
              <a:spcPct val="35000"/>
            </a:spcAft>
            <a:buFont typeface="Wingdings" panose="05000000000000000000" pitchFamily="2" charset="2"/>
            <a:buNone/>
          </a:pPr>
          <a:r>
            <a:rPr lang="et-EE" sz="900" kern="1200" dirty="0">
              <a:solidFill>
                <a:sysClr val="windowText" lastClr="000000"/>
              </a:solidFill>
              <a:latin typeface="Roboto" panose="02000000000000000000" pitchFamily="2" charset="0"/>
              <a:ea typeface="Roboto" panose="02000000000000000000" pitchFamily="2" charset="0"/>
            </a:rPr>
            <a:t>7. hoidmine/administreerimine</a:t>
          </a:r>
          <a:endParaRPr lang="en-US" sz="900" kern="1200" dirty="0">
            <a:solidFill>
              <a:sysClr val="windowText" lastClr="000000"/>
            </a:solidFill>
            <a:latin typeface="Roboto" panose="02000000000000000000" pitchFamily="2" charset="0"/>
            <a:ea typeface="Roboto" panose="02000000000000000000" pitchFamily="2" charset="0"/>
          </a:endParaRPr>
        </a:p>
        <a:p>
          <a:pPr marL="0" lvl="0" indent="0" algn="ctr" defTabSz="400050">
            <a:lnSpc>
              <a:spcPct val="90000"/>
            </a:lnSpc>
            <a:spcBef>
              <a:spcPct val="0"/>
            </a:spcBef>
            <a:spcAft>
              <a:spcPct val="35000"/>
            </a:spcAft>
            <a:buFont typeface="Wingdings" panose="05000000000000000000" pitchFamily="2" charset="2"/>
            <a:buNone/>
          </a:pPr>
          <a:r>
            <a:rPr lang="et-EE" sz="900" kern="1200" dirty="0">
              <a:solidFill>
                <a:sysClr val="windowText" lastClr="000000"/>
              </a:solidFill>
              <a:latin typeface="Roboto" panose="02000000000000000000" pitchFamily="2" charset="0"/>
              <a:ea typeface="Roboto" panose="02000000000000000000" pitchFamily="2" charset="0"/>
            </a:rPr>
            <a:t>8. </a:t>
          </a:r>
          <a:r>
            <a:rPr lang="et-EE" sz="900" kern="1200" dirty="0" err="1">
              <a:solidFill>
                <a:sysClr val="windowText" lastClr="000000"/>
              </a:solidFill>
              <a:latin typeface="Roboto" panose="02000000000000000000" pitchFamily="2" charset="0"/>
              <a:ea typeface="Roboto" panose="02000000000000000000" pitchFamily="2" charset="0"/>
            </a:rPr>
            <a:t>krüptovara</a:t>
          </a:r>
          <a:r>
            <a:rPr lang="et-EE" sz="900" kern="1200" dirty="0">
              <a:solidFill>
                <a:sysClr val="windowText" lastClr="000000"/>
              </a:solidFill>
              <a:latin typeface="Roboto" panose="02000000000000000000" pitchFamily="2" charset="0"/>
              <a:ea typeface="Roboto" panose="02000000000000000000" pitchFamily="2" charset="0"/>
            </a:rPr>
            <a:t> vahetamine </a:t>
          </a:r>
          <a:r>
            <a:rPr lang="et-EE" sz="900" kern="1200" dirty="0" err="1">
              <a:solidFill>
                <a:sysClr val="windowText" lastClr="000000"/>
              </a:solidFill>
              <a:latin typeface="Roboto" panose="02000000000000000000" pitchFamily="2" charset="0"/>
              <a:ea typeface="Roboto" panose="02000000000000000000" pitchFamily="2" charset="0"/>
            </a:rPr>
            <a:t>krüptovara</a:t>
          </a:r>
          <a:r>
            <a:rPr lang="et-EE" sz="900" kern="1200" dirty="0">
              <a:solidFill>
                <a:sysClr val="windowText" lastClr="000000"/>
              </a:solidFill>
              <a:latin typeface="Roboto" panose="02000000000000000000" pitchFamily="2" charset="0"/>
              <a:ea typeface="Roboto" panose="02000000000000000000" pitchFamily="2" charset="0"/>
            </a:rPr>
            <a:t> või raha vastu</a:t>
          </a:r>
          <a:endParaRPr lang="en-US" sz="900" kern="1200" dirty="0">
            <a:solidFill>
              <a:sysClr val="windowText" lastClr="000000"/>
            </a:solidFill>
            <a:latin typeface="Roboto" panose="02000000000000000000" pitchFamily="2" charset="0"/>
            <a:ea typeface="Roboto" panose="02000000000000000000" pitchFamily="2" charset="0"/>
          </a:endParaRPr>
        </a:p>
        <a:p>
          <a:pPr marL="0" lvl="0" indent="0" algn="ctr" defTabSz="400050">
            <a:lnSpc>
              <a:spcPct val="90000"/>
            </a:lnSpc>
            <a:spcBef>
              <a:spcPct val="0"/>
            </a:spcBef>
            <a:spcAft>
              <a:spcPct val="35000"/>
            </a:spcAft>
            <a:buFont typeface="Wingdings" panose="05000000000000000000" pitchFamily="2" charset="2"/>
            <a:buNone/>
          </a:pPr>
          <a:r>
            <a:rPr lang="et-EE" sz="900" kern="1200" dirty="0">
              <a:solidFill>
                <a:sysClr val="windowText" lastClr="000000"/>
              </a:solidFill>
              <a:latin typeface="Roboto" panose="02000000000000000000" pitchFamily="2" charset="0"/>
              <a:ea typeface="Roboto" panose="02000000000000000000" pitchFamily="2" charset="0"/>
            </a:rPr>
            <a:t>9. </a:t>
          </a:r>
          <a:r>
            <a:rPr lang="et-EE" sz="900" kern="1200" dirty="0" err="1">
              <a:solidFill>
                <a:sysClr val="windowText" lastClr="000000"/>
              </a:solidFill>
              <a:latin typeface="Roboto" panose="02000000000000000000" pitchFamily="2" charset="0"/>
              <a:ea typeface="Roboto" panose="02000000000000000000" pitchFamily="2" charset="0"/>
            </a:rPr>
            <a:t>krüptovara</a:t>
          </a:r>
          <a:r>
            <a:rPr lang="et-EE" sz="900" kern="1200" dirty="0">
              <a:solidFill>
                <a:sysClr val="windowText" lastClr="000000"/>
              </a:solidFill>
              <a:latin typeface="Roboto" panose="02000000000000000000" pitchFamily="2" charset="0"/>
              <a:ea typeface="Roboto" panose="02000000000000000000" pitchFamily="2" charset="0"/>
            </a:rPr>
            <a:t> vahetamine teise </a:t>
          </a:r>
          <a:r>
            <a:rPr lang="et-EE" sz="900" kern="1200" dirty="0" err="1">
              <a:solidFill>
                <a:sysClr val="windowText" lastClr="000000"/>
              </a:solidFill>
              <a:latin typeface="Roboto" panose="02000000000000000000" pitchFamily="2" charset="0"/>
              <a:ea typeface="Roboto" panose="02000000000000000000" pitchFamily="2" charset="0"/>
            </a:rPr>
            <a:t>krüptovara</a:t>
          </a:r>
          <a:r>
            <a:rPr lang="et-EE" sz="900" kern="1200" dirty="0">
              <a:solidFill>
                <a:sysClr val="windowText" lastClr="000000"/>
              </a:solidFill>
              <a:latin typeface="Roboto" panose="02000000000000000000" pitchFamily="2" charset="0"/>
              <a:ea typeface="Roboto" panose="02000000000000000000" pitchFamily="2" charset="0"/>
            </a:rPr>
            <a:t> vastu</a:t>
          </a:r>
        </a:p>
        <a:p>
          <a:pPr marL="0" lvl="0" indent="0" algn="ctr" defTabSz="400050">
            <a:lnSpc>
              <a:spcPct val="90000"/>
            </a:lnSpc>
            <a:spcBef>
              <a:spcPct val="0"/>
            </a:spcBef>
            <a:spcAft>
              <a:spcPct val="35000"/>
            </a:spcAft>
            <a:buFont typeface="Wingdings" panose="05000000000000000000" pitchFamily="2" charset="2"/>
            <a:buNone/>
          </a:pPr>
          <a:r>
            <a:rPr lang="et-EE" sz="900" kern="1200" dirty="0">
              <a:solidFill>
                <a:sysClr val="windowText" lastClr="000000"/>
              </a:solidFill>
              <a:latin typeface="Roboto" panose="02000000000000000000" pitchFamily="2" charset="0"/>
              <a:ea typeface="Roboto" panose="02000000000000000000" pitchFamily="2" charset="0"/>
            </a:rPr>
            <a:t>10. </a:t>
          </a:r>
          <a:r>
            <a:rPr lang="et-EE" sz="900" kern="1200" dirty="0" err="1">
              <a:solidFill>
                <a:sysClr val="windowText" lastClr="000000"/>
              </a:solidFill>
              <a:latin typeface="Roboto" panose="02000000000000000000" pitchFamily="2" charset="0"/>
              <a:ea typeface="Roboto" panose="02000000000000000000" pitchFamily="2" charset="0"/>
            </a:rPr>
            <a:t>krüptovara</a:t>
          </a:r>
          <a:r>
            <a:rPr lang="et-EE" sz="900" kern="1200" dirty="0">
              <a:solidFill>
                <a:sysClr val="windowText" lastClr="000000"/>
              </a:solidFill>
              <a:latin typeface="Roboto" panose="02000000000000000000" pitchFamily="2" charset="0"/>
              <a:ea typeface="Roboto" panose="02000000000000000000" pitchFamily="2" charset="0"/>
            </a:rPr>
            <a:t> kauplemisplatvormi </a:t>
          </a:r>
          <a:r>
            <a:rPr lang="et-EE" sz="900" kern="1200" dirty="0">
              <a:solidFill>
                <a:schemeClr val="tx1">
                  <a:lumMod val="85000"/>
                  <a:lumOff val="15000"/>
                </a:schemeClr>
              </a:solidFill>
              <a:latin typeface="Roboto" panose="02000000000000000000" pitchFamily="2" charset="0"/>
              <a:ea typeface="Roboto" panose="02000000000000000000" pitchFamily="2" charset="0"/>
            </a:rPr>
            <a:t>korraldamine</a:t>
          </a:r>
          <a:endParaRPr lang="en-US" sz="900" kern="1200" dirty="0">
            <a:solidFill>
              <a:schemeClr val="tx1">
                <a:lumMod val="85000"/>
                <a:lumOff val="15000"/>
              </a:schemeClr>
            </a:solidFill>
            <a:latin typeface="Roboto" panose="02000000000000000000" pitchFamily="2" charset="0"/>
            <a:ea typeface="Roboto" panose="02000000000000000000" pitchFamily="2" charset="0"/>
          </a:endParaRPr>
        </a:p>
      </dsp:txBody>
      <dsp:txXfrm>
        <a:off x="3329525" y="765144"/>
        <a:ext cx="1988545" cy="21692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4055C-3CF7-4869-850F-BE52974F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95</Pages>
  <Words>48188</Words>
  <Characters>279494</Characters>
  <Application>Microsoft Office Word</Application>
  <DocSecurity>0</DocSecurity>
  <Lines>2329</Lines>
  <Paragraphs>654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327028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Soontaga</dc:creator>
  <cp:keywords/>
  <dc:description/>
  <cp:lastModifiedBy>Iivika Sale</cp:lastModifiedBy>
  <cp:revision>46</cp:revision>
  <cp:lastPrinted>2020-10-28T09:16:00Z</cp:lastPrinted>
  <dcterms:created xsi:type="dcterms:W3CDTF">2024-01-05T06:59:00Z</dcterms:created>
  <dcterms:modified xsi:type="dcterms:W3CDTF">2024-01-22T17:52:00Z</dcterms:modified>
</cp:coreProperties>
</file>