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F84F" w14:textId="77777777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GARANTIIKIRI</w:t>
      </w:r>
    </w:p>
    <w:p w14:paraId="0AD1BC8E" w14:textId="11F04A6A" w:rsidR="00920D8F" w:rsidRPr="00920D8F" w:rsidRDefault="00920D8F" w:rsidP="00920D8F">
      <w:r>
        <w:rPr>
          <w:b/>
          <w:bCs/>
        </w:rPr>
        <w:t>R</w:t>
      </w:r>
      <w:r w:rsidRPr="00920D8F">
        <w:rPr>
          <w:b/>
          <w:bCs/>
        </w:rPr>
        <w:t>audteeülesõitude ületamisel võimaliku kahju hüvitamise kohta</w:t>
      </w:r>
    </w:p>
    <w:p w14:paraId="2B3B3C80" w14:textId="7F967C0F" w:rsidR="00920D8F" w:rsidRPr="00920D8F" w:rsidRDefault="00920D8F" w:rsidP="00920D8F">
      <w:r w:rsidRPr="00920D8F">
        <w:t>Adressaat:</w:t>
      </w:r>
      <w:r w:rsidRPr="00920D8F">
        <w:br/>
        <w:t>AS Eesti Raudtee</w:t>
      </w:r>
      <w:r w:rsidRPr="00920D8F">
        <w:br/>
        <w:t xml:space="preserve">e-post: </w:t>
      </w:r>
      <w:r w:rsidR="00790FBD">
        <w:t>infra</w:t>
      </w:r>
      <w:r w:rsidRPr="00920D8F">
        <w:t>@evr.ee</w:t>
      </w:r>
    </w:p>
    <w:p w14:paraId="1A8CB4B9" w14:textId="77777777" w:rsidR="00920D8F" w:rsidRPr="00920D8F" w:rsidRDefault="00920D8F" w:rsidP="00920D8F">
      <w:pPr>
        <w:jc w:val="both"/>
      </w:pPr>
      <w:r w:rsidRPr="00920D8F">
        <w:t xml:space="preserve">Käesolevaga kinnitab [Ettevõtte nimi], registrikood [registrikood], aadress [aadress] (edaspidi </w:t>
      </w:r>
      <w:r w:rsidRPr="00920D8F">
        <w:rPr>
          <w:i/>
          <w:iCs/>
        </w:rPr>
        <w:t>Vedaja</w:t>
      </w:r>
      <w:r w:rsidRPr="00920D8F">
        <w:t>), et annab käesoleva garantiikirja seoses raudteeülesõitude ületamisega sõidukitega, mille teljekoormus ületab 11,5 tonni.</w:t>
      </w:r>
    </w:p>
    <w:p w14:paraId="22FDD5DB" w14:textId="7D505158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Garantiikirja õiguslik iseloom</w:t>
      </w:r>
    </w:p>
    <w:p w14:paraId="7F01F252" w14:textId="77777777" w:rsidR="00920D8F" w:rsidRPr="00920D8F" w:rsidRDefault="00920D8F" w:rsidP="00920D8F">
      <w:pPr>
        <w:jc w:val="both"/>
      </w:pPr>
      <w:r w:rsidRPr="00920D8F">
        <w:t>Käesolev garantiikiri:</w:t>
      </w:r>
    </w:p>
    <w:p w14:paraId="08BA23BC" w14:textId="701D392B" w:rsidR="00920D8F" w:rsidRPr="00920D8F" w:rsidRDefault="00920D8F" w:rsidP="00920D8F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920D8F">
        <w:t>ei ole käsitatav vastutuse eelduse ega süü omaksvõtuna</w:t>
      </w:r>
      <w:r>
        <w:t>;</w:t>
      </w:r>
    </w:p>
    <w:p w14:paraId="67F9A528" w14:textId="6C086D1B" w:rsidR="00920D8F" w:rsidRPr="00920D8F" w:rsidRDefault="00920D8F" w:rsidP="00920D8F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920D8F">
        <w:t>ei loo Vedajale ranget ega automaatset vastutust</w:t>
      </w:r>
      <w:r>
        <w:t>;</w:t>
      </w:r>
    </w:p>
    <w:p w14:paraId="6F41E2C5" w14:textId="77777777" w:rsidR="00920D8F" w:rsidRPr="00920D8F" w:rsidRDefault="00920D8F" w:rsidP="00920D8F">
      <w:pPr>
        <w:numPr>
          <w:ilvl w:val="0"/>
          <w:numId w:val="1"/>
        </w:numPr>
        <w:spacing w:line="240" w:lineRule="auto"/>
        <w:jc w:val="both"/>
      </w:pPr>
      <w:r w:rsidRPr="00920D8F">
        <w:t>ei piira ega välista Vedaja õigusi vaidlustada kahju tekkimise asjaolusid, ulatust või põhjust.</w:t>
      </w:r>
    </w:p>
    <w:p w14:paraId="4DA58757" w14:textId="79652ACF" w:rsidR="00920D8F" w:rsidRPr="00920D8F" w:rsidRDefault="00920D8F" w:rsidP="00920D8F">
      <w:pPr>
        <w:jc w:val="both"/>
      </w:pPr>
      <w:r w:rsidRPr="00920D8F">
        <w:t xml:space="preserve">Garantiikiri väljendab poolte valmisolekut tegutseda heas usus </w:t>
      </w:r>
      <w:r>
        <w:t>ja</w:t>
      </w:r>
      <w:r w:rsidRPr="00920D8F">
        <w:t xml:space="preserve"> kooskõlas kehtiva õigusega.</w:t>
      </w:r>
    </w:p>
    <w:p w14:paraId="62460479" w14:textId="42EE7598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Garantiiperiood</w:t>
      </w:r>
    </w:p>
    <w:p w14:paraId="33267711" w14:textId="72A4AAF6" w:rsidR="00920D8F" w:rsidRPr="00920D8F" w:rsidRDefault="00920D8F" w:rsidP="00920D8F">
      <w:pPr>
        <w:jc w:val="both"/>
      </w:pPr>
      <w:r w:rsidRPr="00920D8F">
        <w:t xml:space="preserve">Garantiikiri kehtib ajavahemikus [kuupäev – kuupäev] ja hõlmab nimetatud perioodil toimunud raudteeülesõitude ületamisi Eesti Raudtee </w:t>
      </w:r>
      <w:r w:rsidR="00B33E10">
        <w:t>taristul</w:t>
      </w:r>
      <w:r w:rsidRPr="00920D8F">
        <w:t>.</w:t>
      </w:r>
    </w:p>
    <w:p w14:paraId="65B28A3C" w14:textId="45AA66F7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Garantiikohustuse ulatus</w:t>
      </w:r>
    </w:p>
    <w:p w14:paraId="0D6E0F72" w14:textId="77777777" w:rsidR="00920D8F" w:rsidRPr="00920D8F" w:rsidRDefault="00920D8F" w:rsidP="00920D8F">
      <w:pPr>
        <w:jc w:val="both"/>
      </w:pPr>
      <w:r w:rsidRPr="00920D8F">
        <w:t>Vedaja kohustub hüvitama AS-le Eesti Raudtee ainult sellise otsese varalise kahju, mis:</w:t>
      </w:r>
    </w:p>
    <w:p w14:paraId="52532E41" w14:textId="77777777" w:rsidR="00920D8F" w:rsidRPr="00920D8F" w:rsidRDefault="00920D8F" w:rsidP="00920D8F">
      <w:pPr>
        <w:pStyle w:val="ListParagraph"/>
        <w:numPr>
          <w:ilvl w:val="0"/>
          <w:numId w:val="7"/>
        </w:numPr>
        <w:spacing w:after="0"/>
        <w:jc w:val="both"/>
      </w:pPr>
      <w:r w:rsidRPr="00920D8F">
        <w:t>on tekkinud konkreetse raudteeülesõidu ületamise käigus Vedaja sõiduki poolt;</w:t>
      </w:r>
    </w:p>
    <w:p w14:paraId="5C224309" w14:textId="77777777" w:rsidR="00920D8F" w:rsidRPr="00920D8F" w:rsidRDefault="00920D8F" w:rsidP="00920D8F">
      <w:pPr>
        <w:pStyle w:val="ListParagraph"/>
        <w:numPr>
          <w:ilvl w:val="0"/>
          <w:numId w:val="7"/>
        </w:numPr>
        <w:spacing w:after="0"/>
        <w:jc w:val="both"/>
      </w:pPr>
      <w:r w:rsidRPr="00920D8F">
        <w:t>on objektiivselt, dokumentaalselt ja põhjendatult tõendatud;</w:t>
      </w:r>
    </w:p>
    <w:p w14:paraId="29729ECA" w14:textId="77777777" w:rsidR="00920D8F" w:rsidRPr="00920D8F" w:rsidRDefault="00920D8F" w:rsidP="00920D8F">
      <w:pPr>
        <w:pStyle w:val="ListParagraph"/>
        <w:numPr>
          <w:ilvl w:val="0"/>
          <w:numId w:val="7"/>
        </w:numPr>
        <w:spacing w:after="0"/>
        <w:jc w:val="both"/>
      </w:pPr>
      <w:r w:rsidRPr="00920D8F">
        <w:t>on põhjuslikus seoses konkreetse sõiduki liikumisega;</w:t>
      </w:r>
    </w:p>
    <w:p w14:paraId="2D428227" w14:textId="77777777" w:rsidR="00920D8F" w:rsidRPr="00920D8F" w:rsidRDefault="00920D8F" w:rsidP="00920D8F">
      <w:pPr>
        <w:pStyle w:val="ListParagraph"/>
        <w:numPr>
          <w:ilvl w:val="0"/>
          <w:numId w:val="7"/>
        </w:numPr>
        <w:jc w:val="both"/>
      </w:pPr>
      <w:r w:rsidRPr="00920D8F">
        <w:t>ei olnud olemas enne ülesõidu kasutamist.</w:t>
      </w:r>
    </w:p>
    <w:p w14:paraId="54AA461C" w14:textId="424A3692" w:rsidR="00920D8F" w:rsidRPr="00920D8F" w:rsidRDefault="00920D8F" w:rsidP="00920D8F">
      <w:pPr>
        <w:jc w:val="both"/>
      </w:pPr>
      <w:r w:rsidRPr="00920D8F">
        <w:t>Hüvitamiskohustus võib hõlmata üksnes</w:t>
      </w:r>
      <w:r>
        <w:t xml:space="preserve"> </w:t>
      </w:r>
      <w:r w:rsidRPr="00920D8F">
        <w:t>katteplaatide või muude ülesõidu konstruktsioonielementide parandamise või vahetamise vajalikud ja põhjendatud kulud.</w:t>
      </w:r>
    </w:p>
    <w:p w14:paraId="23508567" w14:textId="1B5F5E04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Vastutuse selged piirangud</w:t>
      </w:r>
    </w:p>
    <w:p w14:paraId="631A831A" w14:textId="77777777" w:rsidR="00920D8F" w:rsidRPr="00920D8F" w:rsidRDefault="00920D8F" w:rsidP="00920D8F">
      <w:pPr>
        <w:jc w:val="both"/>
      </w:pPr>
      <w:r w:rsidRPr="00920D8F">
        <w:t>Käesolev garantiikiri ei laiene ega hõlma:</w:t>
      </w:r>
    </w:p>
    <w:p w14:paraId="0B246F9D" w14:textId="77777777" w:rsidR="00920D8F" w:rsidRPr="00920D8F" w:rsidRDefault="00920D8F" w:rsidP="00920D8F">
      <w:pPr>
        <w:numPr>
          <w:ilvl w:val="0"/>
          <w:numId w:val="4"/>
        </w:numPr>
        <w:spacing w:after="0"/>
        <w:ind w:left="714" w:hanging="357"/>
        <w:jc w:val="both"/>
      </w:pPr>
      <w:r w:rsidRPr="00920D8F">
        <w:t>varasemat kulumist või amortisatsiooni;</w:t>
      </w:r>
    </w:p>
    <w:p w14:paraId="0FDA947C" w14:textId="77777777" w:rsidR="00920D8F" w:rsidRPr="00920D8F" w:rsidRDefault="00920D8F" w:rsidP="00920D8F">
      <w:pPr>
        <w:numPr>
          <w:ilvl w:val="0"/>
          <w:numId w:val="4"/>
        </w:numPr>
        <w:spacing w:after="0"/>
        <w:ind w:left="714" w:hanging="357"/>
        <w:jc w:val="both"/>
      </w:pPr>
      <w:r w:rsidRPr="00920D8F">
        <w:t>enne ülesõidu ületamist olemas olnud kahjustusi;</w:t>
      </w:r>
    </w:p>
    <w:p w14:paraId="4F7F003C" w14:textId="77777777" w:rsidR="00920D8F" w:rsidRPr="00920D8F" w:rsidRDefault="00920D8F" w:rsidP="00920D8F">
      <w:pPr>
        <w:numPr>
          <w:ilvl w:val="0"/>
          <w:numId w:val="4"/>
        </w:numPr>
        <w:spacing w:after="0"/>
        <w:ind w:left="714" w:hanging="357"/>
        <w:jc w:val="both"/>
      </w:pPr>
      <w:r w:rsidRPr="00920D8F">
        <w:lastRenderedPageBreak/>
        <w:t>konstruktsioonilisi või projekteerimisvigu;</w:t>
      </w:r>
    </w:p>
    <w:p w14:paraId="5638D78F" w14:textId="77777777" w:rsidR="00920D8F" w:rsidRPr="00920D8F" w:rsidRDefault="00920D8F" w:rsidP="00920D8F">
      <w:pPr>
        <w:numPr>
          <w:ilvl w:val="0"/>
          <w:numId w:val="4"/>
        </w:numPr>
        <w:spacing w:after="0"/>
        <w:ind w:left="714" w:hanging="357"/>
        <w:jc w:val="both"/>
      </w:pPr>
      <w:r w:rsidRPr="00920D8F">
        <w:t>hooldusest või tavapärasest ekspluatatsioonist tulenevaid puudusi;</w:t>
      </w:r>
    </w:p>
    <w:p w14:paraId="5DB27A04" w14:textId="77777777" w:rsidR="00920D8F" w:rsidRPr="00920D8F" w:rsidRDefault="00920D8F" w:rsidP="00920D8F">
      <w:pPr>
        <w:numPr>
          <w:ilvl w:val="0"/>
          <w:numId w:val="4"/>
        </w:numPr>
        <w:spacing w:after="0"/>
        <w:ind w:left="714" w:hanging="357"/>
        <w:jc w:val="both"/>
      </w:pPr>
      <w:r w:rsidRPr="00920D8F">
        <w:t>kolmandate isikute tegevusest tingitud kahjustusi;</w:t>
      </w:r>
    </w:p>
    <w:p w14:paraId="22FFC8F7" w14:textId="77777777" w:rsidR="00920D8F" w:rsidRPr="00920D8F" w:rsidRDefault="00920D8F" w:rsidP="00920D8F">
      <w:pPr>
        <w:numPr>
          <w:ilvl w:val="0"/>
          <w:numId w:val="4"/>
        </w:numPr>
        <w:jc w:val="both"/>
      </w:pPr>
      <w:r w:rsidRPr="00920D8F">
        <w:t>ülesõidu parendamist, rekonstrueerimist või moderniseerimist.</w:t>
      </w:r>
    </w:p>
    <w:p w14:paraId="49CD7995" w14:textId="19144D38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Kahju tuvastamise ja hindamise kord</w:t>
      </w:r>
    </w:p>
    <w:p w14:paraId="6ABE1867" w14:textId="77777777" w:rsidR="00920D8F" w:rsidRPr="00920D8F" w:rsidRDefault="00920D8F" w:rsidP="00920D8F">
      <w:pPr>
        <w:jc w:val="both"/>
      </w:pPr>
      <w:r w:rsidRPr="00920D8F">
        <w:t>Võimaliku kahjustuse ilmnemisel:</w:t>
      </w:r>
    </w:p>
    <w:p w14:paraId="19BB0801" w14:textId="77777777" w:rsidR="00920D8F" w:rsidRPr="00920D8F" w:rsidRDefault="00920D8F" w:rsidP="00920D8F">
      <w:pPr>
        <w:numPr>
          <w:ilvl w:val="0"/>
          <w:numId w:val="5"/>
        </w:numPr>
        <w:spacing w:after="0"/>
        <w:ind w:left="714" w:hanging="357"/>
        <w:jc w:val="both"/>
      </w:pPr>
      <w:r w:rsidRPr="00920D8F">
        <w:t>fikseeritakse kahjustus viivitamata (sh fotod, ülevaatus);</w:t>
      </w:r>
    </w:p>
    <w:p w14:paraId="372EC703" w14:textId="77777777" w:rsidR="00920D8F" w:rsidRPr="00920D8F" w:rsidRDefault="00920D8F" w:rsidP="00920D8F">
      <w:pPr>
        <w:numPr>
          <w:ilvl w:val="0"/>
          <w:numId w:val="5"/>
        </w:numPr>
        <w:spacing w:after="0"/>
        <w:ind w:left="714" w:hanging="357"/>
        <w:jc w:val="both"/>
      </w:pPr>
      <w:r w:rsidRPr="00920D8F">
        <w:t>hinnatakse kahjustuse tekkepõhjus ja ulatus;</w:t>
      </w:r>
    </w:p>
    <w:p w14:paraId="18957DDB" w14:textId="77777777" w:rsidR="00920D8F" w:rsidRPr="00920D8F" w:rsidRDefault="00920D8F" w:rsidP="00920D8F">
      <w:pPr>
        <w:numPr>
          <w:ilvl w:val="0"/>
          <w:numId w:val="5"/>
        </w:numPr>
        <w:jc w:val="both"/>
      </w:pPr>
      <w:r w:rsidRPr="00920D8F">
        <w:t>vaidluse korral selgitatakse asjaolud poolte koostöös ning vajadusel kaasatakse sõltumatu ja pädev ekspert.</w:t>
      </w:r>
    </w:p>
    <w:p w14:paraId="3A0A0424" w14:textId="77777777" w:rsidR="00920D8F" w:rsidRPr="00920D8F" w:rsidRDefault="00920D8F" w:rsidP="00920D8F">
      <w:pPr>
        <w:jc w:val="both"/>
      </w:pPr>
      <w:r w:rsidRPr="00920D8F">
        <w:t>Hüvitamiskohustus tekib üksnes pärast kahju põhjuse ja ulatuse lõplikku tuvastamist.</w:t>
      </w:r>
    </w:p>
    <w:p w14:paraId="2D4D9ACB" w14:textId="1DB2B10E" w:rsidR="00920D8F" w:rsidRPr="00920D8F" w:rsidRDefault="00920D8F" w:rsidP="00920D8F">
      <w:pPr>
        <w:jc w:val="both"/>
        <w:rPr>
          <w:b/>
          <w:bCs/>
        </w:rPr>
      </w:pPr>
      <w:r w:rsidRPr="00920D8F">
        <w:rPr>
          <w:b/>
          <w:bCs/>
        </w:rPr>
        <w:t>Muud sätted</w:t>
      </w:r>
    </w:p>
    <w:p w14:paraId="15381CB0" w14:textId="77777777" w:rsidR="00920D8F" w:rsidRPr="00920D8F" w:rsidRDefault="00920D8F" w:rsidP="00920D8F">
      <w:pPr>
        <w:jc w:val="both"/>
      </w:pPr>
      <w:r w:rsidRPr="00920D8F">
        <w:t>Käesolev garantiikiri:</w:t>
      </w:r>
    </w:p>
    <w:p w14:paraId="24B15598" w14:textId="77777777" w:rsidR="00920D8F" w:rsidRPr="00920D8F" w:rsidRDefault="00920D8F" w:rsidP="00920D8F">
      <w:pPr>
        <w:numPr>
          <w:ilvl w:val="0"/>
          <w:numId w:val="6"/>
        </w:numPr>
        <w:spacing w:after="0"/>
        <w:ind w:left="714" w:hanging="357"/>
        <w:jc w:val="both"/>
      </w:pPr>
      <w:r w:rsidRPr="00920D8F">
        <w:t>ei asenda ega muuda kehtivast seadusest tulenevaid õigusi ja kohustusi;</w:t>
      </w:r>
    </w:p>
    <w:p w14:paraId="645108BC" w14:textId="5FE31D40" w:rsidR="00920D8F" w:rsidRPr="00920D8F" w:rsidRDefault="00920D8F" w:rsidP="00920D8F">
      <w:pPr>
        <w:numPr>
          <w:ilvl w:val="0"/>
          <w:numId w:val="6"/>
        </w:numPr>
        <w:jc w:val="both"/>
      </w:pPr>
      <w:r w:rsidRPr="00920D8F">
        <w:t>ei välista poolte õigust lahendada vaidlusi seaduses ettenähtud korras.</w:t>
      </w:r>
    </w:p>
    <w:p w14:paraId="13C904B1" w14:textId="77777777" w:rsidR="00920D8F" w:rsidRPr="00920D8F" w:rsidRDefault="00920D8F" w:rsidP="00920D8F">
      <w:r w:rsidRPr="00920D8F">
        <w:t>Lugupidamisega</w:t>
      </w:r>
    </w:p>
    <w:p w14:paraId="21C5BF76" w14:textId="77777777" w:rsidR="00920D8F" w:rsidRPr="00920D8F" w:rsidRDefault="00920D8F" w:rsidP="00920D8F">
      <w:r w:rsidRPr="00920D8F">
        <w:t>[Allkiri]</w:t>
      </w:r>
      <w:r w:rsidRPr="00920D8F">
        <w:br/>
        <w:t>[Isiku nimi]</w:t>
      </w:r>
      <w:r w:rsidRPr="00920D8F">
        <w:br/>
        <w:t>[Ametikoht]</w:t>
      </w:r>
      <w:r w:rsidRPr="00920D8F">
        <w:br/>
        <w:t>[Ettevõtte nimi]</w:t>
      </w:r>
      <w:r w:rsidRPr="00920D8F">
        <w:br/>
        <w:t>[Telefon, e-post]</w:t>
      </w:r>
    </w:p>
    <w:p w14:paraId="13114B3A" w14:textId="77777777" w:rsidR="00BA1E2D" w:rsidRDefault="00BA1E2D"/>
    <w:sectPr w:rsidR="00BA1E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92B"/>
    <w:multiLevelType w:val="multilevel"/>
    <w:tmpl w:val="B11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1074B"/>
    <w:multiLevelType w:val="multilevel"/>
    <w:tmpl w:val="D9B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A3D36"/>
    <w:multiLevelType w:val="multilevel"/>
    <w:tmpl w:val="EE5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03768"/>
    <w:multiLevelType w:val="multilevel"/>
    <w:tmpl w:val="B0A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60EB1"/>
    <w:multiLevelType w:val="hybridMultilevel"/>
    <w:tmpl w:val="BB1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E3F54"/>
    <w:multiLevelType w:val="multilevel"/>
    <w:tmpl w:val="74B4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B65FBA"/>
    <w:multiLevelType w:val="multilevel"/>
    <w:tmpl w:val="6FD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100574">
    <w:abstractNumId w:val="3"/>
  </w:num>
  <w:num w:numId="2" w16cid:durableId="681005461">
    <w:abstractNumId w:val="5"/>
  </w:num>
  <w:num w:numId="3" w16cid:durableId="119882762">
    <w:abstractNumId w:val="6"/>
  </w:num>
  <w:num w:numId="4" w16cid:durableId="1418668656">
    <w:abstractNumId w:val="0"/>
  </w:num>
  <w:num w:numId="5" w16cid:durableId="731269702">
    <w:abstractNumId w:val="2"/>
  </w:num>
  <w:num w:numId="6" w16cid:durableId="1168136049">
    <w:abstractNumId w:val="1"/>
  </w:num>
  <w:num w:numId="7" w16cid:durableId="308097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8F"/>
    <w:rsid w:val="002B7A10"/>
    <w:rsid w:val="005F06FE"/>
    <w:rsid w:val="006067CC"/>
    <w:rsid w:val="00790FBD"/>
    <w:rsid w:val="00920D8F"/>
    <w:rsid w:val="00B33E10"/>
    <w:rsid w:val="00BA1E2D"/>
    <w:rsid w:val="00F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BAC6"/>
  <w15:chartTrackingRefBased/>
  <w15:docId w15:val="{3CE848C6-8D9D-4584-89E1-18E2C3F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2129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Hodorkin</dc:creator>
  <cp:keywords/>
  <dc:description/>
  <cp:lastModifiedBy>Katrin Põldmaa</cp:lastModifiedBy>
  <cp:revision>2</cp:revision>
  <dcterms:created xsi:type="dcterms:W3CDTF">2026-01-14T07:22:00Z</dcterms:created>
  <dcterms:modified xsi:type="dcterms:W3CDTF">2026-01-16T08:47:00Z</dcterms:modified>
</cp:coreProperties>
</file>