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34AEF2E8" w14:textId="77777777" w:rsidTr="00094BF0">
        <w:trPr>
          <w:trHeight w:hRule="exact" w:val="2353"/>
        </w:trPr>
        <w:tc>
          <w:tcPr>
            <w:tcW w:w="5062" w:type="dxa"/>
          </w:tcPr>
          <w:p w14:paraId="34AEF2D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4AEF30A" wp14:editId="34AEF30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34AEF2DF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34AEF2E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4AEF2E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34AEF2F2" w14:textId="77777777" w:rsidTr="00094BF0">
        <w:trPr>
          <w:trHeight w:hRule="exact" w:val="1531"/>
        </w:trPr>
        <w:tc>
          <w:tcPr>
            <w:tcW w:w="5062" w:type="dxa"/>
          </w:tcPr>
          <w:p w14:paraId="34AEF2E9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4AEF2EA" w14:textId="77777777" w:rsidR="00EA42AE" w:rsidRDefault="00EA42AE" w:rsidP="00B066FE"/>
          <w:p w14:paraId="34AEF2EB" w14:textId="77777777" w:rsidR="0009319A" w:rsidRDefault="0009319A" w:rsidP="00B066FE"/>
          <w:p w14:paraId="34AEF2EC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34AEF2EF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34AEF2ED" w14:textId="6D47C503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FA1C05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FA1C05">
                    <w:rPr>
                      <w:rFonts w:eastAsia="Times New Roman" w:cs="Arial"/>
                    </w:rPr>
                    <w:t>21.08.2025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34AEF2EE" w14:textId="32AC64DC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FA1C05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FA1C05">
                    <w:rPr>
                      <w:rFonts w:eastAsia="Times New Roman" w:cs="Arial"/>
                    </w:rPr>
                    <w:t>35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34AEF2F0" w14:textId="77777777" w:rsidR="0009319A" w:rsidRDefault="0009319A" w:rsidP="00B066FE"/>
          <w:p w14:paraId="34AEF2F1" w14:textId="77777777" w:rsidR="0009319A" w:rsidRDefault="0009319A" w:rsidP="00B066FE"/>
        </w:tc>
      </w:tr>
      <w:tr w:rsidR="000439BA" w14:paraId="76CC3172" w14:textId="77777777" w:rsidTr="00404DC2">
        <w:trPr>
          <w:trHeight w:val="624"/>
        </w:trPr>
        <w:tc>
          <w:tcPr>
            <w:tcW w:w="5062" w:type="dxa"/>
          </w:tcPr>
          <w:p w14:paraId="78523B7D" w14:textId="77777777" w:rsidR="000439BA" w:rsidRDefault="000439BA" w:rsidP="00404DC2">
            <w:pPr>
              <w:rPr>
                <w:rFonts w:cs="Arial"/>
                <w:b/>
                <w:bCs/>
              </w:rPr>
            </w:pPr>
            <w:r w:rsidRPr="75086018">
              <w:rPr>
                <w:b/>
                <w:bCs/>
              </w:rPr>
              <w:t>Tuberkuloosiregistri põhimäärus</w:t>
            </w:r>
          </w:p>
          <w:p w14:paraId="05C120BA" w14:textId="77777777" w:rsidR="000439BA" w:rsidRPr="00C21D9A" w:rsidRDefault="000439BA" w:rsidP="00404DC2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D112BDA" w14:textId="77777777" w:rsidR="000439BA" w:rsidRDefault="000439BA" w:rsidP="00404DC2"/>
        </w:tc>
      </w:tr>
    </w:tbl>
    <w:p w14:paraId="1291C7CC" w14:textId="77777777" w:rsidR="000439BA" w:rsidRDefault="000439BA" w:rsidP="000439BA">
      <w:pPr>
        <w:jc w:val="both"/>
        <w:rPr>
          <w:rFonts w:eastAsia="Times New Roman"/>
        </w:rPr>
      </w:pPr>
      <w:r w:rsidRPr="00EC4990">
        <w:t>Määrus kehtestatakse rahvatervishoiu</w:t>
      </w:r>
      <w:r w:rsidRPr="00212E75">
        <w:t xml:space="preserve"> seaduse </w:t>
      </w:r>
      <w:r w:rsidRPr="00EB14B7">
        <w:rPr>
          <w:rFonts w:eastAsia="Times New Roman"/>
        </w:rPr>
        <w:t>§ 28 lõike 6 alusel.</w:t>
      </w:r>
    </w:p>
    <w:p w14:paraId="7F5C8E35" w14:textId="77777777" w:rsidR="000439BA" w:rsidRDefault="000439BA" w:rsidP="000439BA">
      <w:pPr>
        <w:jc w:val="both"/>
        <w:rPr>
          <w:rFonts w:eastAsia="Times New Roman"/>
        </w:rPr>
      </w:pPr>
    </w:p>
    <w:p w14:paraId="54D33BBC" w14:textId="2479F549" w:rsidR="000439BA" w:rsidRDefault="000439BA" w:rsidP="000439B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peatükk</w:t>
      </w:r>
    </w:p>
    <w:p w14:paraId="70D69730" w14:textId="6DA85AEC" w:rsidR="000439BA" w:rsidRPr="000439BA" w:rsidRDefault="000439BA" w:rsidP="000439B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Üldsätted</w:t>
      </w:r>
    </w:p>
    <w:p w14:paraId="7DAA8771" w14:textId="77777777" w:rsidR="000439BA" w:rsidRDefault="000439BA" w:rsidP="000439BA">
      <w:pPr>
        <w:rPr>
          <w:rFonts w:cs="Arial"/>
        </w:rPr>
      </w:pPr>
    </w:p>
    <w:p w14:paraId="121AEBF2" w14:textId="77777777" w:rsidR="000439BA" w:rsidRPr="00FF2A92" w:rsidRDefault="000439BA" w:rsidP="000439BA">
      <w:pPr>
        <w:jc w:val="both"/>
        <w:rPr>
          <w:rFonts w:eastAsia="Times New Roman"/>
          <w:b/>
          <w:bCs/>
        </w:rPr>
      </w:pPr>
      <w:r w:rsidRPr="00EC4990">
        <w:rPr>
          <w:rFonts w:eastAsia="Times New Roman"/>
          <w:b/>
          <w:bCs/>
        </w:rPr>
        <w:t>§ 1. Registri asutamine, pidamise eesmärk ja nimetus</w:t>
      </w:r>
    </w:p>
    <w:p w14:paraId="2DDA59FD" w14:textId="77777777" w:rsidR="000439BA" w:rsidRPr="00F717FD" w:rsidRDefault="000439BA" w:rsidP="000439BA">
      <w:pPr>
        <w:jc w:val="both"/>
        <w:rPr>
          <w:szCs w:val="24"/>
        </w:rPr>
      </w:pPr>
    </w:p>
    <w:p w14:paraId="2CBB05CB" w14:textId="77777777" w:rsidR="000439BA" w:rsidRPr="00F717FD" w:rsidRDefault="000439BA" w:rsidP="000439BA">
      <w:pPr>
        <w:jc w:val="both"/>
        <w:rPr>
          <w:szCs w:val="24"/>
        </w:rPr>
      </w:pPr>
      <w:r w:rsidRPr="00EC4990">
        <w:t>(</w:t>
      </w:r>
      <w:r>
        <w:t>1</w:t>
      </w:r>
      <w:r w:rsidRPr="00EC4990">
        <w:t xml:space="preserve">) Registrit peetakse tuberkuloosijuhtude registreerimiseks, tuberkuloosi ennetamiseks, tuberkuloosihaigestumuse, tuberkuloosi levimuse ja tuberkuloosihaigete </w:t>
      </w:r>
      <w:proofErr w:type="spellStart"/>
      <w:r w:rsidRPr="00EC4990">
        <w:t>elumuse</w:t>
      </w:r>
      <w:proofErr w:type="spellEnd"/>
      <w:r w:rsidRPr="00EC4990">
        <w:t xml:space="preserve"> analüüsimiseks, tervishoiuteenuste ja tuberkuloositõrje korraldamiseks, tervisepoliitika väljatöötamiseks, diagnostika ja ravi käsitluse hindamiseks ning statistika ja teadusliku uurimistöö, sealhulgas epidemioloogiliste uuringute tegemiseks.</w:t>
      </w:r>
    </w:p>
    <w:p w14:paraId="1DDA1025" w14:textId="77777777" w:rsidR="000439BA" w:rsidRPr="00F717FD" w:rsidRDefault="000439BA" w:rsidP="000439BA">
      <w:pPr>
        <w:jc w:val="both"/>
        <w:rPr>
          <w:szCs w:val="24"/>
        </w:rPr>
      </w:pPr>
    </w:p>
    <w:p w14:paraId="51AA1549" w14:textId="77777777" w:rsidR="000439BA" w:rsidRPr="00F717FD" w:rsidRDefault="000439BA" w:rsidP="000439BA">
      <w:pPr>
        <w:jc w:val="both"/>
        <w:rPr>
          <w:szCs w:val="24"/>
        </w:rPr>
      </w:pPr>
      <w:r w:rsidRPr="00EC4990">
        <w:t>(</w:t>
      </w:r>
      <w:r>
        <w:t>2</w:t>
      </w:r>
      <w:r w:rsidRPr="00EC4990">
        <w:t xml:space="preserve">) Tuberkuloosiregister (edaspidi </w:t>
      </w:r>
      <w:r w:rsidRPr="00404DC2">
        <w:rPr>
          <w:i/>
        </w:rPr>
        <w:t>register</w:t>
      </w:r>
      <w:r w:rsidRPr="00EB14B7">
        <w:t xml:space="preserve">) </w:t>
      </w:r>
      <w:r w:rsidRPr="0062014E">
        <w:t>kuulub riigi infosüsteemi</w:t>
      </w:r>
      <w:r>
        <w:t>.</w:t>
      </w:r>
    </w:p>
    <w:p w14:paraId="04FF740E" w14:textId="77777777" w:rsidR="000439BA" w:rsidRPr="00F717FD" w:rsidRDefault="000439BA" w:rsidP="000439BA">
      <w:pPr>
        <w:jc w:val="both"/>
        <w:rPr>
          <w:szCs w:val="24"/>
        </w:rPr>
      </w:pPr>
    </w:p>
    <w:p w14:paraId="5713EB17" w14:textId="77777777" w:rsidR="000439BA" w:rsidRPr="00F717FD" w:rsidRDefault="000439BA" w:rsidP="000439BA">
      <w:pPr>
        <w:jc w:val="both"/>
        <w:rPr>
          <w:szCs w:val="24"/>
        </w:rPr>
      </w:pPr>
      <w:r w:rsidRPr="00EC4990">
        <w:t>(</w:t>
      </w:r>
      <w:r>
        <w:t>3</w:t>
      </w:r>
      <w:r w:rsidRPr="00EC4990">
        <w:t xml:space="preserve">) Registri ingliskeelne nimetus on </w:t>
      </w:r>
      <w:r w:rsidRPr="00212E75">
        <w:rPr>
          <w:i/>
          <w:iCs/>
        </w:rPr>
        <w:t xml:space="preserve">Estonian </w:t>
      </w:r>
      <w:proofErr w:type="spellStart"/>
      <w:r w:rsidRPr="00212E75">
        <w:rPr>
          <w:i/>
          <w:iCs/>
        </w:rPr>
        <w:t>Tuberculosis</w:t>
      </w:r>
      <w:proofErr w:type="spellEnd"/>
      <w:r w:rsidRPr="00212E75">
        <w:rPr>
          <w:i/>
          <w:iCs/>
        </w:rPr>
        <w:t xml:space="preserve"> Register</w:t>
      </w:r>
      <w:r w:rsidRPr="00EB14B7">
        <w:t>.</w:t>
      </w:r>
    </w:p>
    <w:p w14:paraId="322EBF6D" w14:textId="77777777" w:rsidR="000439BA" w:rsidRDefault="000439BA" w:rsidP="000439BA"/>
    <w:p w14:paraId="46728BEB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2. Registri vastutav töötleja</w:t>
      </w:r>
    </w:p>
    <w:p w14:paraId="336E8F9D" w14:textId="77777777" w:rsidR="000439BA" w:rsidRPr="00F717FD" w:rsidRDefault="000439BA" w:rsidP="000439BA">
      <w:pPr>
        <w:jc w:val="both"/>
        <w:rPr>
          <w:szCs w:val="24"/>
        </w:rPr>
      </w:pPr>
    </w:p>
    <w:p w14:paraId="33883A53" w14:textId="77777777" w:rsidR="000439BA" w:rsidRPr="00F717FD" w:rsidRDefault="000439BA" w:rsidP="000439BA">
      <w:pPr>
        <w:jc w:val="both"/>
        <w:rPr>
          <w:szCs w:val="24"/>
        </w:rPr>
      </w:pPr>
      <w:r w:rsidRPr="00EC4990">
        <w:t>Registri vastutav töötleja on Tervise Arengu Instituut.</w:t>
      </w:r>
    </w:p>
    <w:p w14:paraId="0C325627" w14:textId="77777777" w:rsidR="000439BA" w:rsidRDefault="000439BA" w:rsidP="000439BA"/>
    <w:p w14:paraId="021FBB09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2. peatükk</w:t>
      </w:r>
    </w:p>
    <w:p w14:paraId="165709D6" w14:textId="77777777" w:rsidR="000439BA" w:rsidRPr="00FF2A92" w:rsidRDefault="000439BA" w:rsidP="000439BA">
      <w:pPr>
        <w:jc w:val="center"/>
        <w:rPr>
          <w:b/>
          <w:bCs/>
        </w:rPr>
      </w:pPr>
      <w:r w:rsidRPr="75086018">
        <w:rPr>
          <w:b/>
          <w:bCs/>
        </w:rPr>
        <w:t>Registri ülesehitus ja andmete tähendus</w:t>
      </w:r>
    </w:p>
    <w:p w14:paraId="242107C0" w14:textId="77777777" w:rsidR="000439BA" w:rsidRDefault="000439BA" w:rsidP="000439BA"/>
    <w:p w14:paraId="2233134A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3. Registri ülesehitus</w:t>
      </w:r>
      <w:r>
        <w:rPr>
          <w:b/>
          <w:bCs/>
        </w:rPr>
        <w:t xml:space="preserve"> ja alusandmete vorm</w:t>
      </w:r>
    </w:p>
    <w:p w14:paraId="1C77BCC0" w14:textId="77777777" w:rsidR="000439BA" w:rsidRPr="00F717FD" w:rsidRDefault="000439BA" w:rsidP="000439BA">
      <w:pPr>
        <w:jc w:val="both"/>
        <w:rPr>
          <w:szCs w:val="24"/>
        </w:rPr>
      </w:pPr>
    </w:p>
    <w:p w14:paraId="3890D470" w14:textId="7C788C46" w:rsidR="000439BA" w:rsidRPr="00F717FD" w:rsidRDefault="000439BA" w:rsidP="000439BA">
      <w:pPr>
        <w:jc w:val="both"/>
        <w:rPr>
          <w:szCs w:val="24"/>
        </w:rPr>
      </w:pPr>
      <w:r w:rsidRPr="00EC4990">
        <w:t>(1) Register koosneb elektroonsest andmebaasist ja arhiveeritud registriandmetest.</w:t>
      </w:r>
    </w:p>
    <w:p w14:paraId="2732997E" w14:textId="77777777" w:rsidR="000439BA" w:rsidRPr="00F717FD" w:rsidRDefault="000439BA" w:rsidP="000439BA">
      <w:pPr>
        <w:jc w:val="both"/>
        <w:rPr>
          <w:szCs w:val="24"/>
        </w:rPr>
      </w:pPr>
    </w:p>
    <w:p w14:paraId="5B373137" w14:textId="77777777" w:rsidR="000439BA" w:rsidRDefault="000439BA" w:rsidP="000439BA">
      <w:pPr>
        <w:jc w:val="both"/>
      </w:pPr>
      <w:r w:rsidRPr="00EC4990">
        <w:t>(2) Registri alusandmed on elektroonsed või paberil. Paberil alusdokumentide andmed kantakse registrisse elektroonselt.</w:t>
      </w:r>
    </w:p>
    <w:p w14:paraId="6F67FEE4" w14:textId="77777777" w:rsidR="000439BA" w:rsidRDefault="000439BA" w:rsidP="000439BA"/>
    <w:p w14:paraId="03AA70F6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4. Registri andmete kaitse</w:t>
      </w:r>
    </w:p>
    <w:p w14:paraId="3CBC31DC" w14:textId="77777777" w:rsidR="000439BA" w:rsidRPr="00F717FD" w:rsidRDefault="000439BA" w:rsidP="000439BA">
      <w:pPr>
        <w:jc w:val="both"/>
        <w:rPr>
          <w:szCs w:val="24"/>
        </w:rPr>
      </w:pPr>
    </w:p>
    <w:p w14:paraId="1AD18A02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Registri andmete kaitse tagatakse käideldavuse, tervikluse ja konfidentsiaalsuse parameetrite hindamise kaudu vastavalt riigi infosüsteemide turvameetmete süsteemi nõuetele.</w:t>
      </w:r>
    </w:p>
    <w:p w14:paraId="73A83455" w14:textId="77777777" w:rsidR="000439BA" w:rsidRPr="00F717FD" w:rsidRDefault="000439BA" w:rsidP="000439BA">
      <w:pPr>
        <w:jc w:val="both"/>
        <w:rPr>
          <w:szCs w:val="24"/>
        </w:rPr>
      </w:pPr>
    </w:p>
    <w:p w14:paraId="16EC9745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Registrisse kantud andmete käideldavuse (K), tervikluse (T) ja konfidentsiaalsuse (S) tagamiseks rakendatakse organisatsioonilisi, füüsilisi ja infotehnoloogilisi turvameetmeid.</w:t>
      </w:r>
    </w:p>
    <w:p w14:paraId="0D73E53F" w14:textId="77777777" w:rsidR="000439BA" w:rsidRPr="00F717FD" w:rsidRDefault="000439BA" w:rsidP="000439BA">
      <w:pPr>
        <w:jc w:val="both"/>
        <w:rPr>
          <w:szCs w:val="24"/>
        </w:rPr>
      </w:pPr>
    </w:p>
    <w:p w14:paraId="322E57B0" w14:textId="77777777" w:rsidR="000439BA" w:rsidRDefault="000439BA" w:rsidP="000439BA">
      <w:pPr>
        <w:jc w:val="both"/>
        <w:rPr>
          <w:szCs w:val="24"/>
        </w:rPr>
      </w:pPr>
      <w:r w:rsidRPr="00EC4990">
        <w:t>(3) Registri turvaklass on K1T2S2.</w:t>
      </w:r>
    </w:p>
    <w:p w14:paraId="36E6BE73" w14:textId="77777777" w:rsidR="000439BA" w:rsidRDefault="000439BA" w:rsidP="000439BA">
      <w:pPr>
        <w:jc w:val="both"/>
        <w:rPr>
          <w:szCs w:val="24"/>
        </w:rPr>
      </w:pPr>
    </w:p>
    <w:p w14:paraId="4D250E81" w14:textId="77777777" w:rsidR="000439BA" w:rsidRPr="00F717FD" w:rsidRDefault="000439BA" w:rsidP="000439BA">
      <w:pPr>
        <w:jc w:val="both"/>
        <w:rPr>
          <w:szCs w:val="24"/>
        </w:rPr>
      </w:pPr>
      <w:r w:rsidRPr="00EC4990">
        <w:t>(4) Registri turbeaste on keskmine (M).</w:t>
      </w:r>
    </w:p>
    <w:p w14:paraId="21AA44B4" w14:textId="77777777" w:rsidR="000439BA" w:rsidRPr="00F717FD" w:rsidRDefault="000439BA" w:rsidP="000439BA">
      <w:pPr>
        <w:jc w:val="both"/>
        <w:rPr>
          <w:szCs w:val="24"/>
        </w:rPr>
      </w:pPr>
    </w:p>
    <w:p w14:paraId="1C1A7F11" w14:textId="52E05F32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5. Andmete õiguslik tähendus</w:t>
      </w:r>
    </w:p>
    <w:p w14:paraId="3F896234" w14:textId="04B0EB7E" w:rsidR="000439BA" w:rsidRPr="00F717FD" w:rsidRDefault="000439BA" w:rsidP="000439BA">
      <w:pPr>
        <w:jc w:val="both"/>
        <w:rPr>
          <w:szCs w:val="24"/>
        </w:rPr>
      </w:pPr>
    </w:p>
    <w:p w14:paraId="1489331E" w14:textId="45A23D9B" w:rsidR="000439BA" w:rsidRPr="00F717FD" w:rsidRDefault="000439BA" w:rsidP="000439BA">
      <w:pPr>
        <w:jc w:val="both"/>
        <w:rPr>
          <w:szCs w:val="24"/>
        </w:rPr>
      </w:pPr>
      <w:r w:rsidRPr="00EC4990">
        <w:t>Registri andmetel on informatiivne tähendus.</w:t>
      </w:r>
    </w:p>
    <w:p w14:paraId="6E7AD1A6" w14:textId="77777777" w:rsidR="000439BA" w:rsidRDefault="000439BA" w:rsidP="000439BA">
      <w:pPr>
        <w:rPr>
          <w:rFonts w:cs="Arial"/>
        </w:rPr>
      </w:pPr>
    </w:p>
    <w:p w14:paraId="78C9BFA4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3. peatükk</w:t>
      </w:r>
    </w:p>
    <w:p w14:paraId="6EC9FDF9" w14:textId="77777777" w:rsidR="000439BA" w:rsidRDefault="000439BA" w:rsidP="000439BA">
      <w:pPr>
        <w:jc w:val="center"/>
        <w:rPr>
          <w:b/>
          <w:bCs/>
        </w:rPr>
      </w:pPr>
      <w:r w:rsidRPr="000439BA">
        <w:rPr>
          <w:b/>
          <w:bCs/>
        </w:rPr>
        <w:t>Andmete esitamine, andmete koosseis, andmete registrisse kandmine ja muutmine ning registrisse logimine</w:t>
      </w:r>
    </w:p>
    <w:p w14:paraId="56211BFD" w14:textId="77777777" w:rsidR="000439BA" w:rsidRDefault="000439BA" w:rsidP="000439BA">
      <w:pPr>
        <w:rPr>
          <w:rFonts w:cs="Arial"/>
        </w:rPr>
      </w:pPr>
    </w:p>
    <w:p w14:paraId="4F3B8D5B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6. Andmete esitajad ja esitamise viis</w:t>
      </w:r>
    </w:p>
    <w:p w14:paraId="3AAAAABC" w14:textId="77777777" w:rsidR="000439BA" w:rsidRPr="00F717FD" w:rsidRDefault="000439BA" w:rsidP="000439BA">
      <w:pPr>
        <w:jc w:val="both"/>
        <w:rPr>
          <w:szCs w:val="24"/>
        </w:rPr>
      </w:pPr>
    </w:p>
    <w:p w14:paraId="4064BD7F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Registrile esita</w:t>
      </w:r>
      <w:r>
        <w:t>vad andmeid</w:t>
      </w:r>
      <w:r w:rsidRPr="00EC4990">
        <w:t xml:space="preserve"> tuberkuloosijuhte nii elupuhuselt kui ka pärast surma diagnoosiv ja tuberkuloosihaiget raviv tervishoiuteenuse osutaja ning riikliku ekspertiisiasutuse kohtuarstlik ekspert.</w:t>
      </w:r>
    </w:p>
    <w:p w14:paraId="73C68AC0" w14:textId="77777777" w:rsidR="000439BA" w:rsidRPr="00F717FD" w:rsidRDefault="000439BA" w:rsidP="000439BA">
      <w:pPr>
        <w:jc w:val="both"/>
        <w:rPr>
          <w:szCs w:val="24"/>
        </w:rPr>
      </w:pPr>
    </w:p>
    <w:p w14:paraId="22C5CAE2" w14:textId="77777777" w:rsidR="000439BA" w:rsidRPr="00F717FD" w:rsidRDefault="000439BA" w:rsidP="000439BA">
      <w:pPr>
        <w:jc w:val="both"/>
      </w:pPr>
      <w:r>
        <w:t>(2) Paragrahvides 7–9 nimetatud andmed esitatakse 14 kalendripäeva jooksul tuberkuloosi diagnoosimisest või ravi lõpetamisest.</w:t>
      </w:r>
    </w:p>
    <w:p w14:paraId="1904FF92" w14:textId="77777777" w:rsidR="000439BA" w:rsidRPr="00F717FD" w:rsidRDefault="000439BA" w:rsidP="000439BA">
      <w:pPr>
        <w:jc w:val="both"/>
        <w:rPr>
          <w:szCs w:val="24"/>
        </w:rPr>
      </w:pPr>
    </w:p>
    <w:p w14:paraId="6FCD31BE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Registrile esitatakse andmed paberil, elektroonselt või riigi infosüsteemide andmevahetuskihi kaudu. Andmete esitamisel lisatakse esitaja allkiri, digitaalallkiri või asutuse e-tempel.</w:t>
      </w:r>
    </w:p>
    <w:p w14:paraId="2DFA3E96" w14:textId="77777777" w:rsidR="000439BA" w:rsidRDefault="000439BA" w:rsidP="000439BA">
      <w:pPr>
        <w:rPr>
          <w:rFonts w:cs="Arial"/>
        </w:rPr>
      </w:pPr>
    </w:p>
    <w:p w14:paraId="743FBE01" w14:textId="77777777" w:rsidR="000439BA" w:rsidRPr="00FF2A92" w:rsidRDefault="000439BA" w:rsidP="000439BA">
      <w:pPr>
        <w:jc w:val="both"/>
        <w:rPr>
          <w:b/>
          <w:bCs/>
        </w:rPr>
      </w:pPr>
      <w:r w:rsidRPr="75086018">
        <w:rPr>
          <w:b/>
          <w:bCs/>
        </w:rPr>
        <w:t>§ 7. Tervishoiuteenuse osutaja esitatavad andmed</w:t>
      </w:r>
    </w:p>
    <w:p w14:paraId="4C69316F" w14:textId="77777777" w:rsidR="000439BA" w:rsidRDefault="000439BA" w:rsidP="000439BA">
      <w:pPr>
        <w:rPr>
          <w:rFonts w:cs="Arial"/>
        </w:rPr>
      </w:pPr>
    </w:p>
    <w:p w14:paraId="7A9A5FF0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Tuberkuloosihaige üldandmed:</w:t>
      </w:r>
    </w:p>
    <w:p w14:paraId="0F5F7A9E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isikukood;</w:t>
      </w:r>
    </w:p>
    <w:p w14:paraId="5CEFBFC3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sünniaeg;</w:t>
      </w:r>
    </w:p>
    <w:p w14:paraId="749C76CD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sugu;</w:t>
      </w:r>
    </w:p>
    <w:p w14:paraId="318683F2" w14:textId="77777777" w:rsidR="000439BA" w:rsidRPr="00D61688" w:rsidRDefault="000439BA" w:rsidP="000439BA">
      <w:pPr>
        <w:jc w:val="both"/>
      </w:pPr>
      <w:r w:rsidRPr="00EC4990">
        <w:t>4) ees- ja perekonnanimi;</w:t>
      </w:r>
    </w:p>
    <w:p w14:paraId="10809CEE" w14:textId="77777777" w:rsidR="000439BA" w:rsidRPr="00F717FD" w:rsidRDefault="000439BA" w:rsidP="000439BA">
      <w:pPr>
        <w:jc w:val="both"/>
        <w:rPr>
          <w:szCs w:val="24"/>
        </w:rPr>
      </w:pPr>
      <w:r>
        <w:t>5</w:t>
      </w:r>
      <w:r w:rsidRPr="00EC4990">
        <w:t>) sünnikoht (riik);</w:t>
      </w:r>
    </w:p>
    <w:p w14:paraId="31110AE9" w14:textId="77777777" w:rsidR="000439BA" w:rsidRPr="00F717FD" w:rsidRDefault="000439BA" w:rsidP="000439BA">
      <w:pPr>
        <w:jc w:val="both"/>
        <w:rPr>
          <w:szCs w:val="24"/>
        </w:rPr>
      </w:pPr>
      <w:r>
        <w:t>6</w:t>
      </w:r>
      <w:r w:rsidRPr="00EC4990">
        <w:t>) elukoht;</w:t>
      </w:r>
    </w:p>
    <w:p w14:paraId="75DC6C2D" w14:textId="77777777" w:rsidR="000439BA" w:rsidRPr="00F717FD" w:rsidRDefault="000439BA" w:rsidP="000439BA">
      <w:pPr>
        <w:jc w:val="both"/>
        <w:rPr>
          <w:szCs w:val="24"/>
        </w:rPr>
      </w:pPr>
      <w:r>
        <w:t>7</w:t>
      </w:r>
      <w:r w:rsidRPr="00EC4990">
        <w:t>) Eestisse saabumise kuupäev;</w:t>
      </w:r>
    </w:p>
    <w:p w14:paraId="242EEAE4" w14:textId="77777777" w:rsidR="000439BA" w:rsidRPr="00F717FD" w:rsidRDefault="000439BA" w:rsidP="000439BA">
      <w:pPr>
        <w:jc w:val="both"/>
        <w:rPr>
          <w:szCs w:val="24"/>
        </w:rPr>
      </w:pPr>
      <w:r>
        <w:t>8</w:t>
      </w:r>
      <w:r w:rsidRPr="00EC4990">
        <w:t>) ravikindlustusega hõlmatus.</w:t>
      </w:r>
    </w:p>
    <w:p w14:paraId="36F60013" w14:textId="77777777" w:rsidR="000439BA" w:rsidRDefault="000439BA" w:rsidP="000439BA">
      <w:pPr>
        <w:rPr>
          <w:rFonts w:cs="Arial"/>
        </w:rPr>
      </w:pPr>
    </w:p>
    <w:p w14:paraId="166DAB2D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Tuberkuloosihaige tegevusala ja -koha andmed:</w:t>
      </w:r>
    </w:p>
    <w:p w14:paraId="084CA1C3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tegevusala – amet ja töökoht diagnoosimisele eelneva kuue kuu jooksul;</w:t>
      </w:r>
    </w:p>
    <w:p w14:paraId="7EE66318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asutuse tegevusala ja EMTAK kood;</w:t>
      </w:r>
    </w:p>
    <w:p w14:paraId="677484D4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asutuse aadress, kui samast töökollektiivist või asutusest on tuberkuloosi haigestunud rohkem kui üks isik või kui haigestunud on haridusasutuse, tervishoiuteenust osutava asutuse või hoolekandeasutuse töötaja või toidukäitleja;</w:t>
      </w:r>
    </w:p>
    <w:p w14:paraId="7C18B59E" w14:textId="77777777" w:rsidR="000439BA" w:rsidRPr="00F717FD" w:rsidRDefault="000439BA" w:rsidP="000439BA">
      <w:pPr>
        <w:jc w:val="both"/>
        <w:rPr>
          <w:szCs w:val="24"/>
        </w:rPr>
      </w:pPr>
      <w:r w:rsidRPr="00EC4990">
        <w:t>4) asutuse nimi ja aadress, kui isik viibib hoolekande- või kinnipidamisasutuses;</w:t>
      </w:r>
    </w:p>
    <w:p w14:paraId="5AFC7139" w14:textId="77777777" w:rsidR="000439BA" w:rsidRPr="00F717FD" w:rsidRDefault="000439BA" w:rsidP="000439BA">
      <w:pPr>
        <w:jc w:val="both"/>
        <w:rPr>
          <w:szCs w:val="24"/>
        </w:rPr>
      </w:pPr>
      <w:r w:rsidRPr="00EC4990">
        <w:t>5) asutuse nimi ja aadress, kui isik õpib haridusasutuses;</w:t>
      </w:r>
    </w:p>
    <w:p w14:paraId="2190773E" w14:textId="77777777" w:rsidR="000439BA" w:rsidRPr="00F717FD" w:rsidRDefault="000439BA" w:rsidP="000439BA">
      <w:pPr>
        <w:jc w:val="both"/>
        <w:rPr>
          <w:szCs w:val="24"/>
        </w:rPr>
      </w:pPr>
      <w:r w:rsidRPr="00EC4990">
        <w:t>6) elamisviis;</w:t>
      </w:r>
    </w:p>
    <w:p w14:paraId="3E3B4FB4" w14:textId="77777777" w:rsidR="000439BA" w:rsidRPr="00F717FD" w:rsidRDefault="000439BA" w:rsidP="000439BA">
      <w:pPr>
        <w:jc w:val="both"/>
        <w:rPr>
          <w:szCs w:val="24"/>
        </w:rPr>
      </w:pPr>
      <w:r w:rsidRPr="00EC4990">
        <w:t>7) varasem viibimine kinnipidamiskohas;</w:t>
      </w:r>
    </w:p>
    <w:p w14:paraId="046D7F7D" w14:textId="77777777" w:rsidR="000439BA" w:rsidRPr="00F717FD" w:rsidRDefault="000439BA" w:rsidP="000439BA">
      <w:pPr>
        <w:jc w:val="both"/>
        <w:rPr>
          <w:szCs w:val="24"/>
        </w:rPr>
      </w:pPr>
      <w:r w:rsidRPr="00EC4990">
        <w:t>8) teadaolev tuberkuloosikontakt;</w:t>
      </w:r>
    </w:p>
    <w:p w14:paraId="77C0A2BE" w14:textId="77777777" w:rsidR="000439BA" w:rsidRPr="00F717FD" w:rsidRDefault="000439BA" w:rsidP="000439BA">
      <w:pPr>
        <w:jc w:val="both"/>
        <w:rPr>
          <w:szCs w:val="24"/>
        </w:rPr>
      </w:pPr>
      <w:r w:rsidRPr="00EC4990">
        <w:t>9) andmed diagnoosimise ning ravieelsel nakkuslikul perioodil reisimise ja välisriigis viibimise kohta.</w:t>
      </w:r>
    </w:p>
    <w:p w14:paraId="3430460A" w14:textId="77777777" w:rsidR="000439BA" w:rsidRDefault="000439BA" w:rsidP="000439BA">
      <w:pPr>
        <w:rPr>
          <w:rFonts w:cs="Arial"/>
        </w:rPr>
      </w:pPr>
    </w:p>
    <w:p w14:paraId="3AFBC094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Tuberkuloosihaige riskitegurite andmed:</w:t>
      </w:r>
    </w:p>
    <w:p w14:paraId="6717CA86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immuunsuse mõjutajad;</w:t>
      </w:r>
    </w:p>
    <w:p w14:paraId="16C171F1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sõltuvusainete kasutamine.</w:t>
      </w:r>
    </w:p>
    <w:p w14:paraId="163CD650" w14:textId="77777777" w:rsidR="000439BA" w:rsidRDefault="000439BA" w:rsidP="000439BA">
      <w:pPr>
        <w:rPr>
          <w:rFonts w:cs="Arial"/>
        </w:rPr>
      </w:pPr>
    </w:p>
    <w:p w14:paraId="36F67189" w14:textId="77777777" w:rsidR="000439BA" w:rsidRPr="00F717FD" w:rsidRDefault="000439BA" w:rsidP="000439BA">
      <w:pPr>
        <w:jc w:val="both"/>
        <w:rPr>
          <w:szCs w:val="24"/>
        </w:rPr>
      </w:pPr>
      <w:r w:rsidRPr="00EC4990">
        <w:lastRenderedPageBreak/>
        <w:t>(4) Tuberkuloosihaige haigestumise, ravi ja surma andmed:</w:t>
      </w:r>
    </w:p>
    <w:p w14:paraId="276E70A2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diagnoos (RHK</w:t>
      </w:r>
      <w:r>
        <w:t xml:space="preserve"> kood)</w:t>
      </w:r>
      <w:r w:rsidRPr="00EC4990">
        <w:t xml:space="preserve"> ja </w:t>
      </w:r>
      <w:proofErr w:type="spellStart"/>
      <w:r w:rsidRPr="00EC4990">
        <w:t>paige</w:t>
      </w:r>
      <w:proofErr w:type="spellEnd"/>
      <w:r w:rsidRPr="00EC4990">
        <w:t>;</w:t>
      </w:r>
    </w:p>
    <w:p w14:paraId="52E3C4DA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kopsutuberkuloosi leid, vorm ja lagunemine;</w:t>
      </w:r>
    </w:p>
    <w:p w14:paraId="0703BC69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kaasuva haiguse ja seisundi diagnoos (RHK</w:t>
      </w:r>
      <w:r>
        <w:t xml:space="preserve"> kood)</w:t>
      </w:r>
      <w:r w:rsidRPr="00EC4990">
        <w:t>;</w:t>
      </w:r>
    </w:p>
    <w:p w14:paraId="355FBA1F" w14:textId="77777777" w:rsidR="000439BA" w:rsidRPr="00F717FD" w:rsidRDefault="000439BA" w:rsidP="000439BA">
      <w:pPr>
        <w:jc w:val="both"/>
        <w:rPr>
          <w:szCs w:val="24"/>
        </w:rPr>
      </w:pPr>
      <w:r w:rsidRPr="00EC4990">
        <w:t>4) diagnoosimise viis ja kuupäev;</w:t>
      </w:r>
    </w:p>
    <w:p w14:paraId="34741705" w14:textId="77777777" w:rsidR="000439BA" w:rsidRPr="00F717FD" w:rsidRDefault="000439BA" w:rsidP="000439BA">
      <w:pPr>
        <w:jc w:val="both"/>
        <w:rPr>
          <w:szCs w:val="24"/>
        </w:rPr>
      </w:pPr>
      <w:r w:rsidRPr="00EC4990">
        <w:t>5) seisund ravi alustamisel;</w:t>
      </w:r>
    </w:p>
    <w:p w14:paraId="64A3F9E6" w14:textId="77777777" w:rsidR="000439BA" w:rsidRPr="00F717FD" w:rsidRDefault="000439BA" w:rsidP="000439BA">
      <w:pPr>
        <w:jc w:val="both"/>
        <w:rPr>
          <w:szCs w:val="24"/>
        </w:rPr>
      </w:pPr>
      <w:r w:rsidRPr="00EC4990">
        <w:t>6) retsidiivil varasema ravi alustamise kuupäev;</w:t>
      </w:r>
    </w:p>
    <w:p w14:paraId="01B6D9A8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7) ravi alustamise kuupäev ja </w:t>
      </w:r>
      <w:proofErr w:type="spellStart"/>
      <w:r w:rsidRPr="00EC4990">
        <w:t>multiresistentse</w:t>
      </w:r>
      <w:proofErr w:type="spellEnd"/>
      <w:r w:rsidRPr="00EC4990">
        <w:t xml:space="preserve"> ravi alustamise kuupäev;</w:t>
      </w:r>
    </w:p>
    <w:p w14:paraId="5EC8A120" w14:textId="77777777" w:rsidR="000439BA" w:rsidRPr="00F717FD" w:rsidRDefault="000439BA" w:rsidP="000439BA">
      <w:pPr>
        <w:jc w:val="both"/>
        <w:rPr>
          <w:szCs w:val="24"/>
        </w:rPr>
      </w:pPr>
      <w:r w:rsidRPr="00EC4990">
        <w:t>8) ravi käik, sealhulgas ambulatoorne ja statsionaarne ravi;</w:t>
      </w:r>
    </w:p>
    <w:p w14:paraId="51DA3114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9) ravi jooksul kasutatud ravimid, sealhulgas toimeaine, annus, ravimi manustamise algus- ja lõppkuupäev, ravipäevade arv </w:t>
      </w:r>
      <w:r>
        <w:t>ja</w:t>
      </w:r>
      <w:r w:rsidRPr="00EC4990">
        <w:t xml:space="preserve"> ravimite kõrvaltoimed;</w:t>
      </w:r>
    </w:p>
    <w:p w14:paraId="3A999EB0" w14:textId="77777777" w:rsidR="000439BA" w:rsidRPr="00F717FD" w:rsidRDefault="000439BA" w:rsidP="000439BA">
      <w:pPr>
        <w:jc w:val="both"/>
        <w:rPr>
          <w:szCs w:val="24"/>
        </w:rPr>
      </w:pPr>
      <w:r w:rsidRPr="00EC4990">
        <w:t>10) ravi katkestamise või mitteefektiivse ravi põhjus;</w:t>
      </w:r>
    </w:p>
    <w:p w14:paraId="32699849" w14:textId="77777777" w:rsidR="000439BA" w:rsidRPr="00F717FD" w:rsidRDefault="000439BA" w:rsidP="000439BA">
      <w:pPr>
        <w:jc w:val="both"/>
        <w:rPr>
          <w:szCs w:val="24"/>
        </w:rPr>
      </w:pPr>
      <w:r w:rsidRPr="00EC4990">
        <w:t>11) tuberkuloosihaige kehakaal ravi alustamisel ja lõpetamisel;</w:t>
      </w:r>
    </w:p>
    <w:p w14:paraId="1803F3E6" w14:textId="77777777" w:rsidR="000439BA" w:rsidRPr="00F717FD" w:rsidRDefault="000439BA" w:rsidP="000439BA">
      <w:pPr>
        <w:jc w:val="both"/>
        <w:rPr>
          <w:szCs w:val="24"/>
        </w:rPr>
      </w:pPr>
      <w:r w:rsidRPr="00EC4990">
        <w:t>12) tuberkuloosihaige pikkus;</w:t>
      </w:r>
    </w:p>
    <w:p w14:paraId="6AB08E0D" w14:textId="77777777" w:rsidR="000439BA" w:rsidRPr="00F717FD" w:rsidRDefault="000439BA" w:rsidP="000439BA">
      <w:pPr>
        <w:jc w:val="both"/>
        <w:rPr>
          <w:szCs w:val="24"/>
        </w:rPr>
      </w:pPr>
      <w:r w:rsidRPr="00EC4990">
        <w:t>13) raviotsused, märkused ravi käigu ja ravikorralduse rikkumise kohta;</w:t>
      </w:r>
    </w:p>
    <w:p w14:paraId="12467E37" w14:textId="77777777" w:rsidR="000439BA" w:rsidRPr="00F717FD" w:rsidRDefault="000439BA" w:rsidP="000439BA">
      <w:pPr>
        <w:jc w:val="both"/>
        <w:rPr>
          <w:szCs w:val="24"/>
        </w:rPr>
      </w:pPr>
      <w:r w:rsidRPr="00EC4990">
        <w:t>14) tahtest olenemata ravi kohaldamine ning algus- ja lõppkuupäev;</w:t>
      </w:r>
    </w:p>
    <w:p w14:paraId="3564B044" w14:textId="77777777" w:rsidR="000439BA" w:rsidRPr="00F717FD" w:rsidRDefault="000439BA" w:rsidP="000439BA">
      <w:pPr>
        <w:jc w:val="both"/>
        <w:rPr>
          <w:szCs w:val="24"/>
        </w:rPr>
      </w:pPr>
      <w:r w:rsidRPr="00EC4990">
        <w:t>15) kirurgiline ravi, operatsiooni nimetus ja kuupäev;</w:t>
      </w:r>
    </w:p>
    <w:p w14:paraId="72CAE197" w14:textId="77777777" w:rsidR="000439BA" w:rsidRPr="00F717FD" w:rsidRDefault="000439BA" w:rsidP="000439BA">
      <w:pPr>
        <w:jc w:val="both"/>
        <w:rPr>
          <w:szCs w:val="24"/>
        </w:rPr>
      </w:pPr>
      <w:r w:rsidRPr="00EC4990">
        <w:t>16) operatsiooni teinud tervishoiutöötaja nimi;</w:t>
      </w:r>
    </w:p>
    <w:p w14:paraId="6C3D433B" w14:textId="77777777" w:rsidR="000439BA" w:rsidRPr="00F717FD" w:rsidRDefault="000439BA" w:rsidP="000439BA">
      <w:pPr>
        <w:jc w:val="both"/>
        <w:rPr>
          <w:szCs w:val="24"/>
        </w:rPr>
      </w:pPr>
      <w:r w:rsidRPr="00EC4990">
        <w:t>17) konsiiliumi otsus ja kuupäev;</w:t>
      </w:r>
    </w:p>
    <w:p w14:paraId="05492580" w14:textId="77777777" w:rsidR="000439BA" w:rsidRPr="00F717FD" w:rsidRDefault="000439BA" w:rsidP="000439BA">
      <w:pPr>
        <w:jc w:val="both"/>
        <w:rPr>
          <w:szCs w:val="24"/>
        </w:rPr>
      </w:pPr>
      <w:r w:rsidRPr="00EC4990">
        <w:t>18) ravi lõpetamise kuupäev;</w:t>
      </w:r>
    </w:p>
    <w:p w14:paraId="623044BD" w14:textId="3A4708B5" w:rsidR="000439BA" w:rsidRPr="00F717FD" w:rsidRDefault="000439BA" w:rsidP="000439BA">
      <w:pPr>
        <w:jc w:val="both"/>
        <w:rPr>
          <w:szCs w:val="24"/>
        </w:rPr>
      </w:pPr>
      <w:r w:rsidRPr="00EC4990">
        <w:t>19) seisund ravi lõpus</w:t>
      </w:r>
      <w:r w:rsidR="00DD60CA">
        <w:t>.</w:t>
      </w:r>
    </w:p>
    <w:p w14:paraId="70C9EB10" w14:textId="77777777" w:rsidR="000439BA" w:rsidRDefault="000439BA" w:rsidP="000439BA">
      <w:pPr>
        <w:rPr>
          <w:rFonts w:cs="Arial"/>
        </w:rPr>
      </w:pPr>
    </w:p>
    <w:p w14:paraId="0D4BADF1" w14:textId="77777777" w:rsidR="000439BA" w:rsidRPr="00F717FD" w:rsidRDefault="000439BA" w:rsidP="000439BA">
      <w:pPr>
        <w:jc w:val="both"/>
        <w:rPr>
          <w:szCs w:val="24"/>
        </w:rPr>
      </w:pPr>
      <w:r w:rsidRPr="00EC4990">
        <w:t>(5) Tuberkuloosihaigele tehtud uuringute andmed:</w:t>
      </w:r>
    </w:p>
    <w:p w14:paraId="2B5CA409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röga või muu materjali uuringud;</w:t>
      </w:r>
    </w:p>
    <w:p w14:paraId="1C0DAA90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histoloogilise uuringu tulemus;</w:t>
      </w:r>
    </w:p>
    <w:p w14:paraId="5355201E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HIV-testi tulemus ja kuupäev;</w:t>
      </w:r>
    </w:p>
    <w:p w14:paraId="03BDF585" w14:textId="77777777" w:rsidR="000439BA" w:rsidRPr="00F717FD" w:rsidRDefault="000439BA" w:rsidP="000439BA">
      <w:pPr>
        <w:jc w:val="both"/>
        <w:rPr>
          <w:szCs w:val="24"/>
        </w:rPr>
      </w:pPr>
      <w:r w:rsidRPr="00EC4990">
        <w:t>4)</w:t>
      </w:r>
      <w:r>
        <w:t xml:space="preserve"> </w:t>
      </w:r>
      <w:r w:rsidRPr="00EC4990">
        <w:t>HIV-positiivsel tuberkuloosihaigel</w:t>
      </w:r>
      <w:r>
        <w:t xml:space="preserve"> </w:t>
      </w:r>
      <w:proofErr w:type="spellStart"/>
      <w:r w:rsidRPr="00EC4990">
        <w:t>antiretroviirusravi</w:t>
      </w:r>
      <w:proofErr w:type="spellEnd"/>
      <w:r w:rsidRPr="00EC4990">
        <w:t xml:space="preserve"> alustamise kuupäev</w:t>
      </w:r>
      <w:r>
        <w:t xml:space="preserve"> ja </w:t>
      </w:r>
      <w:r w:rsidRPr="00EC4990">
        <w:t>immuunsuse näitajad.</w:t>
      </w:r>
    </w:p>
    <w:p w14:paraId="2980A1E5" w14:textId="77777777" w:rsidR="000439BA" w:rsidRDefault="000439BA" w:rsidP="000439BA">
      <w:pPr>
        <w:rPr>
          <w:rFonts w:cs="Arial"/>
        </w:rPr>
      </w:pPr>
    </w:p>
    <w:p w14:paraId="46CF98F8" w14:textId="77777777" w:rsidR="000439BA" w:rsidRPr="00F717FD" w:rsidRDefault="000439BA" w:rsidP="000439BA">
      <w:pPr>
        <w:jc w:val="both"/>
        <w:rPr>
          <w:szCs w:val="24"/>
        </w:rPr>
      </w:pPr>
      <w:r w:rsidRPr="00EC4990">
        <w:t>(6) Tervishoiuteenuse osutaja ja andmete esitamise andmed:</w:t>
      </w:r>
    </w:p>
    <w:p w14:paraId="252C4693" w14:textId="77777777" w:rsidR="000439BA" w:rsidRPr="00F717FD" w:rsidRDefault="000439BA" w:rsidP="000439BA">
      <w:pPr>
        <w:jc w:val="both"/>
        <w:rPr>
          <w:szCs w:val="24"/>
        </w:rPr>
      </w:pPr>
      <w:r w:rsidRPr="00EC4990">
        <w:t>1) tervishoiuteenuse osutaja asutuse nimi;</w:t>
      </w:r>
    </w:p>
    <w:p w14:paraId="2E9C3F22" w14:textId="77777777" w:rsidR="000439BA" w:rsidRPr="00F717FD" w:rsidRDefault="000439BA" w:rsidP="000439BA">
      <w:pPr>
        <w:jc w:val="both"/>
      </w:pPr>
      <w:r>
        <w:t>2) andmete esitaja ees- ja perekonnanimi, ametikoht ja registreerimiskood;</w:t>
      </w:r>
    </w:p>
    <w:p w14:paraId="3B2ECB00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tuberkuloosiravi eest vastutava tervishoiutöötaja ees- ja perekonnanimi;</w:t>
      </w:r>
    </w:p>
    <w:p w14:paraId="0D2E9C10" w14:textId="77777777" w:rsidR="000439BA" w:rsidRDefault="000439BA" w:rsidP="000439BA">
      <w:r w:rsidRPr="00EC4990">
        <w:t>4) andmete esitamise kuupäev.</w:t>
      </w:r>
    </w:p>
    <w:p w14:paraId="5025DC37" w14:textId="77777777" w:rsidR="000439BA" w:rsidRDefault="000439BA" w:rsidP="000439BA"/>
    <w:p w14:paraId="577E11FB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8. Riikliku ekspertiisiasutuse kohtuarstliku eksperdi ja uuringu teinud labori esitatavad andmed</w:t>
      </w:r>
    </w:p>
    <w:p w14:paraId="1A84A885" w14:textId="77777777" w:rsidR="000439BA" w:rsidRDefault="000439BA" w:rsidP="000439BA">
      <w:pPr>
        <w:rPr>
          <w:rFonts w:cs="Arial"/>
        </w:rPr>
      </w:pPr>
    </w:p>
    <w:p w14:paraId="6E41C417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Riikliku ekspertiisiasutuse kohtuarstlik ekspert esitab järgmised andmed:</w:t>
      </w:r>
    </w:p>
    <w:p w14:paraId="6C0C9506" w14:textId="77777777" w:rsidR="000439BA" w:rsidRPr="00F717FD" w:rsidRDefault="000439BA" w:rsidP="000439BA">
      <w:pPr>
        <w:jc w:val="both"/>
      </w:pPr>
      <w:r>
        <w:t xml:space="preserve">1) </w:t>
      </w:r>
      <w:bookmarkStart w:id="0" w:name="_Hlk200111917"/>
      <w:r>
        <w:t>paragrahv</w:t>
      </w:r>
      <w:bookmarkEnd w:id="0"/>
      <w:r>
        <w:t>i 7 lõike 1 punktides 1–4 ja 7 nimetatud andmed;</w:t>
      </w:r>
    </w:p>
    <w:p w14:paraId="39BDEBF5" w14:textId="77777777" w:rsidR="000439BA" w:rsidRPr="00F717FD" w:rsidRDefault="000439BA" w:rsidP="000439BA">
      <w:pPr>
        <w:jc w:val="both"/>
      </w:pPr>
      <w:r>
        <w:t xml:space="preserve">2) </w:t>
      </w:r>
      <w:r w:rsidRPr="00C92741">
        <w:t>paragrahv</w:t>
      </w:r>
      <w:r>
        <w:t>i 7 lõike 4 punktides 1 ja 3 nimetatud andmed;</w:t>
      </w:r>
    </w:p>
    <w:p w14:paraId="4611FBAE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tuberkuloosibakteri leid;</w:t>
      </w:r>
    </w:p>
    <w:p w14:paraId="3AF12EB5" w14:textId="77777777" w:rsidR="000439BA" w:rsidRPr="00F717FD" w:rsidRDefault="000439BA" w:rsidP="000439BA">
      <w:pPr>
        <w:jc w:val="both"/>
        <w:rPr>
          <w:szCs w:val="24"/>
        </w:rPr>
      </w:pPr>
      <w:r w:rsidRPr="00EC4990">
        <w:t>4) histoloogilise uuringu tulemus;</w:t>
      </w:r>
    </w:p>
    <w:p w14:paraId="5199B031" w14:textId="77777777" w:rsidR="000439BA" w:rsidRPr="00F717FD" w:rsidRDefault="000439BA" w:rsidP="000439BA">
      <w:pPr>
        <w:jc w:val="both"/>
      </w:pPr>
      <w:r>
        <w:t>5) uuringu teinud riikliku ekspertiisiasutuse kohtuarstliku eksperdi ees- ja perekonnanimi, ametikoht ja registreerimiskood;</w:t>
      </w:r>
    </w:p>
    <w:p w14:paraId="10092ADC" w14:textId="77777777" w:rsidR="000439BA" w:rsidRPr="00F717FD" w:rsidRDefault="000439BA" w:rsidP="000439BA">
      <w:pPr>
        <w:jc w:val="both"/>
        <w:rPr>
          <w:szCs w:val="24"/>
        </w:rPr>
      </w:pPr>
      <w:r w:rsidRPr="00EC4990">
        <w:t>6) riikliku ekspertiisiasutuse nimi;</w:t>
      </w:r>
    </w:p>
    <w:p w14:paraId="4ABDF258" w14:textId="77777777" w:rsidR="000439BA" w:rsidRPr="00F717FD" w:rsidRDefault="000439BA" w:rsidP="000439BA">
      <w:pPr>
        <w:jc w:val="both"/>
      </w:pPr>
      <w:r>
        <w:t>7) andmete esitaja ees- ja perekonnanimi, ametikoht ja registreerimiskood;</w:t>
      </w:r>
    </w:p>
    <w:p w14:paraId="7406EB30" w14:textId="77777777" w:rsidR="000439BA" w:rsidRDefault="000439BA" w:rsidP="000439BA">
      <w:r>
        <w:t>8) andmete esitamise kuupäev.</w:t>
      </w:r>
    </w:p>
    <w:p w14:paraId="48798CBE" w14:textId="77777777" w:rsidR="000439BA" w:rsidRDefault="000439BA" w:rsidP="000439BA"/>
    <w:p w14:paraId="7A193C0C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Uuringu teinud labor esitab järgmised andmed:</w:t>
      </w:r>
    </w:p>
    <w:p w14:paraId="35218F32" w14:textId="77777777" w:rsidR="000439BA" w:rsidRPr="00F717FD" w:rsidRDefault="000439BA" w:rsidP="000439BA">
      <w:pPr>
        <w:jc w:val="both"/>
      </w:pPr>
      <w:r>
        <w:t xml:space="preserve">1) </w:t>
      </w:r>
      <w:r w:rsidRPr="00C92741">
        <w:t>paragrahv</w:t>
      </w:r>
      <w:r>
        <w:t>i</w:t>
      </w:r>
      <w:r w:rsidRPr="00C92741">
        <w:t xml:space="preserve"> </w:t>
      </w:r>
      <w:r>
        <w:t>7 lõike 1 punktides 1 ja 4 nimetatud andmed;</w:t>
      </w:r>
    </w:p>
    <w:p w14:paraId="637F4E4C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 uuringumaterjali nimetus;</w:t>
      </w:r>
    </w:p>
    <w:p w14:paraId="25EBB159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uuringumaterjali saabumise kuupäev ja uuringu vastuse kuupäev;</w:t>
      </w:r>
    </w:p>
    <w:p w14:paraId="5DFF60D9" w14:textId="77777777" w:rsidR="000439BA" w:rsidRPr="00F717FD" w:rsidRDefault="000439BA" w:rsidP="000439BA">
      <w:pPr>
        <w:jc w:val="both"/>
        <w:rPr>
          <w:szCs w:val="24"/>
        </w:rPr>
      </w:pPr>
      <w:r w:rsidRPr="00EC4990">
        <w:t>4) analüüsi number;</w:t>
      </w:r>
    </w:p>
    <w:p w14:paraId="2933438B" w14:textId="77777777" w:rsidR="000439BA" w:rsidRPr="00F717FD" w:rsidRDefault="000439BA" w:rsidP="000439BA">
      <w:pPr>
        <w:jc w:val="both"/>
        <w:rPr>
          <w:szCs w:val="24"/>
        </w:rPr>
      </w:pPr>
      <w:r w:rsidRPr="00EC4990">
        <w:t>5) mikroskoopilise uuringu tulemus;</w:t>
      </w:r>
    </w:p>
    <w:p w14:paraId="2EB2F5C0" w14:textId="77777777" w:rsidR="000439BA" w:rsidRPr="00F717FD" w:rsidRDefault="000439BA" w:rsidP="000439BA">
      <w:pPr>
        <w:jc w:val="both"/>
        <w:rPr>
          <w:szCs w:val="24"/>
        </w:rPr>
      </w:pPr>
      <w:r w:rsidRPr="00EC4990">
        <w:t>6) külvide tulemused;</w:t>
      </w:r>
    </w:p>
    <w:p w14:paraId="228AA0D1" w14:textId="77777777" w:rsidR="000439BA" w:rsidRPr="00F717FD" w:rsidRDefault="000439BA" w:rsidP="000439BA">
      <w:pPr>
        <w:jc w:val="both"/>
        <w:rPr>
          <w:szCs w:val="24"/>
        </w:rPr>
      </w:pPr>
      <w:r w:rsidRPr="00EC4990">
        <w:lastRenderedPageBreak/>
        <w:t>7) haigustekitaja liik;</w:t>
      </w:r>
    </w:p>
    <w:p w14:paraId="3B483224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8) ravimtundlikkuse andmed ravimite kaupa nii </w:t>
      </w:r>
      <w:proofErr w:type="spellStart"/>
      <w:r w:rsidRPr="00EC4990">
        <w:t>fenotüübilise</w:t>
      </w:r>
      <w:proofErr w:type="spellEnd"/>
      <w:r w:rsidRPr="00EC4990">
        <w:t xml:space="preserve"> kui </w:t>
      </w:r>
      <w:proofErr w:type="spellStart"/>
      <w:r w:rsidRPr="00EC4990">
        <w:t>genotüübilise</w:t>
      </w:r>
      <w:proofErr w:type="spellEnd"/>
      <w:r w:rsidRPr="00EC4990">
        <w:t xml:space="preserve"> metoodika järgi;</w:t>
      </w:r>
    </w:p>
    <w:p w14:paraId="5BB85C1A" w14:textId="77777777" w:rsidR="000439BA" w:rsidRPr="00F717FD" w:rsidRDefault="000439BA" w:rsidP="000439BA">
      <w:pPr>
        <w:jc w:val="both"/>
        <w:rPr>
          <w:szCs w:val="24"/>
        </w:rPr>
      </w:pPr>
      <w:r w:rsidRPr="00EC4990">
        <w:t>9) tuberkuloosibakteri tüpiseerimise tulemused;</w:t>
      </w:r>
    </w:p>
    <w:p w14:paraId="4AB24728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10) </w:t>
      </w:r>
      <w:r w:rsidRPr="007320EC">
        <w:rPr>
          <w:i/>
          <w:iCs/>
        </w:rPr>
        <w:t xml:space="preserve">M. </w:t>
      </w:r>
      <w:proofErr w:type="spellStart"/>
      <w:r w:rsidRPr="007320EC">
        <w:rPr>
          <w:i/>
          <w:iCs/>
        </w:rPr>
        <w:t>tuberculosis</w:t>
      </w:r>
      <w:r w:rsidRPr="00EC4990">
        <w:t>’e</w:t>
      </w:r>
      <w:proofErr w:type="spellEnd"/>
      <w:r w:rsidRPr="00EC4990">
        <w:t xml:space="preserve"> gammainterferooni määramise (IGRA-test) testi tulemus;</w:t>
      </w:r>
    </w:p>
    <w:p w14:paraId="3460B115" w14:textId="77777777" w:rsidR="000439BA" w:rsidRPr="00F717FD" w:rsidRDefault="000439BA" w:rsidP="000439BA">
      <w:pPr>
        <w:jc w:val="both"/>
      </w:pPr>
      <w:r>
        <w:t xml:space="preserve">11) </w:t>
      </w:r>
      <w:r w:rsidRPr="00C92741">
        <w:t>paragrahv</w:t>
      </w:r>
      <w:r>
        <w:t>i 7 lõike 6 punktides 1 ja 2 nimetatud andmed uuringu tellija kohta, välja arvatud ametikoht;</w:t>
      </w:r>
    </w:p>
    <w:p w14:paraId="7C764D83" w14:textId="77777777" w:rsidR="000439BA" w:rsidRPr="00F717FD" w:rsidRDefault="000439BA" w:rsidP="000439BA">
      <w:pPr>
        <w:jc w:val="both"/>
        <w:rPr>
          <w:szCs w:val="24"/>
        </w:rPr>
      </w:pPr>
      <w:r w:rsidRPr="00EC4990">
        <w:t>12) uuringu teinud tervishoiuteenuse osutaja nimi.</w:t>
      </w:r>
    </w:p>
    <w:p w14:paraId="6188A774" w14:textId="77777777" w:rsidR="000439BA" w:rsidRDefault="000439BA" w:rsidP="000439BA">
      <w:pPr>
        <w:rPr>
          <w:rFonts w:cs="Arial"/>
        </w:rPr>
      </w:pPr>
    </w:p>
    <w:p w14:paraId="528CF990" w14:textId="5720A88E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 xml:space="preserve">§ 9. </w:t>
      </w:r>
      <w:r w:rsidR="001A550B">
        <w:rPr>
          <w:b/>
          <w:bCs/>
        </w:rPr>
        <w:t>Andmevahetus andmekogudega</w:t>
      </w:r>
    </w:p>
    <w:p w14:paraId="054EDCC9" w14:textId="77777777" w:rsidR="000439BA" w:rsidRPr="00F717FD" w:rsidRDefault="000439BA" w:rsidP="000439BA">
      <w:pPr>
        <w:jc w:val="both"/>
        <w:rPr>
          <w:szCs w:val="24"/>
        </w:rPr>
      </w:pPr>
    </w:p>
    <w:p w14:paraId="3D78CBD5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Rahvastikuregister edastab registrile järgmised andmed:</w:t>
      </w:r>
    </w:p>
    <w:p w14:paraId="5E3088C9" w14:textId="77777777" w:rsidR="000439BA" w:rsidRDefault="000439BA" w:rsidP="000439BA">
      <w:pPr>
        <w:jc w:val="both"/>
      </w:pPr>
      <w:r>
        <w:t xml:space="preserve">1) </w:t>
      </w:r>
      <w:r w:rsidRPr="00C92741">
        <w:t>paragrahv</w:t>
      </w:r>
      <w:r>
        <w:t>i</w:t>
      </w:r>
      <w:r w:rsidRPr="00C92741">
        <w:t xml:space="preserve"> </w:t>
      </w:r>
      <w:r>
        <w:t>7 lõike 1 punktides 1–7 nimetatud andmed;</w:t>
      </w:r>
    </w:p>
    <w:p w14:paraId="06FC8221" w14:textId="5225C964" w:rsidR="000439BA" w:rsidRDefault="000439BA" w:rsidP="000439BA">
      <w:pPr>
        <w:jc w:val="both"/>
      </w:pPr>
      <w:r>
        <w:t>2) rahvus</w:t>
      </w:r>
      <w:r w:rsidR="00DD60CA">
        <w:t>;</w:t>
      </w:r>
    </w:p>
    <w:p w14:paraId="2018F02D" w14:textId="0EABDFAB" w:rsidR="000439BA" w:rsidRDefault="000439BA" w:rsidP="000439BA">
      <w:pPr>
        <w:jc w:val="both"/>
      </w:pPr>
      <w:r>
        <w:t>3) perekonnaseis</w:t>
      </w:r>
      <w:r w:rsidR="00DD60CA">
        <w:t>;</w:t>
      </w:r>
    </w:p>
    <w:p w14:paraId="77C2AD0F" w14:textId="72B04A88" w:rsidR="000439BA" w:rsidRPr="00F717FD" w:rsidRDefault="000439BA" w:rsidP="000439BA">
      <w:pPr>
        <w:jc w:val="both"/>
      </w:pPr>
      <w:r>
        <w:t>4) haridus</w:t>
      </w:r>
      <w:r w:rsidR="00DD60CA">
        <w:t>;</w:t>
      </w:r>
    </w:p>
    <w:p w14:paraId="027619EE" w14:textId="77777777" w:rsidR="000439BA" w:rsidRPr="00F717FD" w:rsidRDefault="000439BA" w:rsidP="000439BA">
      <w:pPr>
        <w:jc w:val="both"/>
        <w:rPr>
          <w:szCs w:val="24"/>
        </w:rPr>
      </w:pPr>
      <w:r>
        <w:t>5</w:t>
      </w:r>
      <w:r w:rsidRPr="00EC4990">
        <w:t>) varasem ees- ja perekonnanimi;</w:t>
      </w:r>
    </w:p>
    <w:p w14:paraId="07CD6E25" w14:textId="77777777" w:rsidR="000439BA" w:rsidRPr="00F717FD" w:rsidRDefault="000439BA" w:rsidP="000439BA">
      <w:pPr>
        <w:jc w:val="both"/>
        <w:rPr>
          <w:szCs w:val="24"/>
        </w:rPr>
      </w:pPr>
      <w:r>
        <w:t>6</w:t>
      </w:r>
      <w:r w:rsidRPr="00EC4990">
        <w:t xml:space="preserve">) </w:t>
      </w:r>
      <w:r>
        <w:t xml:space="preserve">vajaduse korral </w:t>
      </w:r>
      <w:r w:rsidRPr="00EC4990">
        <w:t>isanimi;</w:t>
      </w:r>
    </w:p>
    <w:p w14:paraId="6F073B23" w14:textId="77777777" w:rsidR="000439BA" w:rsidRPr="00F717FD" w:rsidRDefault="000439BA" w:rsidP="000439BA">
      <w:pPr>
        <w:jc w:val="both"/>
        <w:rPr>
          <w:szCs w:val="24"/>
        </w:rPr>
      </w:pPr>
      <w:r>
        <w:t>7</w:t>
      </w:r>
      <w:r w:rsidRPr="00EC4990">
        <w:t>) kontaktandmed;</w:t>
      </w:r>
    </w:p>
    <w:p w14:paraId="0374994E" w14:textId="77777777" w:rsidR="000439BA" w:rsidRPr="00F717FD" w:rsidRDefault="000439BA" w:rsidP="000439BA">
      <w:pPr>
        <w:jc w:val="both"/>
        <w:rPr>
          <w:szCs w:val="24"/>
        </w:rPr>
      </w:pPr>
      <w:r>
        <w:t>8</w:t>
      </w:r>
      <w:r w:rsidRPr="00EC4990">
        <w:t xml:space="preserve">) Eestist lahkumise </w:t>
      </w:r>
      <w:r>
        <w:t>kuupäev</w:t>
      </w:r>
      <w:r w:rsidRPr="00EC4990">
        <w:t>;</w:t>
      </w:r>
    </w:p>
    <w:p w14:paraId="2B2A09BF" w14:textId="77777777" w:rsidR="000439BA" w:rsidRDefault="000439BA" w:rsidP="000439BA">
      <w:r>
        <w:t>9</w:t>
      </w:r>
      <w:r w:rsidRPr="00EC4990">
        <w:t>) surmakuupäev.</w:t>
      </w:r>
    </w:p>
    <w:p w14:paraId="06C4B803" w14:textId="77777777" w:rsidR="000439BA" w:rsidRDefault="000439BA" w:rsidP="000439BA"/>
    <w:p w14:paraId="43D3F37A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Surma põhjuste register edastab registrile järgmised andmed:</w:t>
      </w:r>
    </w:p>
    <w:p w14:paraId="3530657D" w14:textId="77777777" w:rsidR="000439BA" w:rsidRPr="00F717FD" w:rsidRDefault="000439BA" w:rsidP="000439BA">
      <w:pPr>
        <w:jc w:val="both"/>
      </w:pPr>
      <w:r>
        <w:t xml:space="preserve">1) </w:t>
      </w:r>
      <w:r w:rsidRPr="00C92741">
        <w:t>paragrahv</w:t>
      </w:r>
      <w:r>
        <w:t>i</w:t>
      </w:r>
      <w:r w:rsidRPr="00C92741">
        <w:t xml:space="preserve"> </w:t>
      </w:r>
      <w:r>
        <w:t>7 lõike 1 punktides 1 ja 4 nimetatud andmed;</w:t>
      </w:r>
    </w:p>
    <w:p w14:paraId="1CB241E8" w14:textId="77777777" w:rsidR="000439BA" w:rsidRPr="00F717FD" w:rsidRDefault="000439BA" w:rsidP="000439BA">
      <w:pPr>
        <w:jc w:val="both"/>
        <w:rPr>
          <w:szCs w:val="24"/>
        </w:rPr>
      </w:pPr>
      <w:r w:rsidRPr="00EC4990">
        <w:t>2)</w:t>
      </w:r>
      <w:r>
        <w:t xml:space="preserve"> </w:t>
      </w:r>
      <w:r w:rsidRPr="00EC4990">
        <w:t xml:space="preserve">surmakuupäev ja surma põhjus (vahetu, varasem, alg- ja </w:t>
      </w:r>
      <w:proofErr w:type="spellStart"/>
      <w:r w:rsidRPr="00EC4990">
        <w:t>välispõhjus</w:t>
      </w:r>
      <w:proofErr w:type="spellEnd"/>
      <w:r w:rsidRPr="00EC4990">
        <w:t xml:space="preserve"> ning surma soodustanud olulised seisundid);</w:t>
      </w:r>
    </w:p>
    <w:p w14:paraId="7D971E6B" w14:textId="77777777" w:rsidR="000439BA" w:rsidRPr="00F717FD" w:rsidRDefault="000439BA" w:rsidP="000439BA">
      <w:pPr>
        <w:jc w:val="both"/>
        <w:rPr>
          <w:szCs w:val="24"/>
        </w:rPr>
      </w:pPr>
      <w:r w:rsidRPr="00EC4990">
        <w:t>3) surma põhjuse määramise viis;</w:t>
      </w:r>
    </w:p>
    <w:p w14:paraId="2976F778" w14:textId="77777777" w:rsidR="000439BA" w:rsidRPr="00F717FD" w:rsidRDefault="000439BA" w:rsidP="000439BA">
      <w:pPr>
        <w:jc w:val="both"/>
      </w:pPr>
      <w:r>
        <w:t>4) surma põhjuse määraja ametikoht ja registreerimiskood;</w:t>
      </w:r>
    </w:p>
    <w:p w14:paraId="54006F2A" w14:textId="77777777" w:rsidR="000439BA" w:rsidRPr="00F717FD" w:rsidRDefault="000439BA" w:rsidP="000439BA">
      <w:pPr>
        <w:jc w:val="both"/>
        <w:rPr>
          <w:szCs w:val="24"/>
        </w:rPr>
      </w:pPr>
      <w:r w:rsidRPr="00EC4990">
        <w:t>5) surma põhjuse määranud asutuse nimi.</w:t>
      </w:r>
    </w:p>
    <w:p w14:paraId="2FB57D6B" w14:textId="77777777" w:rsidR="000439BA" w:rsidRPr="00F717FD" w:rsidRDefault="000439BA" w:rsidP="000439BA">
      <w:pPr>
        <w:jc w:val="both"/>
        <w:rPr>
          <w:szCs w:val="24"/>
        </w:rPr>
      </w:pPr>
    </w:p>
    <w:p w14:paraId="60993F92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Andmevahetus andmeandjatega toimub riigi infosüsteemide andmevahetuskihi kaudu või muul kokkulepitud elektroonset teabevahetust võimaldaval viisil.</w:t>
      </w:r>
    </w:p>
    <w:p w14:paraId="7228ABBD" w14:textId="77777777" w:rsidR="000439BA" w:rsidRDefault="000439BA" w:rsidP="000439BA">
      <w:pPr>
        <w:rPr>
          <w:rFonts w:cs="Arial"/>
        </w:rPr>
      </w:pPr>
    </w:p>
    <w:p w14:paraId="1D515A7D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10. Andmete registrisse kandmine, andmete õigsuse tagamine, andmete muutmine ja ebaõigete andmete parandamine</w:t>
      </w:r>
    </w:p>
    <w:p w14:paraId="55092561" w14:textId="77777777" w:rsidR="000439BA" w:rsidRPr="00F717FD" w:rsidRDefault="000439BA" w:rsidP="000439BA">
      <w:pPr>
        <w:jc w:val="both"/>
        <w:rPr>
          <w:szCs w:val="24"/>
        </w:rPr>
      </w:pPr>
    </w:p>
    <w:p w14:paraId="5AEBEE60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Kui andmeid ei vahetata infosüsteemide vahendusel, kannab vastutav töötleja edastatud andmed registrisse viie tööpäeva jooksul pärast andmete saamist.</w:t>
      </w:r>
    </w:p>
    <w:p w14:paraId="2824C78C" w14:textId="77777777" w:rsidR="000439BA" w:rsidRPr="00F717FD" w:rsidRDefault="000439BA" w:rsidP="000439BA">
      <w:pPr>
        <w:jc w:val="both"/>
        <w:rPr>
          <w:szCs w:val="24"/>
        </w:rPr>
      </w:pPr>
    </w:p>
    <w:p w14:paraId="26080434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Registri vastutav töötleja avaldab andmete esitamise juhised oma kodulehel.</w:t>
      </w:r>
    </w:p>
    <w:p w14:paraId="1C95F72A" w14:textId="77777777" w:rsidR="000439BA" w:rsidRPr="00F717FD" w:rsidRDefault="000439BA" w:rsidP="000439BA">
      <w:pPr>
        <w:jc w:val="both"/>
        <w:rPr>
          <w:szCs w:val="24"/>
        </w:rPr>
      </w:pPr>
    </w:p>
    <w:p w14:paraId="4037C98B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Registrile esitatud andmete õigsuse eest vastutab andmete esitaja.</w:t>
      </w:r>
    </w:p>
    <w:p w14:paraId="373BB7AF" w14:textId="77777777" w:rsidR="000439BA" w:rsidRPr="00F717FD" w:rsidRDefault="000439BA" w:rsidP="000439BA">
      <w:pPr>
        <w:jc w:val="both"/>
        <w:rPr>
          <w:szCs w:val="24"/>
        </w:rPr>
      </w:pPr>
    </w:p>
    <w:p w14:paraId="0902746B" w14:textId="77777777" w:rsidR="000439BA" w:rsidRPr="00F717FD" w:rsidRDefault="000439BA" w:rsidP="000439BA">
      <w:pPr>
        <w:jc w:val="both"/>
      </w:pPr>
      <w:r>
        <w:t>(4) Registrisse kantud andmete muutumise korral esitab §-des 7 ja 8 nimetatud andmete esitaja vastutavale töötlejale uued andmed, mille alusel parandatakse kanne 14 kalendripäeva jooksul.</w:t>
      </w:r>
    </w:p>
    <w:p w14:paraId="3E38D70E" w14:textId="77777777" w:rsidR="000439BA" w:rsidRPr="00F717FD" w:rsidRDefault="000439BA" w:rsidP="000439BA">
      <w:pPr>
        <w:jc w:val="both"/>
        <w:rPr>
          <w:szCs w:val="24"/>
        </w:rPr>
      </w:pPr>
    </w:p>
    <w:p w14:paraId="259F180B" w14:textId="77777777" w:rsidR="000439BA" w:rsidRPr="00F717FD" w:rsidRDefault="000439BA" w:rsidP="000439BA">
      <w:pPr>
        <w:jc w:val="both"/>
        <w:rPr>
          <w:szCs w:val="24"/>
        </w:rPr>
      </w:pPr>
      <w:r w:rsidRPr="00EC4990">
        <w:t>(5) Registrisse kantud andmete õigsuse kontrollimiseks ja andmete tervikluse tagamiseks on registri vastutaval töötlejal õigus teha andmete esitajale täpsustavaid päringuid.</w:t>
      </w:r>
    </w:p>
    <w:p w14:paraId="636A1D4F" w14:textId="77777777" w:rsidR="000439BA" w:rsidRPr="00F717FD" w:rsidRDefault="000439BA" w:rsidP="000439BA">
      <w:pPr>
        <w:jc w:val="both"/>
        <w:rPr>
          <w:szCs w:val="24"/>
        </w:rPr>
      </w:pPr>
    </w:p>
    <w:p w14:paraId="78F34C31" w14:textId="77777777" w:rsidR="000439BA" w:rsidRPr="00F717FD" w:rsidRDefault="000439BA" w:rsidP="000439BA">
      <w:pPr>
        <w:jc w:val="both"/>
        <w:rPr>
          <w:szCs w:val="24"/>
        </w:rPr>
      </w:pPr>
      <w:r w:rsidRPr="00EC4990">
        <w:t>(6) Kui andmeid ei edastata infosüsteemide vahendusel, parandab vastutav töötleja ebaõiged andmed peale õigete andmete saamist.</w:t>
      </w:r>
    </w:p>
    <w:p w14:paraId="28BEF49B" w14:textId="77777777" w:rsidR="000439BA" w:rsidRDefault="000439BA" w:rsidP="000439BA">
      <w:pPr>
        <w:rPr>
          <w:rFonts w:cs="Arial"/>
        </w:rPr>
      </w:pPr>
    </w:p>
    <w:p w14:paraId="40BA9B13" w14:textId="77777777" w:rsidR="000439BA" w:rsidRPr="00FF2A92" w:rsidRDefault="000439BA" w:rsidP="000439BA">
      <w:pPr>
        <w:rPr>
          <w:b/>
          <w:bCs/>
        </w:rPr>
      </w:pPr>
      <w:r w:rsidRPr="00EC4990">
        <w:rPr>
          <w:b/>
          <w:bCs/>
        </w:rPr>
        <w:t>§ 11. Andmete logimine</w:t>
      </w:r>
    </w:p>
    <w:p w14:paraId="51DC0DA7" w14:textId="77777777" w:rsidR="000439BA" w:rsidRPr="00F717FD" w:rsidRDefault="000439BA" w:rsidP="000439BA">
      <w:pPr>
        <w:jc w:val="both"/>
        <w:rPr>
          <w:szCs w:val="24"/>
        </w:rPr>
      </w:pPr>
    </w:p>
    <w:p w14:paraId="0204B323" w14:textId="2258FCFE" w:rsidR="000439BA" w:rsidRPr="00F717FD" w:rsidRDefault="000439BA" w:rsidP="000439BA">
      <w:pPr>
        <w:jc w:val="both"/>
        <w:rPr>
          <w:szCs w:val="24"/>
        </w:rPr>
      </w:pPr>
      <w:r w:rsidRPr="00EC4990">
        <w:lastRenderedPageBreak/>
        <w:t xml:space="preserve">Vastutav töötleja tagab </w:t>
      </w:r>
      <w:r w:rsidR="004F5CF1" w:rsidRPr="004F5CF1">
        <w:t>infotehnoloogiliste vahenditega logid registris kande vaatamise, lisamise, muutmise ja kustutamise kohta, võimaldades tuvastada töötlemistoimingu teinud isiku ja töötlemise aja</w:t>
      </w:r>
      <w:r w:rsidR="004F5CF1">
        <w:t>.</w:t>
      </w:r>
    </w:p>
    <w:p w14:paraId="0958F5AC" w14:textId="77777777" w:rsidR="000439BA" w:rsidRDefault="000439BA" w:rsidP="000439BA">
      <w:pPr>
        <w:rPr>
          <w:rFonts w:cs="Arial"/>
        </w:rPr>
      </w:pPr>
    </w:p>
    <w:p w14:paraId="34D5848E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4. peatükk</w:t>
      </w:r>
    </w:p>
    <w:p w14:paraId="7E4B077A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Juurdepääs andmetele, andmete väljastamine ja säilitamine</w:t>
      </w:r>
    </w:p>
    <w:p w14:paraId="1F6AC45A" w14:textId="77777777" w:rsidR="000439BA" w:rsidRPr="00F717FD" w:rsidRDefault="000439BA" w:rsidP="000439BA">
      <w:pPr>
        <w:rPr>
          <w:szCs w:val="24"/>
        </w:rPr>
      </w:pPr>
    </w:p>
    <w:p w14:paraId="5DFB77A7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12. Juurdepääs andmetele ja andmete väljastamine</w:t>
      </w:r>
    </w:p>
    <w:p w14:paraId="132A1C09" w14:textId="77777777" w:rsidR="000439BA" w:rsidRPr="00F717FD" w:rsidRDefault="000439BA" w:rsidP="000439BA">
      <w:pPr>
        <w:jc w:val="both"/>
        <w:rPr>
          <w:szCs w:val="24"/>
        </w:rPr>
      </w:pPr>
    </w:p>
    <w:p w14:paraId="51823AFE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Juurdepääs registri andmetele ja andmete väljastamine võimaldatakse kooskõlas isikuandmete kaitset reguleerivate õigusaktidega, arvestades rahv</w:t>
      </w:r>
      <w:r w:rsidRPr="00212E75">
        <w:t>atervis</w:t>
      </w:r>
      <w:r w:rsidRPr="00EB14B7">
        <w:t>hoiu seaduses sätestatud erisusi.</w:t>
      </w:r>
    </w:p>
    <w:p w14:paraId="0C1E052F" w14:textId="77777777" w:rsidR="000439BA" w:rsidRPr="00F717FD" w:rsidRDefault="000439BA" w:rsidP="000439BA">
      <w:pPr>
        <w:jc w:val="both"/>
        <w:rPr>
          <w:szCs w:val="24"/>
        </w:rPr>
      </w:pPr>
    </w:p>
    <w:p w14:paraId="76B9868E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Registrist väljastatavate andmete õigsuse eest vastutab vastutav töötleja.</w:t>
      </w:r>
    </w:p>
    <w:p w14:paraId="466BF56A" w14:textId="77777777" w:rsidR="000439BA" w:rsidRPr="00F717FD" w:rsidRDefault="000439BA" w:rsidP="000439BA">
      <w:pPr>
        <w:jc w:val="both"/>
        <w:rPr>
          <w:szCs w:val="24"/>
        </w:rPr>
      </w:pPr>
    </w:p>
    <w:p w14:paraId="36B2B8DA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Vastutav töötleja avaldab avalikkusele asutuse veebilehel registri andmete põhjal koostatud statistilised andmed isikustamata kujul.</w:t>
      </w:r>
    </w:p>
    <w:p w14:paraId="016A58C4" w14:textId="77777777" w:rsidR="000439BA" w:rsidRPr="00F717FD" w:rsidRDefault="000439BA" w:rsidP="000439BA">
      <w:pPr>
        <w:jc w:val="both"/>
        <w:rPr>
          <w:szCs w:val="24"/>
        </w:rPr>
      </w:pPr>
    </w:p>
    <w:p w14:paraId="67DC1B50" w14:textId="77777777" w:rsidR="000439BA" w:rsidRPr="00F717FD" w:rsidRDefault="000439BA" w:rsidP="000439BA">
      <w:pPr>
        <w:jc w:val="both"/>
        <w:rPr>
          <w:szCs w:val="24"/>
        </w:rPr>
      </w:pPr>
      <w:r w:rsidRPr="00EC4990">
        <w:t>(4) Vastutav töötleja peab arvestust selle üle, kellele, mis eesmärgil, millal, millisel viisil ja milliseid isikuandmeid on registrist väljastatud või muul moel töödeldud.</w:t>
      </w:r>
    </w:p>
    <w:p w14:paraId="0210AA2D" w14:textId="77777777" w:rsidR="000439BA" w:rsidRDefault="000439BA" w:rsidP="000439BA">
      <w:pPr>
        <w:rPr>
          <w:rFonts w:cs="Arial"/>
        </w:rPr>
      </w:pPr>
    </w:p>
    <w:p w14:paraId="545D44AE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13. Andmete säilitamine</w:t>
      </w:r>
    </w:p>
    <w:p w14:paraId="1920BA3B" w14:textId="77777777" w:rsidR="000439BA" w:rsidRPr="00F717FD" w:rsidRDefault="000439BA" w:rsidP="000439BA">
      <w:pPr>
        <w:jc w:val="both"/>
        <w:rPr>
          <w:szCs w:val="24"/>
        </w:rPr>
      </w:pPr>
    </w:p>
    <w:p w14:paraId="17952CF2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(1) Registri andmeid säilitatakse registris tähtajatult alates </w:t>
      </w:r>
      <w:r>
        <w:t>nende</w:t>
      </w:r>
      <w:r w:rsidRPr="00EC4990">
        <w:t xml:space="preserve"> registrisse kandmisest.</w:t>
      </w:r>
    </w:p>
    <w:p w14:paraId="50EA0CA4" w14:textId="77777777" w:rsidR="000439BA" w:rsidRPr="00F717FD" w:rsidRDefault="000439BA" w:rsidP="000439BA">
      <w:pPr>
        <w:jc w:val="both"/>
        <w:rPr>
          <w:szCs w:val="24"/>
        </w:rPr>
      </w:pPr>
    </w:p>
    <w:p w14:paraId="3DF3C96B" w14:textId="77777777" w:rsidR="000439BA" w:rsidRPr="00F717FD" w:rsidRDefault="000439BA" w:rsidP="000439BA">
      <w:pPr>
        <w:jc w:val="both"/>
        <w:rPr>
          <w:szCs w:val="24"/>
        </w:rPr>
      </w:pPr>
      <w:r w:rsidRPr="00EC4990">
        <w:t>(2) Registri alusandmeid säilitatakse tähtajatult.</w:t>
      </w:r>
    </w:p>
    <w:p w14:paraId="4C82DF8B" w14:textId="77777777" w:rsidR="000439BA" w:rsidRPr="00F717FD" w:rsidRDefault="000439BA" w:rsidP="000439BA">
      <w:pPr>
        <w:jc w:val="both"/>
        <w:rPr>
          <w:szCs w:val="24"/>
        </w:rPr>
      </w:pPr>
    </w:p>
    <w:p w14:paraId="53C6B0E2" w14:textId="77777777" w:rsidR="000439BA" w:rsidRDefault="000439BA" w:rsidP="000439BA">
      <w:pPr>
        <w:jc w:val="both"/>
      </w:pPr>
      <w:r w:rsidRPr="00EC4990">
        <w:t>(3) Registri logiandmeid säilitatakse viis aastat andmete tekkimisest.</w:t>
      </w:r>
    </w:p>
    <w:p w14:paraId="087CC2B2" w14:textId="77777777" w:rsidR="000439BA" w:rsidRDefault="000439BA" w:rsidP="000439BA">
      <w:pPr>
        <w:jc w:val="both"/>
      </w:pPr>
    </w:p>
    <w:p w14:paraId="3545CC0E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5. peatükk</w:t>
      </w:r>
    </w:p>
    <w:p w14:paraId="51B20110" w14:textId="77777777" w:rsidR="000439BA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Registri järelevalve, rahastamine ja lõpetamine</w:t>
      </w:r>
    </w:p>
    <w:p w14:paraId="34DFA3B2" w14:textId="77777777" w:rsidR="000439BA" w:rsidRDefault="000439BA" w:rsidP="000439BA">
      <w:pPr>
        <w:jc w:val="center"/>
        <w:rPr>
          <w:b/>
          <w:bCs/>
        </w:rPr>
      </w:pPr>
    </w:p>
    <w:p w14:paraId="0297B830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14. Registri järelevalve</w:t>
      </w:r>
    </w:p>
    <w:p w14:paraId="1181B8B8" w14:textId="77777777" w:rsidR="000439BA" w:rsidRPr="00F717FD" w:rsidRDefault="000439BA" w:rsidP="000439BA">
      <w:pPr>
        <w:jc w:val="both"/>
        <w:rPr>
          <w:szCs w:val="24"/>
        </w:rPr>
      </w:pPr>
    </w:p>
    <w:p w14:paraId="389835ED" w14:textId="77777777" w:rsidR="000439BA" w:rsidRPr="00F717FD" w:rsidRDefault="000439BA" w:rsidP="000439BA">
      <w:pPr>
        <w:jc w:val="both"/>
        <w:rPr>
          <w:szCs w:val="24"/>
        </w:rPr>
      </w:pPr>
      <w:r w:rsidRPr="00EC4990">
        <w:t>Järelevalvet registri pidamise üle tehakse õigusaktides sätestatud korras.</w:t>
      </w:r>
    </w:p>
    <w:p w14:paraId="42598FBA" w14:textId="77777777" w:rsidR="000439BA" w:rsidRPr="00F717FD" w:rsidRDefault="000439BA" w:rsidP="000439BA">
      <w:pPr>
        <w:jc w:val="both"/>
        <w:rPr>
          <w:szCs w:val="24"/>
        </w:rPr>
      </w:pPr>
    </w:p>
    <w:p w14:paraId="00EBA91E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15. Registri rahastamine</w:t>
      </w:r>
    </w:p>
    <w:p w14:paraId="6BC38F81" w14:textId="77777777" w:rsidR="000439BA" w:rsidRPr="00F717FD" w:rsidRDefault="000439BA" w:rsidP="000439BA">
      <w:pPr>
        <w:jc w:val="both"/>
        <w:rPr>
          <w:szCs w:val="24"/>
        </w:rPr>
      </w:pPr>
    </w:p>
    <w:p w14:paraId="48653D21" w14:textId="77777777" w:rsidR="000439BA" w:rsidRPr="00F717FD" w:rsidRDefault="000439BA" w:rsidP="000439BA">
      <w:pPr>
        <w:jc w:val="both"/>
        <w:rPr>
          <w:szCs w:val="24"/>
        </w:rPr>
      </w:pPr>
      <w:r w:rsidRPr="00EC4990">
        <w:t>Registri pidamist ning hooldus- ja aredustöid rahastatakse riigieelarvest selleks vastutavale töötlejale eraldatud vahenditest.</w:t>
      </w:r>
    </w:p>
    <w:p w14:paraId="6EE6E457" w14:textId="77777777" w:rsidR="000439BA" w:rsidRDefault="000439BA" w:rsidP="000439BA">
      <w:pPr>
        <w:jc w:val="both"/>
        <w:rPr>
          <w:szCs w:val="24"/>
        </w:rPr>
      </w:pPr>
    </w:p>
    <w:p w14:paraId="2AD2D724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16. Registri lõpetamine</w:t>
      </w:r>
    </w:p>
    <w:p w14:paraId="75944B87" w14:textId="77777777" w:rsidR="000439BA" w:rsidRPr="00F717FD" w:rsidRDefault="000439BA" w:rsidP="000439BA">
      <w:pPr>
        <w:jc w:val="both"/>
        <w:rPr>
          <w:szCs w:val="24"/>
        </w:rPr>
      </w:pPr>
    </w:p>
    <w:p w14:paraId="552276DF" w14:textId="77777777" w:rsidR="000439BA" w:rsidRPr="00F717FD" w:rsidRDefault="000439BA" w:rsidP="000439BA">
      <w:pPr>
        <w:jc w:val="both"/>
        <w:rPr>
          <w:szCs w:val="24"/>
        </w:rPr>
      </w:pPr>
      <w:r w:rsidRPr="00EC4990">
        <w:t>(1) Registri lõpetamise otsustab valdkonna eest vastutav minister.</w:t>
      </w:r>
    </w:p>
    <w:p w14:paraId="26373A88" w14:textId="77777777" w:rsidR="000439BA" w:rsidRPr="00F717FD" w:rsidRDefault="000439BA" w:rsidP="000439BA">
      <w:pPr>
        <w:jc w:val="both"/>
        <w:rPr>
          <w:szCs w:val="24"/>
        </w:rPr>
      </w:pPr>
    </w:p>
    <w:p w14:paraId="2FCD2E00" w14:textId="77777777" w:rsidR="000439BA" w:rsidRPr="00F717FD" w:rsidRDefault="000439BA" w:rsidP="000439BA">
      <w:pPr>
        <w:jc w:val="both"/>
        <w:rPr>
          <w:szCs w:val="24"/>
        </w:rPr>
      </w:pPr>
      <w:r w:rsidRPr="00EC4990">
        <w:t xml:space="preserve">(2) Registri andmete üleandmisel tuleb eraldi otsusega määrata andmete üleandmise või hävitamise kord </w:t>
      </w:r>
      <w:r>
        <w:t>ja</w:t>
      </w:r>
      <w:r w:rsidRPr="00EC4990">
        <w:t xml:space="preserve"> tegevuse tähtaeg</w:t>
      </w:r>
      <w:r>
        <w:t>.</w:t>
      </w:r>
    </w:p>
    <w:p w14:paraId="6D6A917C" w14:textId="77777777" w:rsidR="000439BA" w:rsidRPr="00F717FD" w:rsidRDefault="000439BA" w:rsidP="000439BA">
      <w:pPr>
        <w:jc w:val="both"/>
        <w:rPr>
          <w:szCs w:val="24"/>
        </w:rPr>
      </w:pPr>
    </w:p>
    <w:p w14:paraId="2C5C39EF" w14:textId="77777777" w:rsidR="000439BA" w:rsidRPr="00F717FD" w:rsidRDefault="000439BA" w:rsidP="000439BA">
      <w:pPr>
        <w:jc w:val="both"/>
        <w:rPr>
          <w:szCs w:val="24"/>
        </w:rPr>
      </w:pPr>
      <w:r w:rsidRPr="00EC4990">
        <w:t>(3) Register lõpetatakse avaliku teabe seaduses sätestatud tingimustel ja korras.</w:t>
      </w:r>
    </w:p>
    <w:p w14:paraId="69275146" w14:textId="77777777" w:rsidR="000439BA" w:rsidRDefault="000439BA" w:rsidP="000439BA">
      <w:pPr>
        <w:jc w:val="both"/>
        <w:rPr>
          <w:szCs w:val="24"/>
        </w:rPr>
      </w:pPr>
    </w:p>
    <w:p w14:paraId="2465E743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6. peatükk</w:t>
      </w:r>
    </w:p>
    <w:p w14:paraId="7465C057" w14:textId="77777777" w:rsidR="000439BA" w:rsidRPr="00FF2A92" w:rsidRDefault="000439BA" w:rsidP="000439BA">
      <w:pPr>
        <w:jc w:val="center"/>
        <w:rPr>
          <w:b/>
          <w:bCs/>
        </w:rPr>
      </w:pPr>
      <w:r w:rsidRPr="00EC4990">
        <w:rPr>
          <w:b/>
          <w:bCs/>
        </w:rPr>
        <w:t>Rakendussätted</w:t>
      </w:r>
    </w:p>
    <w:p w14:paraId="7E90C2FC" w14:textId="77777777" w:rsidR="000439BA" w:rsidRPr="006F706E" w:rsidRDefault="000439BA" w:rsidP="000439BA">
      <w:pPr>
        <w:rPr>
          <w:bCs/>
          <w:szCs w:val="24"/>
        </w:rPr>
      </w:pPr>
    </w:p>
    <w:p w14:paraId="129547A5" w14:textId="77777777" w:rsidR="000439BA" w:rsidRPr="00FF2A92" w:rsidRDefault="000439BA" w:rsidP="000439BA">
      <w:pPr>
        <w:jc w:val="both"/>
        <w:rPr>
          <w:b/>
          <w:bCs/>
        </w:rPr>
      </w:pPr>
      <w:r w:rsidRPr="00EC4990">
        <w:rPr>
          <w:b/>
          <w:bCs/>
        </w:rPr>
        <w:t>§ 17. Üleminekusät</w:t>
      </w:r>
      <w:r>
        <w:rPr>
          <w:b/>
          <w:bCs/>
        </w:rPr>
        <w:t>e</w:t>
      </w:r>
    </w:p>
    <w:p w14:paraId="03EA2F6E" w14:textId="77777777" w:rsidR="000439BA" w:rsidRPr="00F717FD" w:rsidRDefault="000439BA" w:rsidP="000439BA">
      <w:pPr>
        <w:jc w:val="both"/>
        <w:rPr>
          <w:szCs w:val="24"/>
        </w:rPr>
      </w:pPr>
    </w:p>
    <w:p w14:paraId="4A2A4210" w14:textId="77777777" w:rsidR="000439BA" w:rsidRPr="00F717FD" w:rsidRDefault="000439BA" w:rsidP="000439BA">
      <w:pPr>
        <w:jc w:val="both"/>
        <w:rPr>
          <w:szCs w:val="24"/>
        </w:rPr>
      </w:pPr>
      <w:r w:rsidRPr="00EC4990">
        <w:t>Enne määruse jõustumist registrisse kogutud andmeid säilitatakse tähtajatult.</w:t>
      </w:r>
    </w:p>
    <w:p w14:paraId="52353501" w14:textId="77777777" w:rsidR="000439BA" w:rsidRDefault="000439BA" w:rsidP="000439BA">
      <w:pPr>
        <w:jc w:val="both"/>
        <w:rPr>
          <w:szCs w:val="24"/>
        </w:rPr>
      </w:pPr>
    </w:p>
    <w:p w14:paraId="5E3F555B" w14:textId="77777777" w:rsidR="000439BA" w:rsidRPr="00FF2A92" w:rsidRDefault="000439BA" w:rsidP="000439BA">
      <w:pPr>
        <w:rPr>
          <w:b/>
          <w:bCs/>
        </w:rPr>
      </w:pPr>
      <w:r w:rsidRPr="00EC4990">
        <w:rPr>
          <w:b/>
          <w:bCs/>
        </w:rPr>
        <w:t>§ 18. Määruse jõustumine</w:t>
      </w:r>
    </w:p>
    <w:p w14:paraId="3EBA76C6" w14:textId="77777777" w:rsidR="000439BA" w:rsidRPr="00F717FD" w:rsidRDefault="000439BA" w:rsidP="000439BA">
      <w:pPr>
        <w:jc w:val="both"/>
        <w:rPr>
          <w:szCs w:val="24"/>
        </w:rPr>
      </w:pPr>
    </w:p>
    <w:p w14:paraId="126B674B" w14:textId="77777777" w:rsidR="000439BA" w:rsidRPr="00FF2A92" w:rsidRDefault="000439BA" w:rsidP="000439BA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Määrus jõustub 1. </w:t>
      </w:r>
      <w:r>
        <w:rPr>
          <w:rFonts w:eastAsia="Times New Roman"/>
        </w:rPr>
        <w:t>septembril</w:t>
      </w:r>
      <w:r w:rsidRPr="00212E75">
        <w:rPr>
          <w:rFonts w:eastAsia="Times New Roman"/>
        </w:rPr>
        <w:t xml:space="preserve"> </w:t>
      </w:r>
      <w:r w:rsidRPr="00EB14B7">
        <w:rPr>
          <w:rFonts w:eastAsia="Times New Roman"/>
        </w:rPr>
        <w:t>202</w:t>
      </w:r>
      <w:r>
        <w:rPr>
          <w:rFonts w:eastAsia="Times New Roman"/>
        </w:rPr>
        <w:t>5</w:t>
      </w:r>
      <w:r w:rsidRPr="00EB14B7">
        <w:rPr>
          <w:rFonts w:eastAsia="Times New Roman"/>
        </w:rPr>
        <w:t>. a.</w:t>
      </w:r>
    </w:p>
    <w:p w14:paraId="34AEF2FB" w14:textId="77777777" w:rsidR="00CC5B01" w:rsidRDefault="00CC5B01" w:rsidP="00094BF0">
      <w:pPr>
        <w:rPr>
          <w:rFonts w:cs="Arial"/>
        </w:rPr>
      </w:pPr>
    </w:p>
    <w:p w14:paraId="34AEF2FC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34AEF2FD" w14:textId="77777777" w:rsidR="00CC5B01" w:rsidRDefault="00CC5B01" w:rsidP="00094BF0">
      <w:pPr>
        <w:rPr>
          <w:rFonts w:cs="Arial"/>
        </w:rPr>
      </w:pPr>
    </w:p>
    <w:p w14:paraId="34AEF2FE" w14:textId="77777777" w:rsidR="00CC5B01" w:rsidRDefault="00CC5B01" w:rsidP="00094BF0">
      <w:pPr>
        <w:rPr>
          <w:rFonts w:cs="Arial"/>
        </w:rPr>
      </w:pPr>
    </w:p>
    <w:p w14:paraId="34AEF2FF" w14:textId="77777777" w:rsidR="00CC5B01" w:rsidRDefault="00CC5B01" w:rsidP="00094BF0">
      <w:pPr>
        <w:rPr>
          <w:rFonts w:cs="Arial"/>
        </w:rPr>
      </w:pPr>
    </w:p>
    <w:p w14:paraId="34AEF300" w14:textId="77777777" w:rsidR="00CC5B01" w:rsidRDefault="00CC5B01" w:rsidP="00094BF0">
      <w:pPr>
        <w:rPr>
          <w:rFonts w:cs="Arial"/>
        </w:rPr>
      </w:pPr>
    </w:p>
    <w:p w14:paraId="34AEF301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34AEF302" w14:textId="70B915E4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A1C05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FA1C05">
        <w:rPr>
          <w:rFonts w:cs="Arial"/>
        </w:rPr>
        <w:t xml:space="preserve">Karmen </w:t>
      </w:r>
      <w:proofErr w:type="spellStart"/>
      <w:r w:rsidR="00FA1C05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4AEF303" w14:textId="4BD5671E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A1C05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FA1C05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4AEF304" w14:textId="77777777" w:rsidR="007B2940" w:rsidRDefault="007B2940" w:rsidP="00B066FE">
      <w:pPr>
        <w:rPr>
          <w:rFonts w:cs="Arial"/>
        </w:rPr>
      </w:pPr>
    </w:p>
    <w:p w14:paraId="34AEF305" w14:textId="187DCBDD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34AEF306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34AEF307" w14:textId="773B3781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FA1C05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FA1C05">
        <w:rPr>
          <w:rFonts w:cs="Arial"/>
        </w:rPr>
        <w:t>Maarjo</w:t>
      </w:r>
      <w:proofErr w:type="spellEnd"/>
      <w:r w:rsidR="00FA1C05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34AEF308" w14:textId="662640F7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FA1C05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FA1C05">
        <w:rPr>
          <w:rFonts w:cs="Arial"/>
        </w:rPr>
        <w:t>kantsler</w:t>
      </w:r>
      <w:r>
        <w:rPr>
          <w:rFonts w:cs="Arial"/>
        </w:rPr>
        <w:fldChar w:fldCharType="end"/>
      </w:r>
      <w:r w:rsidR="00FA1C05">
        <w:rPr>
          <w:rFonts w:cs="Arial"/>
        </w:rPr>
        <w:t xml:space="preserve"> </w:t>
      </w:r>
    </w:p>
    <w:p w14:paraId="34AEF30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F30E" w14:textId="77777777" w:rsidR="00B45145" w:rsidRDefault="00B45145" w:rsidP="00E52553">
      <w:r>
        <w:separator/>
      </w:r>
    </w:p>
  </w:endnote>
  <w:endnote w:type="continuationSeparator" w:id="0">
    <w:p w14:paraId="34AEF30F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F30C" w14:textId="77777777" w:rsidR="00B45145" w:rsidRDefault="00B45145" w:rsidP="00E52553">
      <w:r>
        <w:separator/>
      </w:r>
    </w:p>
  </w:footnote>
  <w:footnote w:type="continuationSeparator" w:id="0">
    <w:p w14:paraId="34AEF30D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AEF310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FA1C05">
          <w:rPr>
            <w:noProof/>
            <w:sz w:val="20"/>
            <w:szCs w:val="20"/>
          </w:rPr>
          <w:t>6</w:t>
        </w:r>
        <w:r w:rsidRPr="00E52553">
          <w:rPr>
            <w:sz w:val="20"/>
            <w:szCs w:val="20"/>
          </w:rPr>
          <w:fldChar w:fldCharType="end"/>
        </w:r>
      </w:p>
    </w:sdtContent>
  </w:sdt>
  <w:p w14:paraId="34AEF311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15DA0"/>
    <w:rsid w:val="000439BA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A550B"/>
    <w:rsid w:val="001A6579"/>
    <w:rsid w:val="001D53AE"/>
    <w:rsid w:val="00202D28"/>
    <w:rsid w:val="00211765"/>
    <w:rsid w:val="00222719"/>
    <w:rsid w:val="002534CF"/>
    <w:rsid w:val="00293ECF"/>
    <w:rsid w:val="00311234"/>
    <w:rsid w:val="003925B0"/>
    <w:rsid w:val="003B3CE2"/>
    <w:rsid w:val="003E3E2F"/>
    <w:rsid w:val="00433613"/>
    <w:rsid w:val="00436532"/>
    <w:rsid w:val="00437173"/>
    <w:rsid w:val="0048061D"/>
    <w:rsid w:val="00492545"/>
    <w:rsid w:val="004F5CF1"/>
    <w:rsid w:val="00567685"/>
    <w:rsid w:val="00587F56"/>
    <w:rsid w:val="005B6FF3"/>
    <w:rsid w:val="005C1734"/>
    <w:rsid w:val="00604C04"/>
    <w:rsid w:val="00610A9F"/>
    <w:rsid w:val="006305F8"/>
    <w:rsid w:val="007135C5"/>
    <w:rsid w:val="007325C5"/>
    <w:rsid w:val="007352AA"/>
    <w:rsid w:val="007B2940"/>
    <w:rsid w:val="007C0F7C"/>
    <w:rsid w:val="007F6DC9"/>
    <w:rsid w:val="00805127"/>
    <w:rsid w:val="00805BB9"/>
    <w:rsid w:val="00810B82"/>
    <w:rsid w:val="00812D03"/>
    <w:rsid w:val="008476E5"/>
    <w:rsid w:val="00890213"/>
    <w:rsid w:val="008B1F70"/>
    <w:rsid w:val="009835FB"/>
    <w:rsid w:val="00A07444"/>
    <w:rsid w:val="00A31525"/>
    <w:rsid w:val="00A42D4B"/>
    <w:rsid w:val="00A511BD"/>
    <w:rsid w:val="00A92036"/>
    <w:rsid w:val="00AA6C33"/>
    <w:rsid w:val="00B066FE"/>
    <w:rsid w:val="00B25BF0"/>
    <w:rsid w:val="00B42868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DD60CA"/>
    <w:rsid w:val="00E52553"/>
    <w:rsid w:val="00E57228"/>
    <w:rsid w:val="00E92550"/>
    <w:rsid w:val="00E94A28"/>
    <w:rsid w:val="00EA42AE"/>
    <w:rsid w:val="00EB023C"/>
    <w:rsid w:val="00EB07A4"/>
    <w:rsid w:val="00EC175B"/>
    <w:rsid w:val="00EF0205"/>
    <w:rsid w:val="00FA1C05"/>
    <w:rsid w:val="00FB2FBD"/>
    <w:rsid w:val="00FB7A35"/>
    <w:rsid w:val="00FC193C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F2DE"/>
  <w15:chartTrackingRefBased/>
  <w15:docId w15:val="{4A9E5271-E99F-4E60-BC28-9B22CC7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E94A28"/>
    <w:pPr>
      <w:spacing w:after="0" w:line="240" w:lineRule="auto"/>
    </w:pPr>
    <w:rPr>
      <w:rFonts w:ascii="Arial" w:hAnsi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E94A2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94A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94A28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94A2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94A28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2025-08-21T10:37:00Z</dcterms:created>
  <dcterms:modified xsi:type="dcterms:W3CDTF">2025-08-21T10:37:00Z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2025-07-21T11:33:18Z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3861b36f-b655-4e70-bf4f-78bd75dce1fc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